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adjustRightInd w:val="0"/>
        <w:spacing w:line="360" w:lineRule="auto"/>
        <w:jc w:val="right"/>
        <w:rPr>
          <w:rFonts w:hint="default" w:eastAsia="宋体"/>
          <w:kern w:val="0"/>
          <w:sz w:val="24"/>
          <w:u w:val="single"/>
          <w:lang w:val="en-US" w:eastAsia="zh-CN"/>
        </w:rPr>
      </w:pPr>
      <w:r>
        <w:rPr>
          <w:kern w:val="0"/>
          <w:sz w:val="24"/>
        </w:rPr>
        <w:t>预案编号：</w:t>
      </w:r>
      <w:r>
        <w:rPr>
          <w:rFonts w:hint="eastAsia"/>
          <w:kern w:val="0"/>
          <w:sz w:val="24"/>
          <w:u w:val="single"/>
          <w:lang w:val="en-US" w:eastAsia="zh-CN"/>
        </w:rPr>
        <w:t>ZY</w:t>
      </w:r>
      <w:r>
        <w:rPr>
          <w:kern w:val="0"/>
          <w:sz w:val="24"/>
          <w:u w:val="single"/>
        </w:rPr>
        <w:t>-Y</w:t>
      </w:r>
      <w:r>
        <w:rPr>
          <w:rFonts w:hint="eastAsia"/>
          <w:kern w:val="0"/>
          <w:sz w:val="24"/>
          <w:u w:val="single"/>
          <w:lang w:val="en-US" w:eastAsia="zh-CN"/>
        </w:rPr>
        <w:t>A</w:t>
      </w:r>
      <w:r>
        <w:rPr>
          <w:rFonts w:hint="eastAsia"/>
          <w:kern w:val="0"/>
          <w:sz w:val="24"/>
          <w:u w:val="single"/>
        </w:rPr>
        <w:t>-</w:t>
      </w:r>
      <w:r>
        <w:rPr>
          <w:kern w:val="0"/>
          <w:sz w:val="24"/>
          <w:u w:val="single"/>
        </w:rPr>
        <w:t>202</w:t>
      </w:r>
      <w:r>
        <w:rPr>
          <w:rFonts w:hint="eastAsia"/>
          <w:kern w:val="0"/>
          <w:sz w:val="24"/>
          <w:u w:val="single"/>
          <w:lang w:val="en-US" w:eastAsia="zh-CN"/>
        </w:rPr>
        <w:t>201</w:t>
      </w:r>
    </w:p>
    <w:p>
      <w:pPr>
        <w:spacing w:line="360" w:lineRule="auto"/>
        <w:jc w:val="right"/>
        <w:rPr>
          <w:sz w:val="24"/>
        </w:rPr>
      </w:pPr>
      <w:r>
        <w:rPr>
          <w:kern w:val="0"/>
          <w:sz w:val="24"/>
        </w:rPr>
        <w:t>修编版本：</w:t>
      </w:r>
      <w:r>
        <w:rPr>
          <w:kern w:val="0"/>
          <w:sz w:val="24"/>
          <w:u w:val="single"/>
        </w:rPr>
        <w:t>202</w:t>
      </w:r>
      <w:r>
        <w:rPr>
          <w:rFonts w:hint="eastAsia"/>
          <w:kern w:val="0"/>
          <w:sz w:val="24"/>
          <w:u w:val="single"/>
          <w:lang w:val="en-US" w:eastAsia="zh-CN"/>
        </w:rPr>
        <w:t>2</w:t>
      </w:r>
      <w:r>
        <w:rPr>
          <w:kern w:val="0"/>
          <w:sz w:val="24"/>
        </w:rPr>
        <w:t>年修订版</w:t>
      </w:r>
    </w:p>
    <w:p>
      <w:pPr>
        <w:jc w:val="right"/>
        <w:rPr>
          <w:sz w:val="24"/>
        </w:rPr>
      </w:pPr>
    </w:p>
    <w:p>
      <w:pPr>
        <w:rPr>
          <w:sz w:val="24"/>
        </w:rPr>
      </w:pPr>
      <w:r>
        <w:rPr>
          <w:sz w:val="24"/>
        </w:rPr>
        <w:t xml:space="preserve">                                               </w:t>
      </w:r>
    </w:p>
    <w:p>
      <w:pPr>
        <w:rPr>
          <w:sz w:val="32"/>
          <w:szCs w:val="32"/>
        </w:rPr>
      </w:pPr>
    </w:p>
    <w:p>
      <w:pPr>
        <w:rPr>
          <w:sz w:val="32"/>
          <w:szCs w:val="32"/>
        </w:rPr>
      </w:pPr>
    </w:p>
    <w:p>
      <w:pPr>
        <w:rPr>
          <w:sz w:val="32"/>
          <w:szCs w:val="32"/>
        </w:rPr>
      </w:pPr>
    </w:p>
    <w:p>
      <w:pPr>
        <w:rPr>
          <w:sz w:val="24"/>
        </w:rPr>
      </w:pPr>
    </w:p>
    <w:p>
      <w:pPr>
        <w:rPr>
          <w:sz w:val="32"/>
          <w:szCs w:val="32"/>
        </w:rPr>
      </w:pPr>
    </w:p>
    <w:p>
      <w:pPr>
        <w:spacing w:line="360" w:lineRule="auto"/>
        <w:jc w:val="center"/>
        <w:rPr>
          <w:rFonts w:hint="eastAsia" w:eastAsia="宋体"/>
          <w:b/>
          <w:sz w:val="52"/>
          <w:szCs w:val="52"/>
          <w:lang w:eastAsia="zh-CN"/>
        </w:rPr>
      </w:pPr>
      <w:r>
        <w:rPr>
          <w:rFonts w:hint="eastAsia"/>
          <w:b/>
          <w:sz w:val="52"/>
          <w:szCs w:val="52"/>
          <w:lang w:eastAsia="zh-CN"/>
        </w:rPr>
        <w:t>翁源县中源发展有限公司</w:t>
      </w:r>
    </w:p>
    <w:p>
      <w:pPr>
        <w:spacing w:line="360" w:lineRule="auto"/>
        <w:jc w:val="center"/>
        <w:rPr>
          <w:b/>
          <w:spacing w:val="20"/>
          <w:sz w:val="52"/>
          <w:szCs w:val="52"/>
        </w:rPr>
      </w:pPr>
      <w:r>
        <w:rPr>
          <w:b/>
          <w:spacing w:val="20"/>
          <w:sz w:val="52"/>
          <w:szCs w:val="52"/>
        </w:rPr>
        <w:t>突发环境事件应急预案</w:t>
      </w:r>
    </w:p>
    <w:p>
      <w:pPr>
        <w:jc w:val="center"/>
        <w:rPr>
          <w:sz w:val="44"/>
          <w:szCs w:val="44"/>
        </w:rPr>
      </w:pPr>
      <w:r>
        <w:rPr>
          <w:sz w:val="44"/>
          <w:szCs w:val="44"/>
        </w:rPr>
        <w:t>（</w:t>
      </w:r>
      <w:r>
        <w:rPr>
          <w:rFonts w:hint="eastAsia"/>
          <w:sz w:val="44"/>
          <w:szCs w:val="44"/>
          <w:lang w:val="en-US" w:eastAsia="zh-CN"/>
        </w:rPr>
        <w:t>备案</w:t>
      </w:r>
      <w:r>
        <w:rPr>
          <w:sz w:val="44"/>
          <w:szCs w:val="44"/>
        </w:rPr>
        <w:t>稿）</w:t>
      </w:r>
    </w:p>
    <w:p>
      <w:pPr>
        <w:rPr>
          <w:sz w:val="30"/>
          <w:szCs w:val="30"/>
        </w:rPr>
      </w:pPr>
    </w:p>
    <w:p>
      <w:pPr>
        <w:rPr>
          <w:sz w:val="30"/>
          <w:szCs w:val="30"/>
        </w:rPr>
      </w:pPr>
    </w:p>
    <w:p>
      <w:pPr>
        <w:rPr>
          <w:sz w:val="30"/>
          <w:szCs w:val="30"/>
        </w:rPr>
      </w:pPr>
    </w:p>
    <w:p>
      <w:pPr>
        <w:rPr>
          <w:sz w:val="30"/>
          <w:szCs w:val="30"/>
        </w:rPr>
      </w:pPr>
    </w:p>
    <w:p>
      <w:pPr>
        <w:rPr>
          <w:sz w:val="30"/>
          <w:szCs w:val="30"/>
        </w:rPr>
      </w:pPr>
    </w:p>
    <w:p>
      <w:pPr>
        <w:rPr>
          <w:sz w:val="30"/>
          <w:szCs w:val="30"/>
        </w:rPr>
      </w:pPr>
    </w:p>
    <w:p>
      <w:pPr>
        <w:rPr>
          <w:sz w:val="30"/>
          <w:szCs w:val="30"/>
        </w:rPr>
      </w:pPr>
    </w:p>
    <w:p>
      <w:pPr>
        <w:rPr>
          <w:sz w:val="30"/>
          <w:szCs w:val="30"/>
        </w:rPr>
      </w:pPr>
    </w:p>
    <w:p>
      <w:pPr>
        <w:rPr>
          <w:sz w:val="30"/>
          <w:szCs w:val="30"/>
        </w:rPr>
      </w:pPr>
    </w:p>
    <w:p>
      <w:pPr>
        <w:rPr>
          <w:sz w:val="30"/>
          <w:szCs w:val="30"/>
        </w:rPr>
      </w:pPr>
    </w:p>
    <w:p>
      <w:pPr>
        <w:rPr>
          <w:sz w:val="30"/>
          <w:szCs w:val="30"/>
        </w:rPr>
      </w:pPr>
    </w:p>
    <w:p>
      <w:pPr>
        <w:rPr>
          <w:sz w:val="30"/>
          <w:szCs w:val="30"/>
        </w:rPr>
      </w:pPr>
    </w:p>
    <w:p>
      <w:pPr>
        <w:rPr>
          <w:sz w:val="30"/>
          <w:szCs w:val="30"/>
        </w:rPr>
      </w:pPr>
    </w:p>
    <w:p>
      <w:pPr>
        <w:rPr>
          <w:rFonts w:eastAsia="仿宋"/>
          <w:sz w:val="28"/>
          <w:szCs w:val="28"/>
        </w:rPr>
      </w:pP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0" w:firstLineChars="0"/>
        <w:jc w:val="center"/>
        <w:textAlignment w:val="auto"/>
        <w:rPr>
          <w:rFonts w:hint="eastAsia" w:hAnsi="宋体" w:eastAsia="宋体"/>
          <w:b/>
          <w:bCs/>
          <w:sz w:val="32"/>
          <w:szCs w:val="20"/>
          <w:lang w:eastAsia="zh-CN"/>
        </w:rPr>
      </w:pPr>
      <w:r>
        <w:rPr>
          <w:rFonts w:hint="eastAsia" w:hAnsi="宋体"/>
          <w:b/>
          <w:bCs/>
          <w:sz w:val="32"/>
          <w:szCs w:val="20"/>
          <w:lang w:val="en-US" w:eastAsia="zh-CN"/>
        </w:rPr>
        <w:t>编制单位：</w:t>
      </w:r>
      <w:r>
        <w:rPr>
          <w:rFonts w:hint="eastAsia" w:hAnsi="宋体"/>
          <w:b/>
          <w:bCs/>
          <w:sz w:val="32"/>
          <w:szCs w:val="20"/>
          <w:lang w:eastAsia="zh-CN"/>
        </w:rPr>
        <w:t>翁源县中源发展有限公司</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0" w:firstLineChars="0"/>
        <w:jc w:val="center"/>
        <w:textAlignment w:val="auto"/>
        <w:rPr>
          <w:rFonts w:hint="default" w:hAnsi="宋体"/>
          <w:b/>
          <w:bCs/>
          <w:sz w:val="32"/>
          <w:szCs w:val="20"/>
          <w:lang w:val="en-US" w:eastAsia="zh-CN"/>
        </w:rPr>
      </w:pPr>
      <w:r>
        <w:rPr>
          <w:rFonts w:hint="eastAsia" w:hAnsi="宋体"/>
          <w:b/>
          <w:bCs/>
          <w:sz w:val="32"/>
          <w:szCs w:val="20"/>
          <w:lang w:val="en-US" w:eastAsia="zh-CN"/>
        </w:rPr>
        <w:t>技术服务单位：韶关净达安全环保科技有限公司</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0" w:firstLineChars="0"/>
        <w:jc w:val="center"/>
        <w:textAlignment w:val="auto"/>
        <w:rPr>
          <w:rFonts w:hint="eastAsia" w:eastAsia="宋体"/>
          <w:b/>
          <w:sz w:val="32"/>
          <w:szCs w:val="32"/>
          <w:lang w:val="en-US" w:eastAsia="zh-CN"/>
        </w:rPr>
      </w:pPr>
      <w:r>
        <w:rPr>
          <w:b/>
          <w:sz w:val="32"/>
          <w:szCs w:val="32"/>
        </w:rPr>
        <w:t>二〇</w:t>
      </w:r>
      <w:r>
        <w:rPr>
          <w:rFonts w:hint="eastAsia"/>
          <w:b/>
          <w:sz w:val="32"/>
          <w:szCs w:val="32"/>
        </w:rPr>
        <w:t>二</w:t>
      </w:r>
      <w:r>
        <w:rPr>
          <w:rFonts w:hint="eastAsia"/>
          <w:b/>
          <w:sz w:val="32"/>
          <w:szCs w:val="32"/>
          <w:lang w:val="en-US" w:eastAsia="zh-CN"/>
        </w:rPr>
        <w:t>二</w:t>
      </w:r>
      <w:r>
        <w:rPr>
          <w:b/>
          <w:sz w:val="32"/>
          <w:szCs w:val="32"/>
        </w:rPr>
        <w:t>年</w:t>
      </w:r>
      <w:r>
        <w:rPr>
          <w:rFonts w:hint="eastAsia"/>
          <w:b/>
          <w:sz w:val="32"/>
          <w:szCs w:val="32"/>
          <w:lang w:val="en-US" w:eastAsia="zh-CN"/>
        </w:rPr>
        <w:t>三</w:t>
      </w:r>
      <w:r>
        <w:rPr>
          <w:b/>
          <w:sz w:val="32"/>
          <w:szCs w:val="32"/>
        </w:rPr>
        <w:t xml:space="preserve">月 </w:t>
      </w:r>
      <w:r>
        <w:rPr>
          <w:rFonts w:hint="eastAsia"/>
          <w:b/>
          <w:sz w:val="32"/>
          <w:szCs w:val="32"/>
        </w:rPr>
        <w:t xml:space="preserve"> </w:t>
      </w:r>
      <w:r>
        <w:rPr>
          <w:b/>
          <w:sz w:val="32"/>
          <w:szCs w:val="32"/>
        </w:rPr>
        <w:t xml:space="preserve"> </w:t>
      </w:r>
      <w:r>
        <w:rPr>
          <w:rFonts w:hint="eastAsia"/>
          <w:b/>
          <w:sz w:val="32"/>
          <w:szCs w:val="32"/>
          <w:lang w:val="en-US" w:eastAsia="zh-CN"/>
        </w:rPr>
        <w:t>修订</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0" w:firstLineChars="0"/>
        <w:jc w:val="center"/>
        <w:textAlignment w:val="auto"/>
        <w:rPr>
          <w:b/>
          <w:sz w:val="32"/>
          <w:szCs w:val="32"/>
        </w:rPr>
      </w:pPr>
      <w:r>
        <w:rPr>
          <w:b/>
          <w:sz w:val="32"/>
          <w:szCs w:val="32"/>
        </w:rPr>
        <w:t>二〇</w:t>
      </w:r>
      <w:r>
        <w:rPr>
          <w:rFonts w:hint="eastAsia"/>
          <w:b/>
          <w:sz w:val="32"/>
          <w:szCs w:val="32"/>
        </w:rPr>
        <w:t>二</w:t>
      </w:r>
      <w:r>
        <w:rPr>
          <w:rFonts w:hint="eastAsia"/>
          <w:b/>
          <w:sz w:val="32"/>
          <w:szCs w:val="32"/>
          <w:lang w:val="en-US" w:eastAsia="zh-CN"/>
        </w:rPr>
        <w:t>二</w:t>
      </w:r>
      <w:r>
        <w:rPr>
          <w:b/>
          <w:sz w:val="32"/>
          <w:szCs w:val="32"/>
        </w:rPr>
        <w:t>年</w:t>
      </w:r>
      <w:r>
        <w:rPr>
          <w:rFonts w:hint="eastAsia"/>
          <w:b/>
          <w:sz w:val="32"/>
          <w:szCs w:val="32"/>
          <w:lang w:val="en-US" w:eastAsia="zh-CN"/>
        </w:rPr>
        <w:t>四</w:t>
      </w:r>
      <w:r>
        <w:rPr>
          <w:b/>
          <w:sz w:val="32"/>
          <w:szCs w:val="32"/>
        </w:rPr>
        <w:t xml:space="preserve">月 </w:t>
      </w:r>
      <w:r>
        <w:rPr>
          <w:rFonts w:hint="eastAsia"/>
          <w:b/>
          <w:sz w:val="32"/>
          <w:szCs w:val="32"/>
        </w:rPr>
        <w:t xml:space="preserve"> </w:t>
      </w:r>
      <w:r>
        <w:rPr>
          <w:b/>
          <w:sz w:val="32"/>
          <w:szCs w:val="32"/>
        </w:rPr>
        <w:t xml:space="preserve"> 发布</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0" w:firstLineChars="0"/>
        <w:jc w:val="center"/>
        <w:textAlignment w:val="auto"/>
        <w:rPr>
          <w:rFonts w:eastAsia="仿宋_GB2312"/>
          <w:sz w:val="32"/>
          <w:szCs w:val="30"/>
        </w:rPr>
        <w:sectPr>
          <w:headerReference r:id="rId3" w:type="default"/>
          <w:pgSz w:w="11906" w:h="16838"/>
          <w:pgMar w:top="1440" w:right="1797" w:bottom="1440" w:left="1797" w:header="851" w:footer="992" w:gutter="0"/>
          <w:pgNumType w:fmt="decimal" w:start="1"/>
          <w:cols w:space="720" w:num="1"/>
          <w:docGrid w:linePitch="312" w:charSpace="0"/>
        </w:sectPr>
      </w:pPr>
    </w:p>
    <w:p>
      <w:pPr>
        <w:pStyle w:val="2"/>
      </w:pPr>
    </w:p>
    <w:p>
      <w:pPr>
        <w:adjustRightInd w:val="0"/>
        <w:snapToGrid w:val="0"/>
        <w:spacing w:line="360" w:lineRule="auto"/>
        <w:ind w:firstLine="640" w:firstLineChars="200"/>
        <w:jc w:val="center"/>
        <w:rPr>
          <w:rFonts w:eastAsia="仿宋_GB2312"/>
          <w:sz w:val="32"/>
          <w:szCs w:val="30"/>
        </w:rPr>
      </w:pPr>
      <w:r>
        <w:rPr>
          <w:rFonts w:eastAsia="仿宋_GB2312"/>
          <w:sz w:val="32"/>
          <w:szCs w:val="30"/>
        </w:rPr>
        <w:t>突发环境事件应急预案参与编制人员名单：</w:t>
      </w:r>
    </w:p>
    <w:tbl>
      <w:tblPr>
        <w:tblStyle w:val="32"/>
        <w:tblW w:w="5000" w:type="pct"/>
        <w:jc w:val="center"/>
        <w:tblLayout w:type="fixed"/>
        <w:tblCellMar>
          <w:top w:w="0" w:type="dxa"/>
          <w:left w:w="108" w:type="dxa"/>
          <w:bottom w:w="0" w:type="dxa"/>
          <w:right w:w="108" w:type="dxa"/>
        </w:tblCellMar>
      </w:tblPr>
      <w:tblGrid>
        <w:gridCol w:w="737"/>
        <w:gridCol w:w="1775"/>
        <w:gridCol w:w="2744"/>
        <w:gridCol w:w="1046"/>
        <w:gridCol w:w="1213"/>
        <w:gridCol w:w="1013"/>
      </w:tblGrid>
      <w:tr>
        <w:trPr>
          <w:trHeight w:val="567" w:hRule="atLeast"/>
          <w:jc w:val="center"/>
        </w:trPr>
        <w:tc>
          <w:tcPr>
            <w:tcW w:w="1472" w:type="pct"/>
            <w:gridSpan w:val="2"/>
            <w:tcBorders>
              <w:top w:val="single" w:color="auto" w:sz="4" w:space="0"/>
              <w:left w:val="single" w:color="auto" w:sz="4" w:space="0"/>
              <w:bottom w:val="single" w:color="auto" w:sz="4" w:space="0"/>
              <w:right w:val="single" w:color="auto" w:sz="4" w:space="0"/>
            </w:tcBorders>
            <w:vAlign w:val="center"/>
          </w:tcPr>
          <w:p>
            <w:pPr>
              <w:adjustRightInd w:val="0"/>
              <w:jc w:val="center"/>
              <w:rPr>
                <w:b/>
                <w:sz w:val="24"/>
              </w:rPr>
            </w:pPr>
            <w:r>
              <w:rPr>
                <w:b/>
                <w:sz w:val="24"/>
              </w:rPr>
              <w:t>单位</w:t>
            </w:r>
          </w:p>
        </w:tc>
        <w:tc>
          <w:tcPr>
            <w:tcW w:w="1608" w:type="pct"/>
            <w:tcBorders>
              <w:top w:val="single" w:color="auto" w:sz="4" w:space="0"/>
              <w:left w:val="nil"/>
              <w:bottom w:val="single" w:color="auto" w:sz="4" w:space="0"/>
              <w:right w:val="single" w:color="auto" w:sz="4" w:space="0"/>
            </w:tcBorders>
            <w:vAlign w:val="center"/>
          </w:tcPr>
          <w:p>
            <w:pPr>
              <w:adjustRightInd w:val="0"/>
              <w:jc w:val="center"/>
              <w:rPr>
                <w:b/>
                <w:sz w:val="24"/>
              </w:rPr>
            </w:pPr>
            <w:r>
              <w:rPr>
                <w:rFonts w:hint="eastAsia"/>
                <w:b/>
                <w:sz w:val="24"/>
              </w:rPr>
              <w:t>统一社会信用代码</w:t>
            </w:r>
          </w:p>
        </w:tc>
        <w:tc>
          <w:tcPr>
            <w:tcW w:w="613" w:type="pct"/>
            <w:tcBorders>
              <w:top w:val="single" w:color="auto" w:sz="4" w:space="0"/>
              <w:left w:val="nil"/>
              <w:bottom w:val="single" w:color="auto" w:sz="4" w:space="0"/>
              <w:right w:val="single" w:color="auto" w:sz="4" w:space="0"/>
            </w:tcBorders>
            <w:vAlign w:val="center"/>
          </w:tcPr>
          <w:p>
            <w:pPr>
              <w:adjustRightInd w:val="0"/>
              <w:jc w:val="center"/>
              <w:rPr>
                <w:b/>
                <w:sz w:val="24"/>
              </w:rPr>
            </w:pPr>
            <w:r>
              <w:rPr>
                <w:b/>
                <w:sz w:val="24"/>
              </w:rPr>
              <w:t>姓名</w:t>
            </w:r>
          </w:p>
        </w:tc>
        <w:tc>
          <w:tcPr>
            <w:tcW w:w="711" w:type="pct"/>
            <w:tcBorders>
              <w:top w:val="single" w:color="auto" w:sz="4" w:space="0"/>
              <w:left w:val="nil"/>
              <w:bottom w:val="single" w:color="auto" w:sz="4" w:space="0"/>
              <w:right w:val="single" w:color="auto" w:sz="4" w:space="0"/>
            </w:tcBorders>
            <w:vAlign w:val="center"/>
          </w:tcPr>
          <w:p>
            <w:pPr>
              <w:adjustRightInd w:val="0"/>
              <w:jc w:val="center"/>
              <w:rPr>
                <w:b/>
                <w:sz w:val="24"/>
              </w:rPr>
            </w:pPr>
            <w:r>
              <w:rPr>
                <w:b/>
                <w:sz w:val="24"/>
              </w:rPr>
              <w:t>负责事项</w:t>
            </w:r>
          </w:p>
        </w:tc>
        <w:tc>
          <w:tcPr>
            <w:tcW w:w="593" w:type="pct"/>
            <w:tcBorders>
              <w:top w:val="single" w:color="auto" w:sz="4" w:space="0"/>
              <w:left w:val="nil"/>
              <w:bottom w:val="single" w:color="auto" w:sz="4" w:space="0"/>
              <w:right w:val="single" w:color="auto" w:sz="4" w:space="0"/>
            </w:tcBorders>
            <w:vAlign w:val="center"/>
          </w:tcPr>
          <w:p>
            <w:pPr>
              <w:adjustRightInd w:val="0"/>
              <w:jc w:val="center"/>
              <w:rPr>
                <w:b/>
                <w:sz w:val="24"/>
              </w:rPr>
            </w:pPr>
            <w:r>
              <w:rPr>
                <w:b/>
                <w:sz w:val="24"/>
              </w:rPr>
              <w:t>签名</w:t>
            </w:r>
          </w:p>
        </w:tc>
      </w:tr>
      <w:tr>
        <w:tblPrEx>
          <w:tblCellMar>
            <w:top w:w="0" w:type="dxa"/>
            <w:left w:w="108" w:type="dxa"/>
            <w:bottom w:w="0" w:type="dxa"/>
            <w:right w:w="108" w:type="dxa"/>
          </w:tblCellMar>
        </w:tblPrEx>
        <w:trPr>
          <w:trHeight w:val="567" w:hRule="atLeast"/>
          <w:jc w:val="center"/>
        </w:trPr>
        <w:tc>
          <w:tcPr>
            <w:tcW w:w="432" w:type="pct"/>
            <w:vMerge w:val="restart"/>
            <w:tcBorders>
              <w:top w:val="nil"/>
              <w:left w:val="single" w:color="auto" w:sz="4" w:space="0"/>
              <w:bottom w:val="single" w:color="auto" w:sz="4" w:space="0"/>
              <w:right w:val="single" w:color="auto" w:sz="4" w:space="0"/>
            </w:tcBorders>
            <w:vAlign w:val="center"/>
          </w:tcPr>
          <w:p>
            <w:pPr>
              <w:adjustRightInd w:val="0"/>
              <w:jc w:val="center"/>
              <w:rPr>
                <w:sz w:val="24"/>
              </w:rPr>
            </w:pPr>
            <w:r>
              <w:rPr>
                <w:sz w:val="24"/>
              </w:rPr>
              <w:t>编制单位</w:t>
            </w:r>
          </w:p>
        </w:tc>
        <w:tc>
          <w:tcPr>
            <w:tcW w:w="1040" w:type="pct"/>
            <w:vMerge w:val="restart"/>
            <w:tcBorders>
              <w:top w:val="nil"/>
              <w:left w:val="nil"/>
              <w:bottom w:val="single" w:color="auto" w:sz="4" w:space="0"/>
              <w:right w:val="single" w:color="auto" w:sz="4" w:space="0"/>
            </w:tcBorders>
            <w:vAlign w:val="center"/>
          </w:tcPr>
          <w:p>
            <w:pPr>
              <w:adjustRightInd w:val="0"/>
              <w:jc w:val="center"/>
              <w:rPr>
                <w:rFonts w:hint="eastAsia" w:ascii="Times New Roman" w:hAnsi="Times New Roman" w:eastAsia="宋体" w:cs="Times New Roman"/>
                <w:kern w:val="2"/>
                <w:sz w:val="24"/>
                <w:szCs w:val="24"/>
                <w:lang w:val="en-US" w:eastAsia="zh-CN" w:bidi="ar-SA"/>
              </w:rPr>
            </w:pPr>
            <w:r>
              <w:rPr>
                <w:rFonts w:hint="eastAsia" w:cs="Times New Roman"/>
                <w:kern w:val="2"/>
                <w:sz w:val="24"/>
                <w:szCs w:val="24"/>
                <w:lang w:val="en-US" w:eastAsia="zh-CN" w:bidi="ar-SA"/>
              </w:rPr>
              <w:t>翁源县中源发展有限公司</w:t>
            </w:r>
          </w:p>
        </w:tc>
        <w:tc>
          <w:tcPr>
            <w:tcW w:w="1608" w:type="pct"/>
            <w:vMerge w:val="restart"/>
            <w:tcBorders>
              <w:top w:val="single" w:color="auto" w:sz="4" w:space="0"/>
              <w:left w:val="nil"/>
              <w:right w:val="single" w:color="auto" w:sz="4" w:space="0"/>
            </w:tcBorders>
            <w:vAlign w:val="center"/>
          </w:tcPr>
          <w:p>
            <w:pPr>
              <w:adjustRightInd w:val="0"/>
              <w:jc w:val="center"/>
              <w:rPr>
                <w:rFonts w:hint="default" w:ascii="Times New Roman" w:hAnsi="Times New Roman" w:eastAsia="宋体" w:cs="Times New Roman"/>
                <w:kern w:val="2"/>
                <w:sz w:val="24"/>
                <w:szCs w:val="24"/>
                <w:lang w:val="en-US" w:eastAsia="zh-CN" w:bidi="ar-SA"/>
              </w:rPr>
            </w:pPr>
            <w:r>
              <w:rPr>
                <w:rFonts w:hint="eastAsia" w:cs="Times New Roman"/>
                <w:kern w:val="2"/>
                <w:sz w:val="24"/>
                <w:szCs w:val="24"/>
                <w:lang w:val="en-US" w:eastAsia="zh-CN" w:bidi="ar-SA"/>
              </w:rPr>
              <w:t>91440229782018589Q</w:t>
            </w:r>
          </w:p>
        </w:tc>
        <w:tc>
          <w:tcPr>
            <w:tcW w:w="613" w:type="pct"/>
            <w:tcBorders>
              <w:top w:val="single" w:color="auto" w:sz="4" w:space="0"/>
              <w:left w:val="nil"/>
              <w:bottom w:val="single" w:color="auto" w:sz="4" w:space="0"/>
              <w:right w:val="single" w:color="auto" w:sz="4" w:space="0"/>
            </w:tcBorders>
            <w:vAlign w:val="center"/>
          </w:tcPr>
          <w:p>
            <w:pPr>
              <w:adjustRightInd w:val="0"/>
              <w:jc w:val="center"/>
              <w:rPr>
                <w:sz w:val="24"/>
                <w:lang w:val="en-US" w:eastAsia="zh-CN"/>
              </w:rPr>
            </w:pPr>
            <w:r>
              <w:rPr>
                <w:rFonts w:hint="eastAsia"/>
                <w:sz w:val="24"/>
                <w:lang w:val="en-US" w:eastAsia="zh-CN"/>
              </w:rPr>
              <w:t>丘发亮</w:t>
            </w:r>
          </w:p>
        </w:tc>
        <w:tc>
          <w:tcPr>
            <w:tcW w:w="711" w:type="pct"/>
            <w:tcBorders>
              <w:top w:val="single" w:color="auto" w:sz="4" w:space="0"/>
              <w:left w:val="nil"/>
              <w:bottom w:val="single" w:color="auto" w:sz="4" w:space="0"/>
              <w:right w:val="single" w:color="auto" w:sz="4" w:space="0"/>
            </w:tcBorders>
            <w:vAlign w:val="center"/>
          </w:tcPr>
          <w:p>
            <w:pPr>
              <w:adjustRightInd w:val="0"/>
              <w:jc w:val="center"/>
              <w:rPr>
                <w:sz w:val="24"/>
              </w:rPr>
            </w:pPr>
            <w:r>
              <w:rPr>
                <w:sz w:val="24"/>
              </w:rPr>
              <w:t>报告编写</w:t>
            </w:r>
          </w:p>
        </w:tc>
        <w:tc>
          <w:tcPr>
            <w:tcW w:w="593" w:type="pct"/>
            <w:tcBorders>
              <w:top w:val="single" w:color="auto" w:sz="4" w:space="0"/>
              <w:left w:val="nil"/>
              <w:bottom w:val="single" w:color="auto" w:sz="4" w:space="0"/>
              <w:right w:val="single" w:color="auto" w:sz="4" w:space="0"/>
            </w:tcBorders>
            <w:vAlign w:val="center"/>
          </w:tcPr>
          <w:p>
            <w:pPr>
              <w:adjustRightInd w:val="0"/>
              <w:jc w:val="center"/>
              <w:rPr>
                <w:sz w:val="24"/>
              </w:rPr>
            </w:pPr>
          </w:p>
        </w:tc>
      </w:tr>
      <w:tr>
        <w:tblPrEx>
          <w:tblCellMar>
            <w:top w:w="0" w:type="dxa"/>
            <w:left w:w="108" w:type="dxa"/>
            <w:bottom w:w="0" w:type="dxa"/>
            <w:right w:w="108" w:type="dxa"/>
          </w:tblCellMar>
        </w:tblPrEx>
        <w:trPr>
          <w:trHeight w:val="567" w:hRule="atLeast"/>
          <w:jc w:val="center"/>
        </w:trPr>
        <w:tc>
          <w:tcPr>
            <w:tcW w:w="432" w:type="pct"/>
            <w:vMerge w:val="continue"/>
            <w:tcBorders>
              <w:left w:val="single" w:color="auto" w:sz="4" w:space="0"/>
              <w:right w:val="single" w:color="auto" w:sz="4" w:space="0"/>
            </w:tcBorders>
            <w:vAlign w:val="center"/>
          </w:tcPr>
          <w:p>
            <w:pPr>
              <w:adjustRightInd w:val="0"/>
              <w:jc w:val="center"/>
              <w:rPr>
                <w:sz w:val="24"/>
              </w:rPr>
            </w:pPr>
          </w:p>
        </w:tc>
        <w:tc>
          <w:tcPr>
            <w:tcW w:w="1040" w:type="pct"/>
            <w:vMerge w:val="continue"/>
            <w:tcBorders>
              <w:left w:val="nil"/>
              <w:right w:val="single" w:color="auto" w:sz="4" w:space="0"/>
            </w:tcBorders>
            <w:vAlign w:val="center"/>
          </w:tcPr>
          <w:p>
            <w:pPr>
              <w:adjustRightInd w:val="0"/>
              <w:jc w:val="center"/>
              <w:rPr>
                <w:rFonts w:hint="eastAsia" w:ascii="Times New Roman" w:hAnsi="Times New Roman" w:eastAsia="宋体" w:cs="Times New Roman"/>
                <w:kern w:val="2"/>
                <w:sz w:val="24"/>
                <w:szCs w:val="24"/>
                <w:lang w:val="en-US" w:eastAsia="zh-CN" w:bidi="ar-SA"/>
              </w:rPr>
            </w:pPr>
          </w:p>
        </w:tc>
        <w:tc>
          <w:tcPr>
            <w:tcW w:w="1608" w:type="pct"/>
            <w:vMerge w:val="continue"/>
            <w:tcBorders>
              <w:left w:val="nil"/>
              <w:right w:val="single" w:color="auto" w:sz="4" w:space="0"/>
            </w:tcBorders>
            <w:vAlign w:val="center"/>
          </w:tcPr>
          <w:p>
            <w:pPr>
              <w:adjustRightInd w:val="0"/>
              <w:jc w:val="center"/>
              <w:rPr>
                <w:rFonts w:hint="eastAsia" w:ascii="Times New Roman" w:hAnsi="Times New Roman" w:eastAsia="宋体" w:cs="Times New Roman"/>
                <w:kern w:val="2"/>
                <w:sz w:val="24"/>
                <w:szCs w:val="24"/>
                <w:lang w:val="en-US" w:eastAsia="zh-CN" w:bidi="ar-SA"/>
              </w:rPr>
            </w:pPr>
          </w:p>
        </w:tc>
        <w:tc>
          <w:tcPr>
            <w:tcW w:w="613" w:type="pct"/>
            <w:tcBorders>
              <w:top w:val="single" w:color="auto" w:sz="4" w:space="0"/>
              <w:left w:val="nil"/>
              <w:bottom w:val="single" w:color="auto" w:sz="4" w:space="0"/>
              <w:right w:val="single" w:color="auto" w:sz="4" w:space="0"/>
            </w:tcBorders>
            <w:vAlign w:val="center"/>
          </w:tcPr>
          <w:p>
            <w:pPr>
              <w:adjustRightInd w:val="0"/>
              <w:jc w:val="center"/>
              <w:rPr>
                <w:sz w:val="24"/>
                <w:lang w:val="en-US" w:eastAsia="zh-CN"/>
              </w:rPr>
            </w:pPr>
            <w:r>
              <w:rPr>
                <w:rFonts w:hint="eastAsia"/>
                <w:sz w:val="24"/>
                <w:lang w:val="en-US" w:eastAsia="zh-CN"/>
              </w:rPr>
              <w:t>赵志兴</w:t>
            </w:r>
          </w:p>
        </w:tc>
        <w:tc>
          <w:tcPr>
            <w:tcW w:w="711" w:type="pct"/>
            <w:tcBorders>
              <w:top w:val="single" w:color="auto" w:sz="4" w:space="0"/>
              <w:left w:val="nil"/>
              <w:bottom w:val="single" w:color="auto" w:sz="4" w:space="0"/>
              <w:right w:val="single" w:color="auto" w:sz="4" w:space="0"/>
            </w:tcBorders>
            <w:vAlign w:val="center"/>
          </w:tcPr>
          <w:p>
            <w:pPr>
              <w:adjustRightInd w:val="0"/>
              <w:jc w:val="center"/>
              <w:rPr>
                <w:sz w:val="24"/>
              </w:rPr>
            </w:pPr>
            <w:r>
              <w:rPr>
                <w:sz w:val="24"/>
              </w:rPr>
              <w:t>报告编写</w:t>
            </w:r>
          </w:p>
        </w:tc>
        <w:tc>
          <w:tcPr>
            <w:tcW w:w="593" w:type="pct"/>
            <w:tcBorders>
              <w:top w:val="single" w:color="auto" w:sz="4" w:space="0"/>
              <w:left w:val="nil"/>
              <w:bottom w:val="single" w:color="auto" w:sz="4" w:space="0"/>
              <w:right w:val="single" w:color="auto" w:sz="4" w:space="0"/>
            </w:tcBorders>
            <w:vAlign w:val="center"/>
          </w:tcPr>
          <w:p>
            <w:pPr>
              <w:adjustRightInd w:val="0"/>
              <w:jc w:val="center"/>
              <w:rPr>
                <w:sz w:val="24"/>
              </w:rPr>
            </w:pPr>
          </w:p>
        </w:tc>
      </w:tr>
      <w:tr>
        <w:tblPrEx>
          <w:tblCellMar>
            <w:top w:w="0" w:type="dxa"/>
            <w:left w:w="108" w:type="dxa"/>
            <w:bottom w:w="0" w:type="dxa"/>
            <w:right w:w="108" w:type="dxa"/>
          </w:tblCellMar>
        </w:tblPrEx>
        <w:trPr>
          <w:trHeight w:val="567" w:hRule="atLeast"/>
          <w:jc w:val="center"/>
        </w:trPr>
        <w:tc>
          <w:tcPr>
            <w:tcW w:w="432" w:type="pct"/>
            <w:vMerge w:val="continue"/>
            <w:tcBorders>
              <w:top w:val="nil"/>
              <w:left w:val="single" w:color="auto" w:sz="4" w:space="0"/>
              <w:bottom w:val="single" w:color="auto" w:sz="4" w:space="0"/>
              <w:right w:val="single" w:color="auto" w:sz="4" w:space="0"/>
            </w:tcBorders>
            <w:vAlign w:val="center"/>
          </w:tcPr>
          <w:p>
            <w:pPr>
              <w:widowControl/>
              <w:adjustRightInd w:val="0"/>
              <w:jc w:val="center"/>
              <w:rPr>
                <w:sz w:val="24"/>
              </w:rPr>
            </w:pPr>
          </w:p>
        </w:tc>
        <w:tc>
          <w:tcPr>
            <w:tcW w:w="1040" w:type="pct"/>
            <w:vMerge w:val="continue"/>
            <w:tcBorders>
              <w:top w:val="nil"/>
              <w:left w:val="nil"/>
              <w:bottom w:val="single" w:color="auto" w:sz="4" w:space="0"/>
              <w:right w:val="single" w:color="auto" w:sz="4" w:space="0"/>
            </w:tcBorders>
            <w:vAlign w:val="center"/>
          </w:tcPr>
          <w:p>
            <w:pPr>
              <w:adjustRightInd w:val="0"/>
              <w:jc w:val="center"/>
              <w:rPr>
                <w:rFonts w:ascii="Times New Roman" w:hAnsi="Times New Roman" w:eastAsia="宋体" w:cs="Times New Roman"/>
                <w:kern w:val="2"/>
                <w:sz w:val="24"/>
                <w:szCs w:val="24"/>
                <w:lang w:val="en-US" w:eastAsia="zh-CN" w:bidi="ar-SA"/>
              </w:rPr>
            </w:pPr>
          </w:p>
        </w:tc>
        <w:tc>
          <w:tcPr>
            <w:tcW w:w="1608" w:type="pct"/>
            <w:vMerge w:val="continue"/>
            <w:tcBorders>
              <w:left w:val="nil"/>
              <w:bottom w:val="single" w:color="auto" w:sz="4" w:space="0"/>
              <w:right w:val="single" w:color="auto" w:sz="4" w:space="0"/>
            </w:tcBorders>
            <w:vAlign w:val="center"/>
          </w:tcPr>
          <w:p>
            <w:pPr>
              <w:adjustRightInd w:val="0"/>
              <w:jc w:val="center"/>
              <w:rPr>
                <w:rFonts w:ascii="Times New Roman" w:hAnsi="Times New Roman" w:eastAsia="宋体" w:cs="Times New Roman"/>
                <w:kern w:val="2"/>
                <w:sz w:val="24"/>
                <w:szCs w:val="24"/>
                <w:lang w:val="en-US" w:eastAsia="zh-CN" w:bidi="ar-SA"/>
              </w:rPr>
            </w:pPr>
          </w:p>
        </w:tc>
        <w:tc>
          <w:tcPr>
            <w:tcW w:w="613" w:type="pct"/>
            <w:tcBorders>
              <w:top w:val="single" w:color="auto" w:sz="4" w:space="0"/>
              <w:left w:val="nil"/>
              <w:bottom w:val="single" w:color="auto" w:sz="4" w:space="0"/>
              <w:right w:val="single" w:color="auto" w:sz="4" w:space="0"/>
            </w:tcBorders>
            <w:vAlign w:val="center"/>
          </w:tcPr>
          <w:p>
            <w:pPr>
              <w:adjustRightInd w:val="0"/>
              <w:jc w:val="center"/>
              <w:rPr>
                <w:sz w:val="24"/>
                <w:lang w:val="en-US" w:eastAsia="zh-CN"/>
              </w:rPr>
            </w:pPr>
            <w:r>
              <w:rPr>
                <w:rFonts w:hint="eastAsia"/>
                <w:sz w:val="24"/>
                <w:lang w:val="en-US" w:eastAsia="zh-CN"/>
              </w:rPr>
              <w:t>肖正祥</w:t>
            </w:r>
          </w:p>
        </w:tc>
        <w:tc>
          <w:tcPr>
            <w:tcW w:w="711" w:type="pct"/>
            <w:tcBorders>
              <w:top w:val="single" w:color="auto" w:sz="4" w:space="0"/>
              <w:left w:val="nil"/>
              <w:bottom w:val="single" w:color="auto" w:sz="4" w:space="0"/>
              <w:right w:val="single" w:color="auto" w:sz="4" w:space="0"/>
            </w:tcBorders>
            <w:vAlign w:val="center"/>
          </w:tcPr>
          <w:p>
            <w:pPr>
              <w:adjustRightInd w:val="0"/>
              <w:jc w:val="center"/>
              <w:rPr>
                <w:sz w:val="24"/>
              </w:rPr>
            </w:pPr>
            <w:r>
              <w:rPr>
                <w:sz w:val="24"/>
              </w:rPr>
              <w:t>报告审核</w:t>
            </w:r>
          </w:p>
        </w:tc>
        <w:tc>
          <w:tcPr>
            <w:tcW w:w="593" w:type="pct"/>
            <w:tcBorders>
              <w:top w:val="single" w:color="auto" w:sz="4" w:space="0"/>
              <w:left w:val="nil"/>
              <w:bottom w:val="single" w:color="auto" w:sz="4" w:space="0"/>
              <w:right w:val="single" w:color="auto" w:sz="4" w:space="0"/>
            </w:tcBorders>
            <w:vAlign w:val="center"/>
          </w:tcPr>
          <w:p>
            <w:pPr>
              <w:adjustRightInd w:val="0"/>
              <w:jc w:val="center"/>
              <w:rPr>
                <w:sz w:val="24"/>
              </w:rPr>
            </w:pPr>
          </w:p>
        </w:tc>
      </w:tr>
      <w:tr>
        <w:tblPrEx>
          <w:tblCellMar>
            <w:top w:w="0" w:type="dxa"/>
            <w:left w:w="108" w:type="dxa"/>
            <w:bottom w:w="0" w:type="dxa"/>
            <w:right w:w="108" w:type="dxa"/>
          </w:tblCellMar>
        </w:tblPrEx>
        <w:trPr>
          <w:trHeight w:val="567" w:hRule="atLeast"/>
          <w:jc w:val="center"/>
        </w:trPr>
        <w:tc>
          <w:tcPr>
            <w:tcW w:w="432" w:type="pct"/>
            <w:vMerge w:val="restart"/>
            <w:tcBorders>
              <w:top w:val="nil"/>
              <w:left w:val="single" w:color="auto" w:sz="4" w:space="0"/>
              <w:bottom w:val="single" w:color="auto" w:sz="4" w:space="0"/>
              <w:right w:val="single" w:color="auto" w:sz="4" w:space="0"/>
            </w:tcBorders>
            <w:vAlign w:val="center"/>
          </w:tcPr>
          <w:p>
            <w:pPr>
              <w:adjustRightInd w:val="0"/>
              <w:jc w:val="center"/>
              <w:rPr>
                <w:sz w:val="24"/>
              </w:rPr>
            </w:pPr>
            <w:r>
              <w:rPr>
                <w:rFonts w:hint="eastAsia"/>
                <w:sz w:val="24"/>
              </w:rPr>
              <w:t>技术服务单位</w:t>
            </w:r>
          </w:p>
        </w:tc>
        <w:tc>
          <w:tcPr>
            <w:tcW w:w="1040" w:type="pct"/>
            <w:vMerge w:val="restart"/>
            <w:tcBorders>
              <w:top w:val="nil"/>
              <w:left w:val="nil"/>
              <w:bottom w:val="single" w:color="auto" w:sz="4" w:space="0"/>
              <w:right w:val="single" w:color="auto" w:sz="4" w:space="0"/>
            </w:tcBorders>
            <w:vAlign w:val="center"/>
          </w:tcPr>
          <w:p>
            <w:pPr>
              <w:pStyle w:val="70"/>
              <w:snapToGrid w:val="0"/>
              <w:spacing w:before="0" w:after="0" w:line="360" w:lineRule="auto"/>
              <w:jc w:val="center"/>
              <w:rPr>
                <w:rFonts w:ascii="Times New Roman" w:hAnsi="Times New Roman" w:eastAsia="宋体" w:cs="Times New Roman"/>
                <w:kern w:val="2"/>
                <w:sz w:val="24"/>
                <w:szCs w:val="24"/>
                <w:lang w:val="en-US" w:eastAsia="zh-CN" w:bidi="ar-SA"/>
              </w:rPr>
            </w:pPr>
            <w:r>
              <w:rPr>
                <w:rFonts w:ascii="Times New Roman" w:hAnsi="Times New Roman" w:eastAsia="宋体" w:cs="Times New Roman"/>
                <w:kern w:val="2"/>
                <w:sz w:val="24"/>
                <w:szCs w:val="24"/>
                <w:lang w:val="en-US" w:eastAsia="zh-CN" w:bidi="ar-SA"/>
              </w:rPr>
              <w:t>韶关净达安全环保科技有限公司</w:t>
            </w:r>
          </w:p>
        </w:tc>
        <w:tc>
          <w:tcPr>
            <w:tcW w:w="1608" w:type="pct"/>
            <w:vMerge w:val="restart"/>
            <w:tcBorders>
              <w:top w:val="single" w:color="auto" w:sz="4" w:space="0"/>
              <w:left w:val="nil"/>
              <w:right w:val="single" w:color="auto" w:sz="4" w:space="0"/>
            </w:tcBorders>
            <w:vAlign w:val="center"/>
          </w:tcPr>
          <w:p>
            <w:pPr>
              <w:pStyle w:val="70"/>
              <w:snapToGrid w:val="0"/>
              <w:spacing w:before="0" w:after="0" w:line="360" w:lineRule="auto"/>
              <w:jc w:val="center"/>
              <w:rPr>
                <w:rFonts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91440203MA52LYNF48</w:t>
            </w:r>
          </w:p>
        </w:tc>
        <w:tc>
          <w:tcPr>
            <w:tcW w:w="613" w:type="pct"/>
            <w:tcBorders>
              <w:top w:val="single" w:color="auto" w:sz="4" w:space="0"/>
              <w:left w:val="nil"/>
              <w:bottom w:val="single" w:color="auto" w:sz="4" w:space="0"/>
              <w:right w:val="single" w:color="auto" w:sz="4" w:space="0"/>
            </w:tcBorders>
            <w:vAlign w:val="center"/>
          </w:tcPr>
          <w:p>
            <w:pPr>
              <w:pStyle w:val="70"/>
              <w:keepNext w:val="0"/>
              <w:keepLines w:val="0"/>
              <w:pageBreakBefore w:val="0"/>
              <w:widowControl w:val="0"/>
              <w:kinsoku/>
              <w:wordWrap/>
              <w:overflowPunct w:val="0"/>
              <w:topLinePunct w:val="0"/>
              <w:autoSpaceDE/>
              <w:autoSpaceDN/>
              <w:bidi w:val="0"/>
              <w:adjustRightInd w:val="0"/>
              <w:snapToGrid w:val="0"/>
              <w:spacing w:before="0" w:after="0" w:line="240" w:lineRule="auto"/>
              <w:jc w:val="center"/>
              <w:textAlignment w:val="baseline"/>
              <w:rPr>
                <w:rFonts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谢婵怡</w:t>
            </w:r>
          </w:p>
        </w:tc>
        <w:tc>
          <w:tcPr>
            <w:tcW w:w="711" w:type="pct"/>
            <w:tcBorders>
              <w:top w:val="single" w:color="auto" w:sz="4" w:space="0"/>
              <w:left w:val="nil"/>
              <w:bottom w:val="single" w:color="auto" w:sz="4" w:space="0"/>
              <w:right w:val="single" w:color="auto" w:sz="4" w:space="0"/>
            </w:tcBorders>
            <w:vAlign w:val="center"/>
          </w:tcPr>
          <w:p>
            <w:pPr>
              <w:adjustRightInd w:val="0"/>
              <w:jc w:val="center"/>
              <w:rPr>
                <w:rFonts w:ascii="Times New Roman" w:hAnsi="Times New Roman" w:eastAsia="宋体" w:cs="Times New Roman"/>
                <w:kern w:val="2"/>
                <w:sz w:val="24"/>
                <w:szCs w:val="24"/>
                <w:lang w:val="en-US" w:eastAsia="zh-CN" w:bidi="ar-SA"/>
              </w:rPr>
            </w:pPr>
            <w:r>
              <w:rPr>
                <w:sz w:val="24"/>
              </w:rPr>
              <w:t>报告编写</w:t>
            </w:r>
          </w:p>
        </w:tc>
        <w:tc>
          <w:tcPr>
            <w:tcW w:w="593" w:type="pct"/>
            <w:tcBorders>
              <w:top w:val="single" w:color="auto" w:sz="4" w:space="0"/>
              <w:left w:val="nil"/>
              <w:bottom w:val="single" w:color="auto" w:sz="4" w:space="0"/>
              <w:right w:val="single" w:color="auto" w:sz="4" w:space="0"/>
            </w:tcBorders>
            <w:vAlign w:val="center"/>
          </w:tcPr>
          <w:p>
            <w:pPr>
              <w:adjustRightInd w:val="0"/>
              <w:jc w:val="center"/>
              <w:rPr>
                <w:sz w:val="24"/>
              </w:rPr>
            </w:pPr>
          </w:p>
        </w:tc>
      </w:tr>
      <w:tr>
        <w:tblPrEx>
          <w:tblCellMar>
            <w:top w:w="0" w:type="dxa"/>
            <w:left w:w="108" w:type="dxa"/>
            <w:bottom w:w="0" w:type="dxa"/>
            <w:right w:w="108" w:type="dxa"/>
          </w:tblCellMar>
        </w:tblPrEx>
        <w:trPr>
          <w:trHeight w:val="567" w:hRule="atLeast"/>
          <w:jc w:val="center"/>
        </w:trPr>
        <w:tc>
          <w:tcPr>
            <w:tcW w:w="432" w:type="pct"/>
            <w:vMerge w:val="continue"/>
            <w:tcBorders>
              <w:top w:val="nil"/>
              <w:left w:val="single" w:color="auto" w:sz="4" w:space="0"/>
              <w:bottom w:val="single" w:color="auto" w:sz="4" w:space="0"/>
              <w:right w:val="single" w:color="auto" w:sz="4" w:space="0"/>
            </w:tcBorders>
            <w:vAlign w:val="center"/>
          </w:tcPr>
          <w:p>
            <w:pPr>
              <w:widowControl/>
              <w:adjustRightInd w:val="0"/>
              <w:jc w:val="center"/>
              <w:rPr>
                <w:sz w:val="24"/>
              </w:rPr>
            </w:pPr>
          </w:p>
        </w:tc>
        <w:tc>
          <w:tcPr>
            <w:tcW w:w="1040" w:type="pct"/>
            <w:vMerge w:val="continue"/>
            <w:tcBorders>
              <w:top w:val="nil"/>
              <w:left w:val="nil"/>
              <w:bottom w:val="single" w:color="auto" w:sz="4" w:space="0"/>
              <w:right w:val="single" w:color="auto" w:sz="4" w:space="0"/>
            </w:tcBorders>
            <w:vAlign w:val="center"/>
          </w:tcPr>
          <w:p>
            <w:pPr>
              <w:pStyle w:val="70"/>
              <w:snapToGrid w:val="0"/>
              <w:spacing w:before="0" w:after="0" w:line="360" w:lineRule="auto"/>
              <w:jc w:val="center"/>
              <w:rPr>
                <w:rFonts w:ascii="Times New Roman" w:hAnsi="Times New Roman" w:eastAsia="宋体" w:cs="Times New Roman"/>
                <w:kern w:val="2"/>
                <w:sz w:val="24"/>
                <w:szCs w:val="24"/>
                <w:lang w:val="en-US" w:eastAsia="zh-CN" w:bidi="ar-SA"/>
              </w:rPr>
            </w:pPr>
          </w:p>
        </w:tc>
        <w:tc>
          <w:tcPr>
            <w:tcW w:w="1608" w:type="pct"/>
            <w:vMerge w:val="continue"/>
            <w:tcBorders>
              <w:left w:val="nil"/>
              <w:bottom w:val="single" w:color="auto" w:sz="4" w:space="0"/>
              <w:right w:val="single" w:color="auto" w:sz="4" w:space="0"/>
            </w:tcBorders>
            <w:vAlign w:val="center"/>
          </w:tcPr>
          <w:p>
            <w:pPr>
              <w:pStyle w:val="70"/>
              <w:snapToGrid w:val="0"/>
              <w:spacing w:before="0" w:after="0" w:line="360" w:lineRule="auto"/>
              <w:jc w:val="center"/>
              <w:rPr>
                <w:rFonts w:ascii="Times New Roman" w:hAnsi="Times New Roman" w:eastAsia="宋体" w:cs="Times New Roman"/>
                <w:kern w:val="2"/>
                <w:sz w:val="24"/>
                <w:szCs w:val="24"/>
                <w:lang w:val="en-US" w:eastAsia="zh-CN" w:bidi="ar-SA"/>
              </w:rPr>
            </w:pPr>
          </w:p>
        </w:tc>
        <w:tc>
          <w:tcPr>
            <w:tcW w:w="613" w:type="pct"/>
            <w:tcBorders>
              <w:top w:val="single" w:color="auto" w:sz="4" w:space="0"/>
              <w:left w:val="nil"/>
              <w:bottom w:val="single" w:color="auto" w:sz="4" w:space="0"/>
              <w:right w:val="single" w:color="auto" w:sz="4" w:space="0"/>
            </w:tcBorders>
            <w:vAlign w:val="center"/>
          </w:tcPr>
          <w:p>
            <w:pPr>
              <w:pStyle w:val="70"/>
              <w:keepNext w:val="0"/>
              <w:keepLines w:val="0"/>
              <w:pageBreakBefore w:val="0"/>
              <w:widowControl w:val="0"/>
              <w:kinsoku/>
              <w:wordWrap/>
              <w:overflowPunct w:val="0"/>
              <w:topLinePunct w:val="0"/>
              <w:autoSpaceDE/>
              <w:autoSpaceDN/>
              <w:bidi w:val="0"/>
              <w:adjustRightInd w:val="0"/>
              <w:snapToGrid w:val="0"/>
              <w:spacing w:before="0" w:after="0" w:line="240" w:lineRule="auto"/>
              <w:jc w:val="center"/>
              <w:textAlignment w:val="baseline"/>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刘子才</w:t>
            </w:r>
          </w:p>
        </w:tc>
        <w:tc>
          <w:tcPr>
            <w:tcW w:w="711" w:type="pct"/>
            <w:tcBorders>
              <w:top w:val="single" w:color="auto" w:sz="4" w:space="0"/>
              <w:left w:val="nil"/>
              <w:bottom w:val="single" w:color="auto" w:sz="4" w:space="0"/>
              <w:right w:val="single" w:color="auto" w:sz="4" w:space="0"/>
            </w:tcBorders>
            <w:vAlign w:val="center"/>
          </w:tcPr>
          <w:p>
            <w:pPr>
              <w:adjustRightInd w:val="0"/>
              <w:jc w:val="center"/>
              <w:rPr>
                <w:rFonts w:ascii="Times New Roman" w:hAnsi="Times New Roman" w:eastAsia="宋体" w:cs="Times New Roman"/>
                <w:kern w:val="2"/>
                <w:sz w:val="24"/>
                <w:szCs w:val="24"/>
                <w:lang w:val="en-US" w:eastAsia="zh-CN" w:bidi="ar-SA"/>
              </w:rPr>
            </w:pPr>
            <w:r>
              <w:rPr>
                <w:sz w:val="24"/>
              </w:rPr>
              <w:t>报告审核</w:t>
            </w:r>
          </w:p>
        </w:tc>
        <w:tc>
          <w:tcPr>
            <w:tcW w:w="593" w:type="pct"/>
            <w:tcBorders>
              <w:top w:val="single" w:color="auto" w:sz="4" w:space="0"/>
              <w:left w:val="nil"/>
              <w:bottom w:val="single" w:color="auto" w:sz="4" w:space="0"/>
              <w:right w:val="single" w:color="auto" w:sz="4" w:space="0"/>
            </w:tcBorders>
            <w:vAlign w:val="center"/>
          </w:tcPr>
          <w:p>
            <w:pPr>
              <w:adjustRightInd w:val="0"/>
              <w:jc w:val="center"/>
              <w:rPr>
                <w:sz w:val="24"/>
              </w:rPr>
            </w:pPr>
          </w:p>
        </w:tc>
      </w:tr>
    </w:tbl>
    <w:p>
      <w:pPr>
        <w:pStyle w:val="2"/>
        <w:sectPr>
          <w:footerReference r:id="rId4" w:type="default"/>
          <w:pgSz w:w="11906" w:h="16838"/>
          <w:pgMar w:top="1440" w:right="1797" w:bottom="1440" w:left="1797" w:header="851" w:footer="992" w:gutter="0"/>
          <w:pgNumType w:fmt="decimal" w:start="1"/>
          <w:cols w:space="720" w:num="1"/>
          <w:docGrid w:linePitch="312" w:charSpace="0"/>
        </w:sectPr>
      </w:pPr>
    </w:p>
    <w:p>
      <w:pPr>
        <w:jc w:val="center"/>
        <w:rPr>
          <w:bCs/>
          <w:spacing w:val="60"/>
          <w:sz w:val="36"/>
          <w:szCs w:val="36"/>
        </w:rPr>
      </w:pPr>
      <w:r>
        <w:rPr>
          <w:rFonts w:hint="eastAsia" w:hAnsi="宋体"/>
          <w:bCs/>
          <w:spacing w:val="60"/>
          <w:sz w:val="36"/>
          <w:szCs w:val="36"/>
        </w:rPr>
        <w:t>企业</w:t>
      </w:r>
      <w:r>
        <w:rPr>
          <w:rFonts w:hAnsi="宋体"/>
          <w:bCs/>
          <w:spacing w:val="60"/>
          <w:sz w:val="36"/>
          <w:szCs w:val="36"/>
        </w:rPr>
        <w:t>承诺书</w:t>
      </w:r>
    </w:p>
    <w:p>
      <w:pPr>
        <w:jc w:val="center"/>
        <w:rPr>
          <w:bCs/>
          <w:spacing w:val="60"/>
          <w:sz w:val="44"/>
          <w:szCs w:val="44"/>
        </w:rPr>
      </w:pPr>
    </w:p>
    <w:p>
      <w:pPr>
        <w:spacing w:line="480" w:lineRule="auto"/>
        <w:ind w:firstLine="600" w:firstLineChars="200"/>
        <w:rPr>
          <w:sz w:val="30"/>
          <w:szCs w:val="30"/>
        </w:rPr>
      </w:pPr>
      <w:r>
        <w:rPr>
          <w:rFonts w:hint="eastAsia"/>
          <w:sz w:val="30"/>
          <w:szCs w:val="30"/>
        </w:rPr>
        <w:t>我公司承诺：</w:t>
      </w:r>
    </w:p>
    <w:p>
      <w:pPr>
        <w:spacing w:line="480" w:lineRule="auto"/>
        <w:ind w:firstLine="600" w:firstLineChars="200"/>
        <w:rPr>
          <w:sz w:val="30"/>
          <w:szCs w:val="30"/>
        </w:rPr>
      </w:pPr>
      <w:r>
        <w:rPr>
          <w:rFonts w:hint="eastAsia"/>
          <w:sz w:val="30"/>
          <w:szCs w:val="30"/>
        </w:rPr>
        <w:t>《</w:t>
      </w:r>
      <w:r>
        <w:rPr>
          <w:rFonts w:hint="eastAsia" w:ascii="宋体" w:hAnsi="宋体"/>
          <w:sz w:val="30"/>
          <w:szCs w:val="30"/>
          <w:lang w:eastAsia="zh-CN"/>
        </w:rPr>
        <w:t>翁源县中源发展有限公司</w:t>
      </w:r>
      <w:r>
        <w:rPr>
          <w:rFonts w:hint="eastAsia"/>
          <w:sz w:val="30"/>
          <w:szCs w:val="30"/>
        </w:rPr>
        <w:t>突发环境事件应急预案》及其所有附件材料真实有效，无弄虚作假行为，并对材料的真实性承担法律责任。</w:t>
      </w:r>
    </w:p>
    <w:p>
      <w:pPr>
        <w:spacing w:line="480" w:lineRule="auto"/>
        <w:ind w:firstLine="600" w:firstLineChars="200"/>
        <w:rPr>
          <w:sz w:val="30"/>
          <w:szCs w:val="30"/>
        </w:rPr>
      </w:pPr>
    </w:p>
    <w:p>
      <w:pPr>
        <w:spacing w:line="480" w:lineRule="auto"/>
        <w:ind w:firstLine="600" w:firstLineChars="200"/>
        <w:rPr>
          <w:sz w:val="30"/>
          <w:szCs w:val="30"/>
        </w:rPr>
      </w:pPr>
      <w:r>
        <w:rPr>
          <w:rFonts w:hint="eastAsia"/>
          <w:sz w:val="30"/>
          <w:szCs w:val="30"/>
        </w:rPr>
        <w:t>特此承诺。</w:t>
      </w:r>
    </w:p>
    <w:p>
      <w:pPr>
        <w:spacing w:line="360" w:lineRule="auto"/>
        <w:rPr>
          <w:rFonts w:hAnsi="宋体"/>
          <w:sz w:val="28"/>
          <w:szCs w:val="28"/>
        </w:rPr>
      </w:pPr>
    </w:p>
    <w:p>
      <w:pPr>
        <w:spacing w:line="360" w:lineRule="auto"/>
        <w:rPr>
          <w:color w:val="000000"/>
          <w:sz w:val="28"/>
          <w:szCs w:val="28"/>
        </w:rPr>
      </w:pPr>
    </w:p>
    <w:p>
      <w:pPr>
        <w:pStyle w:val="2"/>
        <w:rPr>
          <w:sz w:val="28"/>
          <w:szCs w:val="28"/>
        </w:rPr>
      </w:pPr>
      <w:r>
        <w:rPr>
          <w:sz w:val="28"/>
        </w:rPr>
        <mc:AlternateContent>
          <mc:Choice Requires="wps">
            <w:drawing>
              <wp:anchor distT="0" distB="0" distL="114300" distR="114300" simplePos="0" relativeHeight="251662336" behindDoc="0" locked="0" layoutInCell="1" allowOverlap="1">
                <wp:simplePos x="0" y="0"/>
                <wp:positionH relativeFrom="column">
                  <wp:posOffset>2602230</wp:posOffset>
                </wp:positionH>
                <wp:positionV relativeFrom="paragraph">
                  <wp:posOffset>35560</wp:posOffset>
                </wp:positionV>
                <wp:extent cx="2864485" cy="1428750"/>
                <wp:effectExtent l="0" t="0" r="0" b="0"/>
                <wp:wrapNone/>
                <wp:docPr id="15" name="矩形 15"/>
                <wp:cNvGraphicFramePr/>
                <a:graphic xmlns:a="http://schemas.openxmlformats.org/drawingml/2006/main">
                  <a:graphicData uri="http://schemas.microsoft.com/office/word/2010/wordprocessingShape">
                    <wps:wsp>
                      <wps:cNvSpPr/>
                      <wps:spPr>
                        <a:xfrm>
                          <a:off x="0" y="0"/>
                          <a:ext cx="2864485" cy="1428750"/>
                        </a:xfrm>
                        <a:prstGeom prst="rect">
                          <a:avLst/>
                        </a:prstGeom>
                        <a:noFill/>
                        <a:ln>
                          <a:noFill/>
                        </a:ln>
                      </wps:spPr>
                      <wps:txbx>
                        <w:txbxContent>
                          <w:p>
                            <w:pPr>
                              <w:spacing w:line="360" w:lineRule="auto"/>
                              <w:jc w:val="center"/>
                              <w:rPr>
                                <w:rFonts w:hint="eastAsia" w:eastAsia="宋体"/>
                                <w:color w:val="000000"/>
                                <w:sz w:val="28"/>
                                <w:szCs w:val="28"/>
                                <w:lang w:eastAsia="zh-CN"/>
                              </w:rPr>
                            </w:pPr>
                            <w:r>
                              <w:rPr>
                                <w:rFonts w:hint="eastAsia"/>
                                <w:color w:val="000000"/>
                                <w:sz w:val="28"/>
                                <w:szCs w:val="28"/>
                                <w:lang w:eastAsia="zh-CN"/>
                              </w:rPr>
                              <w:t>翁源县中源发展有限公司</w:t>
                            </w:r>
                          </w:p>
                          <w:p>
                            <w:pPr>
                              <w:spacing w:line="360" w:lineRule="auto"/>
                              <w:jc w:val="center"/>
                              <w:rPr>
                                <w:color w:val="000000"/>
                                <w:sz w:val="28"/>
                                <w:szCs w:val="28"/>
                              </w:rPr>
                            </w:pPr>
                            <w:r>
                              <w:rPr>
                                <w:rFonts w:hint="eastAsia"/>
                                <w:color w:val="000000"/>
                                <w:sz w:val="28"/>
                                <w:szCs w:val="28"/>
                              </w:rPr>
                              <w:t>（盖章）</w:t>
                            </w:r>
                          </w:p>
                          <w:p>
                            <w:pPr>
                              <w:jc w:val="center"/>
                            </w:pPr>
                          </w:p>
                        </w:txbxContent>
                      </wps:txbx>
                      <wps:bodyPr upright="1"/>
                    </wps:wsp>
                  </a:graphicData>
                </a:graphic>
              </wp:anchor>
            </w:drawing>
          </mc:Choice>
          <mc:Fallback>
            <w:pict>
              <v:rect id="_x0000_s1026" o:spid="_x0000_s1026" o:spt="1" style="position:absolute;left:0pt;margin-left:204.9pt;margin-top:2.8pt;height:112.5pt;width:225.55pt;z-index:251662336;mso-width-relative:page;mso-height-relative:page;" filled="f" stroked="f" coordsize="21600,21600" o:gfxdata="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MCnXfPaAAAACQEAAA8A&#10;AAAAAAAAAQAgAAAAIgAAAGRycy9kb3ducmV2LnhtbFBLAQIUABQAAAAIAIdO4kByNVn3owEAAEQD&#10;AAAOAAAAAAAAAAEAIAAAACkBAABkcnMvZTJvRG9jLnhtbFBLBQYAAAAABgAGAFkBAAA+BQAAAAA=&#10;">
                <v:fill on="f" focussize="0,0"/>
                <v:stroke on="f"/>
                <v:imagedata o:title=""/>
                <o:lock v:ext="edit" aspectratio="f"/>
                <v:textbox>
                  <w:txbxContent>
                    <w:p>
                      <w:pPr>
                        <w:spacing w:line="360" w:lineRule="auto"/>
                        <w:jc w:val="center"/>
                        <w:rPr>
                          <w:rFonts w:hint="eastAsia" w:eastAsia="宋体"/>
                          <w:color w:val="000000"/>
                          <w:sz w:val="28"/>
                          <w:szCs w:val="28"/>
                          <w:lang w:eastAsia="zh-CN"/>
                        </w:rPr>
                      </w:pPr>
                      <w:r>
                        <w:rPr>
                          <w:rFonts w:hint="eastAsia"/>
                          <w:color w:val="000000"/>
                          <w:sz w:val="28"/>
                          <w:szCs w:val="28"/>
                          <w:lang w:eastAsia="zh-CN"/>
                        </w:rPr>
                        <w:t>翁源县中源发展有限公司</w:t>
                      </w:r>
                    </w:p>
                    <w:p>
                      <w:pPr>
                        <w:spacing w:line="360" w:lineRule="auto"/>
                        <w:jc w:val="center"/>
                        <w:rPr>
                          <w:color w:val="000000"/>
                          <w:sz w:val="28"/>
                          <w:szCs w:val="28"/>
                        </w:rPr>
                      </w:pPr>
                      <w:r>
                        <w:rPr>
                          <w:rFonts w:hint="eastAsia"/>
                          <w:color w:val="000000"/>
                          <w:sz w:val="28"/>
                          <w:szCs w:val="28"/>
                        </w:rPr>
                        <w:t>（盖章）</w:t>
                      </w:r>
                    </w:p>
                    <w:p>
                      <w:pPr>
                        <w:jc w:val="center"/>
                      </w:pPr>
                    </w:p>
                  </w:txbxContent>
                </v:textbox>
              </v:rect>
            </w:pict>
          </mc:Fallback>
        </mc:AlternateContent>
      </w:r>
    </w:p>
    <w:p>
      <w:pPr>
        <w:pStyle w:val="2"/>
        <w:rPr>
          <w:sz w:val="28"/>
          <w:szCs w:val="28"/>
        </w:rPr>
      </w:pPr>
    </w:p>
    <w:p>
      <w:pPr>
        <w:pStyle w:val="2"/>
        <w:rPr>
          <w:sz w:val="28"/>
          <w:szCs w:val="28"/>
        </w:rPr>
      </w:pPr>
    </w:p>
    <w:p>
      <w:pPr>
        <w:rPr>
          <w:rFonts w:ascii="宋体" w:hAnsi="宋体"/>
          <w:b/>
          <w:sz w:val="28"/>
          <w:szCs w:val="28"/>
        </w:rPr>
      </w:pPr>
    </w:p>
    <w:p>
      <w:pPr>
        <w:rPr>
          <w:rFonts w:ascii="宋体" w:hAnsi="宋体"/>
          <w:b/>
          <w:sz w:val="36"/>
          <w:szCs w:val="36"/>
        </w:rPr>
      </w:pPr>
    </w:p>
    <w:p>
      <w:pPr>
        <w:rPr>
          <w:rFonts w:ascii="宋体" w:hAnsi="宋体"/>
          <w:b/>
          <w:sz w:val="36"/>
          <w:szCs w:val="36"/>
        </w:rPr>
      </w:pPr>
    </w:p>
    <w:p>
      <w:pPr>
        <w:rPr>
          <w:rFonts w:ascii="宋体" w:hAnsi="宋体"/>
          <w:b/>
          <w:sz w:val="36"/>
          <w:szCs w:val="36"/>
        </w:rPr>
      </w:pPr>
    </w:p>
    <w:p>
      <w:pPr>
        <w:rPr>
          <w:rFonts w:ascii="宋体" w:hAnsi="宋体"/>
          <w:b/>
          <w:sz w:val="36"/>
          <w:szCs w:val="36"/>
        </w:rPr>
      </w:pPr>
    </w:p>
    <w:p>
      <w:pPr>
        <w:rPr>
          <w:rFonts w:ascii="宋体" w:hAnsi="宋体"/>
          <w:b/>
          <w:sz w:val="36"/>
          <w:szCs w:val="36"/>
        </w:rPr>
      </w:pPr>
    </w:p>
    <w:p>
      <w:pPr>
        <w:pStyle w:val="2"/>
      </w:pPr>
    </w:p>
    <w:p>
      <w:pPr>
        <w:pStyle w:val="2"/>
        <w:sectPr>
          <w:footerReference r:id="rId5" w:type="default"/>
          <w:pgSz w:w="11906" w:h="16838"/>
          <w:pgMar w:top="1440" w:right="1797" w:bottom="1440" w:left="1797" w:header="851" w:footer="992" w:gutter="0"/>
          <w:pgNumType w:fmt="decimal"/>
          <w:cols w:space="720" w:num="1"/>
          <w:docGrid w:linePitch="312" w:charSpace="0"/>
        </w:sectPr>
      </w:pPr>
    </w:p>
    <w:p>
      <w:pPr>
        <w:adjustRightInd w:val="0"/>
        <w:snapToGrid w:val="0"/>
        <w:spacing w:line="360" w:lineRule="auto"/>
        <w:ind w:firstLine="640" w:firstLineChars="200"/>
        <w:jc w:val="center"/>
        <w:rPr>
          <w:rFonts w:eastAsia="仿宋_GB2312"/>
          <w:sz w:val="32"/>
          <w:szCs w:val="30"/>
        </w:rPr>
      </w:pPr>
    </w:p>
    <w:p>
      <w:pPr>
        <w:autoSpaceDE w:val="0"/>
        <w:autoSpaceDN w:val="0"/>
        <w:adjustRightInd w:val="0"/>
        <w:spacing w:line="360" w:lineRule="auto"/>
        <w:ind w:right="720"/>
        <w:jc w:val="center"/>
        <w:rPr>
          <w:b/>
          <w:sz w:val="44"/>
          <w:szCs w:val="44"/>
        </w:rPr>
      </w:pPr>
      <w:bookmarkStart w:id="0" w:name="_Toc472518257"/>
      <w:bookmarkStart w:id="1" w:name="_Toc468267652"/>
      <w:r>
        <w:rPr>
          <w:rFonts w:hint="eastAsia"/>
          <w:b/>
          <w:sz w:val="44"/>
          <w:szCs w:val="44"/>
          <w:lang w:val="en-US" w:eastAsia="zh-CN"/>
        </w:rPr>
        <w:t>发布</w:t>
      </w:r>
      <w:r>
        <w:rPr>
          <w:b/>
          <w:sz w:val="44"/>
          <w:szCs w:val="44"/>
        </w:rPr>
        <w:t>令</w:t>
      </w:r>
      <w:bookmarkEnd w:id="0"/>
      <w:bookmarkEnd w:id="1"/>
    </w:p>
    <w:p>
      <w:pPr>
        <w:autoSpaceDE w:val="0"/>
        <w:autoSpaceDN w:val="0"/>
        <w:adjustRightInd w:val="0"/>
        <w:spacing w:line="360" w:lineRule="auto"/>
        <w:ind w:right="720"/>
        <w:jc w:val="center"/>
        <w:rPr>
          <w:b/>
          <w:sz w:val="28"/>
          <w:szCs w:val="28"/>
        </w:rPr>
      </w:pPr>
    </w:p>
    <w:p>
      <w:pPr>
        <w:spacing w:line="360" w:lineRule="auto"/>
        <w:jc w:val="left"/>
        <w:rPr>
          <w:rFonts w:ascii="宋体" w:hAnsi="宋体"/>
          <w:sz w:val="28"/>
          <w:szCs w:val="28"/>
        </w:rPr>
      </w:pPr>
      <w:r>
        <w:rPr>
          <w:rFonts w:hint="eastAsia" w:ascii="宋体" w:hAnsi="宋体"/>
          <w:sz w:val="28"/>
          <w:szCs w:val="28"/>
        </w:rPr>
        <w:t>公司各部门：</w:t>
      </w:r>
    </w:p>
    <w:p>
      <w:pPr>
        <w:spacing w:line="360" w:lineRule="auto"/>
        <w:ind w:firstLine="560" w:firstLineChars="200"/>
        <w:rPr>
          <w:rFonts w:ascii="宋体" w:hAnsi="宋体"/>
          <w:sz w:val="28"/>
          <w:szCs w:val="28"/>
        </w:rPr>
      </w:pPr>
      <w:r>
        <w:rPr>
          <w:rFonts w:hint="eastAsia" w:ascii="宋体" w:hAnsi="宋体"/>
          <w:sz w:val="28"/>
          <w:szCs w:val="28"/>
        </w:rPr>
        <w:t>《</w:t>
      </w:r>
      <w:r>
        <w:rPr>
          <w:rFonts w:hint="eastAsia"/>
          <w:kern w:val="0"/>
          <w:sz w:val="28"/>
          <w:szCs w:val="28"/>
          <w:lang w:eastAsia="zh-CN"/>
        </w:rPr>
        <w:t>翁源县中源发展有限公司</w:t>
      </w:r>
      <w:r>
        <w:rPr>
          <w:rFonts w:hint="eastAsia" w:ascii="宋体" w:hAnsi="宋体"/>
          <w:sz w:val="28"/>
          <w:szCs w:val="28"/>
        </w:rPr>
        <w:t>突发环境事件应急预案》，是本公司提高对可能发生的各种突发环境事件的应对能力、有效防止和最大限度的降低突发环境事件造成的人员伤害、环境污染和财产损失的技术指导性文件，是本公司提高应急救援能力，应对突发环境事件的纲领，是本公司环境管理体系的重要组成部分。</w:t>
      </w:r>
    </w:p>
    <w:p>
      <w:pPr>
        <w:spacing w:line="360" w:lineRule="auto"/>
        <w:ind w:firstLine="560" w:firstLineChars="200"/>
        <w:rPr>
          <w:rFonts w:ascii="宋体" w:hAnsi="宋体"/>
          <w:sz w:val="28"/>
          <w:szCs w:val="28"/>
        </w:rPr>
      </w:pPr>
      <w:r>
        <w:rPr>
          <w:rFonts w:hint="eastAsia" w:ascii="宋体" w:hAnsi="宋体"/>
          <w:sz w:val="28"/>
          <w:szCs w:val="28"/>
        </w:rPr>
        <w:t>本公司各部门人员认真学习本预案，充分掌握预案要求，严格按照预案要求进行日常培训和演练，并认真贯彻执行。公司内一旦发生突发环境事件，立即启动本预案。</w:t>
      </w:r>
    </w:p>
    <w:p>
      <w:pPr>
        <w:spacing w:line="360" w:lineRule="auto"/>
        <w:ind w:firstLine="560" w:firstLineChars="200"/>
        <w:rPr>
          <w:sz w:val="28"/>
          <w:szCs w:val="28"/>
        </w:rPr>
      </w:pPr>
      <w:r>
        <w:rPr>
          <w:rFonts w:hint="eastAsia" w:ascii="宋体" w:hAnsi="宋体"/>
          <w:sz w:val="28"/>
          <w:szCs w:val="28"/>
        </w:rPr>
        <w:t>本预案已按照专家评审意见修订完毕</w:t>
      </w:r>
      <w:r>
        <w:rPr>
          <w:sz w:val="28"/>
          <w:szCs w:val="28"/>
        </w:rPr>
        <w:t>，</w:t>
      </w:r>
      <w:r>
        <w:rPr>
          <w:rFonts w:hint="eastAsia"/>
          <w:sz w:val="28"/>
          <w:szCs w:val="28"/>
        </w:rPr>
        <w:t>《</w:t>
      </w:r>
      <w:r>
        <w:rPr>
          <w:rFonts w:hint="eastAsia"/>
          <w:kern w:val="0"/>
          <w:sz w:val="28"/>
          <w:szCs w:val="28"/>
          <w:lang w:eastAsia="zh-CN"/>
        </w:rPr>
        <w:t>翁源县中源发展有限公司</w:t>
      </w:r>
      <w:r>
        <w:rPr>
          <w:rFonts w:hint="eastAsia"/>
          <w:sz w:val="28"/>
          <w:szCs w:val="28"/>
        </w:rPr>
        <w:t>突发环境事件应急预案》（202</w:t>
      </w:r>
      <w:r>
        <w:rPr>
          <w:rFonts w:hint="eastAsia"/>
          <w:sz w:val="28"/>
          <w:szCs w:val="28"/>
          <w:lang w:val="en-US" w:eastAsia="zh-CN"/>
        </w:rPr>
        <w:t>2</w:t>
      </w:r>
      <w:r>
        <w:rPr>
          <w:rFonts w:hint="eastAsia"/>
          <w:sz w:val="28"/>
          <w:szCs w:val="28"/>
        </w:rPr>
        <w:t>年修订版）</w:t>
      </w:r>
      <w:r>
        <w:rPr>
          <w:sz w:val="28"/>
          <w:szCs w:val="28"/>
        </w:rPr>
        <w:t>，现予以发布，并于发布之日起实施。</w:t>
      </w:r>
    </w:p>
    <w:p>
      <w:pPr>
        <w:autoSpaceDE w:val="0"/>
        <w:autoSpaceDN w:val="0"/>
        <w:adjustRightInd w:val="0"/>
        <w:spacing w:line="360" w:lineRule="auto"/>
        <w:ind w:firstLine="537" w:firstLineChars="192"/>
        <w:rPr>
          <w:kern w:val="0"/>
          <w:sz w:val="28"/>
          <w:szCs w:val="28"/>
        </w:rPr>
      </w:pPr>
      <w:r>
        <w:rPr>
          <w:rFonts w:hint="eastAsia" w:ascii="宋体" w:hAnsi="宋体"/>
          <w:sz w:val="28"/>
          <w:szCs w:val="28"/>
        </w:rPr>
        <w:t>自本预案实施之日起</w:t>
      </w:r>
      <w:r>
        <w:rPr>
          <w:rFonts w:hint="eastAsia"/>
          <w:sz w:val="28"/>
          <w:szCs w:val="28"/>
        </w:rPr>
        <w:t>，《</w:t>
      </w:r>
      <w:r>
        <w:rPr>
          <w:rFonts w:hint="eastAsia"/>
          <w:kern w:val="0"/>
          <w:sz w:val="28"/>
          <w:szCs w:val="28"/>
          <w:lang w:eastAsia="zh-CN"/>
        </w:rPr>
        <w:t>翁源县中源发展有限公司</w:t>
      </w:r>
      <w:r>
        <w:rPr>
          <w:rFonts w:hint="eastAsia"/>
          <w:sz w:val="28"/>
          <w:szCs w:val="28"/>
        </w:rPr>
        <w:t>突发环境事件应急预案》（</w:t>
      </w:r>
      <w:r>
        <w:rPr>
          <w:sz w:val="28"/>
          <w:szCs w:val="28"/>
          <w:highlight w:val="none"/>
        </w:rPr>
        <w:t>201</w:t>
      </w:r>
      <w:r>
        <w:rPr>
          <w:rFonts w:hint="eastAsia"/>
          <w:sz w:val="28"/>
          <w:szCs w:val="28"/>
          <w:highlight w:val="none"/>
          <w:lang w:val="en-US" w:eastAsia="zh-CN"/>
        </w:rPr>
        <w:t>9</w:t>
      </w:r>
      <w:r>
        <w:rPr>
          <w:rFonts w:hint="eastAsia"/>
          <w:sz w:val="28"/>
          <w:szCs w:val="28"/>
        </w:rPr>
        <w:t>版）废止。</w:t>
      </w:r>
    </w:p>
    <w:p>
      <w:pPr>
        <w:autoSpaceDE w:val="0"/>
        <w:autoSpaceDN w:val="0"/>
        <w:adjustRightInd w:val="0"/>
        <w:spacing w:line="360" w:lineRule="auto"/>
        <w:jc w:val="right"/>
        <w:rPr>
          <w:kern w:val="0"/>
          <w:sz w:val="28"/>
          <w:szCs w:val="28"/>
        </w:rPr>
      </w:pPr>
    </w:p>
    <w:p>
      <w:pPr>
        <w:autoSpaceDE w:val="0"/>
        <w:autoSpaceDN w:val="0"/>
        <w:adjustRightInd w:val="0"/>
        <w:spacing w:line="360" w:lineRule="auto"/>
        <w:jc w:val="right"/>
        <w:rPr>
          <w:kern w:val="0"/>
          <w:sz w:val="28"/>
          <w:szCs w:val="28"/>
        </w:rPr>
      </w:pPr>
    </w:p>
    <w:p>
      <w:pPr>
        <w:autoSpaceDE w:val="0"/>
        <w:autoSpaceDN w:val="0"/>
        <w:adjustRightInd w:val="0"/>
        <w:spacing w:line="360" w:lineRule="auto"/>
        <w:ind w:right="1200"/>
        <w:jc w:val="center"/>
        <w:rPr>
          <w:kern w:val="0"/>
          <w:sz w:val="28"/>
          <w:szCs w:val="28"/>
        </w:rPr>
      </w:pPr>
      <w:r>
        <w:rPr>
          <w:rFonts w:hint="eastAsia"/>
          <w:kern w:val="0"/>
          <w:sz w:val="28"/>
          <w:szCs w:val="28"/>
        </w:rPr>
        <w:t xml:space="preserve">               </w:t>
      </w:r>
      <w:r>
        <w:rPr>
          <w:rFonts w:hint="eastAsia"/>
          <w:kern w:val="0"/>
          <w:sz w:val="28"/>
          <w:szCs w:val="28"/>
          <w:lang w:eastAsia="zh-CN"/>
        </w:rPr>
        <w:t>翁源县中源发展有限公司</w:t>
      </w:r>
      <w:r>
        <w:rPr>
          <w:rFonts w:hint="eastAsia"/>
          <w:kern w:val="0"/>
          <w:sz w:val="28"/>
          <w:szCs w:val="28"/>
        </w:rPr>
        <w:t>（盖章）</w:t>
      </w:r>
    </w:p>
    <w:p>
      <w:pPr>
        <w:autoSpaceDE w:val="0"/>
        <w:autoSpaceDN w:val="0"/>
        <w:adjustRightInd w:val="0"/>
        <w:spacing w:line="360" w:lineRule="auto"/>
        <w:ind w:right="1200"/>
        <w:jc w:val="center"/>
        <w:rPr>
          <w:kern w:val="0"/>
          <w:sz w:val="28"/>
          <w:szCs w:val="28"/>
        </w:rPr>
      </w:pPr>
      <w:r>
        <w:rPr>
          <w:rFonts w:hint="eastAsia"/>
          <w:kern w:val="0"/>
          <w:sz w:val="28"/>
          <w:szCs w:val="28"/>
        </w:rPr>
        <w:t xml:space="preserve">                               签发人（签字）：</w:t>
      </w:r>
    </w:p>
    <w:p>
      <w:pPr>
        <w:autoSpaceDE w:val="0"/>
        <w:autoSpaceDN w:val="0"/>
        <w:adjustRightInd w:val="0"/>
        <w:spacing w:line="360" w:lineRule="auto"/>
        <w:ind w:right="1200"/>
        <w:jc w:val="center"/>
        <w:rPr>
          <w:rFonts w:hint="eastAsia"/>
          <w:kern w:val="0"/>
          <w:sz w:val="28"/>
          <w:szCs w:val="28"/>
        </w:rPr>
        <w:sectPr>
          <w:headerReference r:id="rId6" w:type="default"/>
          <w:footerReference r:id="rId7" w:type="default"/>
          <w:footerReference r:id="rId8" w:type="even"/>
          <w:pgSz w:w="11906" w:h="16838"/>
          <w:pgMar w:top="1440" w:right="1797" w:bottom="1440" w:left="1797" w:header="851" w:footer="992" w:gutter="0"/>
          <w:pgNumType w:fmt="decimal"/>
          <w:cols w:space="720" w:num="1"/>
          <w:docGrid w:linePitch="312" w:charSpace="0"/>
        </w:sectPr>
      </w:pPr>
      <w:r>
        <w:rPr>
          <w:rFonts w:hint="eastAsia"/>
          <w:kern w:val="0"/>
          <w:sz w:val="28"/>
          <w:szCs w:val="28"/>
        </w:rPr>
        <w:t xml:space="preserve">                              发布日期：</w:t>
      </w:r>
    </w:p>
    <w:p>
      <w:pPr>
        <w:pStyle w:val="2"/>
      </w:pPr>
    </w:p>
    <w:p>
      <w:pPr>
        <w:spacing w:before="120" w:beforeLines="50" w:line="360" w:lineRule="auto"/>
        <w:jc w:val="center"/>
        <w:rPr>
          <w:sz w:val="32"/>
          <w:szCs w:val="32"/>
        </w:rPr>
      </w:pPr>
      <w:r>
        <w:rPr>
          <w:b/>
          <w:sz w:val="32"/>
          <w:szCs w:val="32"/>
        </w:rPr>
        <w:t>目　录</w:t>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TOC \o "1-3" \h \z \u </w:instrText>
      </w:r>
      <w:r>
        <w:rPr>
          <w:rFonts w:hint="eastAsia" w:ascii="宋体" w:hAnsi="宋体" w:eastAsia="宋体" w:cs="宋体"/>
          <w:sz w:val="24"/>
          <w:szCs w:val="24"/>
        </w:rPr>
        <w:fldChar w:fldCharType="separate"/>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_Toc30529 </w:instrText>
      </w:r>
      <w:r>
        <w:rPr>
          <w:rFonts w:hint="eastAsia" w:ascii="宋体" w:hAnsi="宋体" w:eastAsia="宋体" w:cs="宋体"/>
          <w:sz w:val="24"/>
          <w:szCs w:val="24"/>
        </w:rPr>
        <w:fldChar w:fldCharType="separate"/>
      </w:r>
      <w:r>
        <w:rPr>
          <w:rFonts w:hint="eastAsia" w:ascii="宋体" w:hAnsi="宋体" w:eastAsia="宋体" w:cs="宋体"/>
          <w:bCs/>
          <w:sz w:val="24"/>
          <w:szCs w:val="24"/>
        </w:rPr>
        <w:t>综合应急预案</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_Toc30529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_Toc5417 </w:instrText>
      </w:r>
      <w:r>
        <w:rPr>
          <w:rFonts w:hint="eastAsia" w:ascii="宋体" w:hAnsi="宋体" w:eastAsia="宋体" w:cs="宋体"/>
          <w:sz w:val="24"/>
          <w:szCs w:val="24"/>
        </w:rPr>
        <w:fldChar w:fldCharType="separate"/>
      </w:r>
      <w:r>
        <w:rPr>
          <w:rFonts w:hint="eastAsia" w:ascii="宋体" w:hAnsi="宋体" w:eastAsia="宋体" w:cs="宋体"/>
          <w:sz w:val="24"/>
          <w:szCs w:val="24"/>
        </w:rPr>
        <w:t>1 总则</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_Toc5417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_Toc5783 </w:instrText>
      </w:r>
      <w:r>
        <w:rPr>
          <w:rFonts w:hint="eastAsia" w:ascii="宋体" w:hAnsi="宋体" w:eastAsia="宋体" w:cs="宋体"/>
          <w:sz w:val="24"/>
          <w:szCs w:val="24"/>
        </w:rPr>
        <w:fldChar w:fldCharType="separate"/>
      </w:r>
      <w:r>
        <w:rPr>
          <w:rFonts w:hint="eastAsia" w:ascii="宋体" w:hAnsi="宋体" w:eastAsia="宋体" w:cs="宋体"/>
          <w:sz w:val="24"/>
          <w:szCs w:val="24"/>
        </w:rPr>
        <w:t>1.1编制目的和背景</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_Toc5783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_Toc3021 </w:instrText>
      </w:r>
      <w:r>
        <w:rPr>
          <w:rFonts w:hint="eastAsia" w:ascii="宋体" w:hAnsi="宋体" w:eastAsia="宋体" w:cs="宋体"/>
          <w:sz w:val="24"/>
          <w:szCs w:val="24"/>
        </w:rPr>
        <w:fldChar w:fldCharType="separate"/>
      </w:r>
      <w:r>
        <w:rPr>
          <w:rFonts w:hint="eastAsia" w:ascii="宋体" w:hAnsi="宋体" w:eastAsia="宋体" w:cs="宋体"/>
          <w:sz w:val="24"/>
          <w:szCs w:val="24"/>
        </w:rPr>
        <w:t>1.1.1编制背景</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_Toc3021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_Toc24288 </w:instrText>
      </w:r>
      <w:r>
        <w:rPr>
          <w:rFonts w:hint="eastAsia" w:ascii="宋体" w:hAnsi="宋体" w:eastAsia="宋体" w:cs="宋体"/>
          <w:sz w:val="24"/>
          <w:szCs w:val="24"/>
        </w:rPr>
        <w:fldChar w:fldCharType="separate"/>
      </w:r>
      <w:r>
        <w:rPr>
          <w:rFonts w:hint="eastAsia" w:ascii="宋体" w:hAnsi="宋体" w:eastAsia="宋体" w:cs="宋体"/>
          <w:sz w:val="24"/>
          <w:szCs w:val="24"/>
        </w:rPr>
        <w:t>1.1.2编制目的和指导思想</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_Toc24288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_Toc12276 </w:instrText>
      </w:r>
      <w:r>
        <w:rPr>
          <w:rFonts w:hint="eastAsia" w:ascii="宋体" w:hAnsi="宋体" w:eastAsia="宋体" w:cs="宋体"/>
          <w:sz w:val="24"/>
          <w:szCs w:val="24"/>
        </w:rPr>
        <w:fldChar w:fldCharType="separate"/>
      </w:r>
      <w:r>
        <w:rPr>
          <w:rFonts w:hint="eastAsia" w:ascii="宋体" w:hAnsi="宋体" w:eastAsia="宋体" w:cs="宋体"/>
          <w:sz w:val="24"/>
          <w:szCs w:val="24"/>
        </w:rPr>
        <w:t>1.2编制依据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_Toc12276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_Toc30333 </w:instrText>
      </w:r>
      <w:r>
        <w:rPr>
          <w:rFonts w:hint="eastAsia" w:ascii="宋体" w:hAnsi="宋体" w:eastAsia="宋体" w:cs="宋体"/>
          <w:sz w:val="24"/>
          <w:szCs w:val="24"/>
        </w:rPr>
        <w:fldChar w:fldCharType="separate"/>
      </w:r>
      <w:r>
        <w:rPr>
          <w:rFonts w:hint="eastAsia" w:ascii="宋体" w:hAnsi="宋体" w:eastAsia="宋体" w:cs="宋体"/>
          <w:sz w:val="24"/>
          <w:szCs w:val="24"/>
        </w:rPr>
        <w:t>1. 2.1 法律法规与技术规范</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_Toc30333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_Toc27523 </w:instrText>
      </w:r>
      <w:r>
        <w:rPr>
          <w:rFonts w:hint="eastAsia" w:ascii="宋体" w:hAnsi="宋体" w:eastAsia="宋体" w:cs="宋体"/>
          <w:sz w:val="24"/>
          <w:szCs w:val="24"/>
        </w:rPr>
        <w:fldChar w:fldCharType="separate"/>
      </w:r>
      <w:r>
        <w:rPr>
          <w:rFonts w:hint="eastAsia" w:ascii="宋体" w:hAnsi="宋体" w:eastAsia="宋体" w:cs="宋体"/>
          <w:sz w:val="24"/>
          <w:szCs w:val="24"/>
        </w:rPr>
        <w:t>1.2.2 项目依据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_Toc27523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_Toc4284 </w:instrText>
      </w:r>
      <w:r>
        <w:rPr>
          <w:rFonts w:hint="eastAsia" w:ascii="宋体" w:hAnsi="宋体" w:eastAsia="宋体" w:cs="宋体"/>
          <w:sz w:val="24"/>
          <w:szCs w:val="24"/>
        </w:rPr>
        <w:fldChar w:fldCharType="separate"/>
      </w:r>
      <w:r>
        <w:rPr>
          <w:rFonts w:hint="eastAsia" w:ascii="宋体" w:hAnsi="宋体" w:eastAsia="宋体" w:cs="宋体"/>
          <w:sz w:val="24"/>
          <w:szCs w:val="24"/>
        </w:rPr>
        <w:t>1.3适用范围</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_Toc4284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_Toc14754 </w:instrText>
      </w:r>
      <w:r>
        <w:rPr>
          <w:rFonts w:hint="eastAsia" w:ascii="宋体" w:hAnsi="宋体" w:eastAsia="宋体" w:cs="宋体"/>
          <w:sz w:val="24"/>
          <w:szCs w:val="24"/>
        </w:rPr>
        <w:fldChar w:fldCharType="separate"/>
      </w:r>
      <w:r>
        <w:rPr>
          <w:rFonts w:hint="eastAsia" w:ascii="宋体" w:hAnsi="宋体" w:eastAsia="宋体" w:cs="宋体"/>
          <w:sz w:val="24"/>
          <w:szCs w:val="24"/>
        </w:rPr>
        <w:t>1.4突发环境事件的分级</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_Toc14754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_Toc17647 </w:instrText>
      </w:r>
      <w:r>
        <w:rPr>
          <w:rFonts w:hint="eastAsia" w:ascii="宋体" w:hAnsi="宋体" w:eastAsia="宋体" w:cs="宋体"/>
          <w:sz w:val="24"/>
          <w:szCs w:val="24"/>
        </w:rPr>
        <w:fldChar w:fldCharType="separate"/>
      </w:r>
      <w:r>
        <w:rPr>
          <w:rFonts w:hint="eastAsia" w:ascii="宋体" w:hAnsi="宋体" w:eastAsia="宋体" w:cs="宋体"/>
          <w:sz w:val="24"/>
          <w:szCs w:val="24"/>
        </w:rPr>
        <w:t>1.5工作原则</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_Toc17647 \h </w:instrText>
      </w:r>
      <w:r>
        <w:rPr>
          <w:rFonts w:hint="eastAsia" w:ascii="宋体" w:hAnsi="宋体" w:eastAsia="宋体" w:cs="宋体"/>
          <w:sz w:val="24"/>
          <w:szCs w:val="24"/>
        </w:rPr>
        <w:fldChar w:fldCharType="separate"/>
      </w:r>
      <w:r>
        <w:rPr>
          <w:rFonts w:hint="eastAsia" w:ascii="宋体" w:hAnsi="宋体" w:eastAsia="宋体" w:cs="宋体"/>
          <w:sz w:val="24"/>
          <w:szCs w:val="24"/>
        </w:rPr>
        <w:t>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_Toc25081 </w:instrText>
      </w:r>
      <w:r>
        <w:rPr>
          <w:rFonts w:hint="eastAsia" w:ascii="宋体" w:hAnsi="宋体" w:eastAsia="宋体" w:cs="宋体"/>
          <w:sz w:val="24"/>
          <w:szCs w:val="24"/>
        </w:rPr>
        <w:fldChar w:fldCharType="separate"/>
      </w:r>
      <w:r>
        <w:rPr>
          <w:rFonts w:hint="eastAsia" w:ascii="宋体" w:hAnsi="宋体" w:eastAsia="宋体" w:cs="宋体"/>
          <w:sz w:val="24"/>
          <w:szCs w:val="24"/>
        </w:rPr>
        <w:t>1.6应急预案体系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_Toc25081 \h </w:instrText>
      </w:r>
      <w:r>
        <w:rPr>
          <w:rFonts w:hint="eastAsia" w:ascii="宋体" w:hAnsi="宋体" w:eastAsia="宋体" w:cs="宋体"/>
          <w:sz w:val="24"/>
          <w:szCs w:val="24"/>
        </w:rPr>
        <w:fldChar w:fldCharType="separate"/>
      </w:r>
      <w:r>
        <w:rPr>
          <w:rFonts w:hint="eastAsia" w:ascii="宋体" w:hAnsi="宋体" w:eastAsia="宋体" w:cs="宋体"/>
          <w:sz w:val="24"/>
          <w:szCs w:val="24"/>
        </w:rPr>
        <w:t>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_Toc6966 </w:instrText>
      </w:r>
      <w:r>
        <w:rPr>
          <w:rFonts w:hint="eastAsia" w:ascii="宋体" w:hAnsi="宋体" w:eastAsia="宋体" w:cs="宋体"/>
          <w:sz w:val="24"/>
          <w:szCs w:val="24"/>
        </w:rPr>
        <w:fldChar w:fldCharType="separate"/>
      </w:r>
      <w:r>
        <w:rPr>
          <w:rFonts w:hint="eastAsia" w:ascii="宋体" w:hAnsi="宋体" w:eastAsia="宋体" w:cs="宋体"/>
          <w:sz w:val="24"/>
          <w:szCs w:val="24"/>
        </w:rPr>
        <w:t>1.7应急预案编制程序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_Toc6966 \h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_Toc5854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2 基本情况</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_Toc5854 \h </w:instrText>
      </w:r>
      <w:r>
        <w:rPr>
          <w:rFonts w:hint="eastAsia" w:ascii="宋体" w:hAnsi="宋体" w:eastAsia="宋体" w:cs="宋体"/>
          <w:sz w:val="24"/>
          <w:szCs w:val="24"/>
        </w:rPr>
        <w:fldChar w:fldCharType="separate"/>
      </w:r>
      <w:r>
        <w:rPr>
          <w:rFonts w:hint="eastAsia" w:ascii="宋体" w:hAnsi="宋体" w:eastAsia="宋体" w:cs="宋体"/>
          <w:sz w:val="24"/>
          <w:szCs w:val="24"/>
        </w:rPr>
        <w:t>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_Toc25724 </w:instrText>
      </w:r>
      <w:r>
        <w:rPr>
          <w:rFonts w:hint="eastAsia" w:ascii="宋体" w:hAnsi="宋体" w:eastAsia="宋体" w:cs="宋体"/>
          <w:sz w:val="24"/>
          <w:szCs w:val="24"/>
        </w:rPr>
        <w:fldChar w:fldCharType="separate"/>
      </w:r>
      <w:r>
        <w:rPr>
          <w:rFonts w:hint="eastAsia" w:ascii="宋体" w:hAnsi="宋体" w:eastAsia="宋体" w:cs="宋体"/>
          <w:sz w:val="24"/>
          <w:szCs w:val="24"/>
        </w:rPr>
        <w:t>2.1企业基本信息</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_Toc25724 \h </w:instrText>
      </w:r>
      <w:r>
        <w:rPr>
          <w:rFonts w:hint="eastAsia" w:ascii="宋体" w:hAnsi="宋体" w:eastAsia="宋体" w:cs="宋体"/>
          <w:sz w:val="24"/>
          <w:szCs w:val="24"/>
        </w:rPr>
        <w:fldChar w:fldCharType="separate"/>
      </w:r>
      <w:r>
        <w:rPr>
          <w:rFonts w:hint="eastAsia" w:ascii="宋体" w:hAnsi="宋体" w:eastAsia="宋体" w:cs="宋体"/>
          <w:sz w:val="24"/>
          <w:szCs w:val="24"/>
        </w:rPr>
        <w:t>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_Toc21969 </w:instrText>
      </w:r>
      <w:r>
        <w:rPr>
          <w:rFonts w:hint="eastAsia" w:ascii="宋体" w:hAnsi="宋体" w:eastAsia="宋体" w:cs="宋体"/>
          <w:sz w:val="24"/>
          <w:szCs w:val="24"/>
        </w:rPr>
        <w:fldChar w:fldCharType="separate"/>
      </w:r>
      <w:r>
        <w:rPr>
          <w:rFonts w:hint="eastAsia" w:ascii="宋体" w:hAnsi="宋体" w:eastAsia="宋体" w:cs="宋体"/>
          <w:sz w:val="24"/>
          <w:szCs w:val="24"/>
        </w:rPr>
        <w:t>2.1.1位置交通</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_Toc21969 \h </w:instrText>
      </w:r>
      <w:r>
        <w:rPr>
          <w:rFonts w:hint="eastAsia" w:ascii="宋体" w:hAnsi="宋体" w:eastAsia="宋体" w:cs="宋体"/>
          <w:sz w:val="24"/>
          <w:szCs w:val="24"/>
        </w:rPr>
        <w:fldChar w:fldCharType="separate"/>
      </w:r>
      <w:r>
        <w:rPr>
          <w:rFonts w:hint="eastAsia" w:ascii="宋体" w:hAnsi="宋体" w:eastAsia="宋体" w:cs="宋体"/>
          <w:sz w:val="24"/>
          <w:szCs w:val="24"/>
        </w:rPr>
        <w:t>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_Toc24440 </w:instrText>
      </w:r>
      <w:r>
        <w:rPr>
          <w:rFonts w:hint="eastAsia" w:ascii="宋体" w:hAnsi="宋体" w:eastAsia="宋体" w:cs="宋体"/>
          <w:sz w:val="24"/>
          <w:szCs w:val="24"/>
        </w:rPr>
        <w:fldChar w:fldCharType="separate"/>
      </w:r>
      <w:r>
        <w:rPr>
          <w:rFonts w:hint="eastAsia" w:ascii="宋体" w:hAnsi="宋体" w:eastAsia="宋体" w:cs="宋体"/>
          <w:sz w:val="24"/>
          <w:szCs w:val="24"/>
        </w:rPr>
        <w:t>2.1.2公司概况</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_Toc24440 \h </w:instrText>
      </w:r>
      <w:r>
        <w:rPr>
          <w:rFonts w:hint="eastAsia" w:ascii="宋体" w:hAnsi="宋体" w:eastAsia="宋体" w:cs="宋体"/>
          <w:sz w:val="24"/>
          <w:szCs w:val="24"/>
        </w:rPr>
        <w:fldChar w:fldCharType="separate"/>
      </w:r>
      <w:r>
        <w:rPr>
          <w:rFonts w:hint="eastAsia" w:ascii="宋体" w:hAnsi="宋体" w:eastAsia="宋体" w:cs="宋体"/>
          <w:sz w:val="24"/>
          <w:szCs w:val="24"/>
        </w:rPr>
        <w:t>10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_Toc9467 </w:instrText>
      </w:r>
      <w:r>
        <w:rPr>
          <w:rFonts w:hint="eastAsia" w:ascii="宋体" w:hAnsi="宋体" w:eastAsia="宋体" w:cs="宋体"/>
          <w:sz w:val="24"/>
          <w:szCs w:val="24"/>
        </w:rPr>
        <w:fldChar w:fldCharType="separate"/>
      </w:r>
      <w:r>
        <w:rPr>
          <w:rFonts w:hint="eastAsia" w:ascii="宋体" w:hAnsi="宋体" w:eastAsia="宋体" w:cs="宋体"/>
          <w:sz w:val="24"/>
          <w:szCs w:val="24"/>
        </w:rPr>
        <w:t>2.1.3公司项目组成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_Toc9467 \h </w:instrText>
      </w:r>
      <w:r>
        <w:rPr>
          <w:rFonts w:hint="eastAsia" w:ascii="宋体" w:hAnsi="宋体" w:eastAsia="宋体" w:cs="宋体"/>
          <w:sz w:val="24"/>
          <w:szCs w:val="24"/>
        </w:rPr>
        <w:fldChar w:fldCharType="separate"/>
      </w:r>
      <w:r>
        <w:rPr>
          <w:rFonts w:hint="eastAsia" w:ascii="宋体" w:hAnsi="宋体" w:eastAsia="宋体" w:cs="宋体"/>
          <w:sz w:val="24"/>
          <w:szCs w:val="24"/>
        </w:rPr>
        <w:t>11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_Toc31420 </w:instrText>
      </w:r>
      <w:r>
        <w:rPr>
          <w:rFonts w:hint="eastAsia" w:ascii="宋体" w:hAnsi="宋体" w:eastAsia="宋体" w:cs="宋体"/>
          <w:sz w:val="24"/>
          <w:szCs w:val="24"/>
        </w:rPr>
        <w:fldChar w:fldCharType="separate"/>
      </w:r>
      <w:r>
        <w:rPr>
          <w:rFonts w:hint="eastAsia" w:ascii="宋体" w:hAnsi="宋体" w:eastAsia="宋体" w:cs="宋体"/>
          <w:sz w:val="24"/>
          <w:szCs w:val="24"/>
        </w:rPr>
        <w:t>2.1.4厂区平面布置图</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_Toc31420 \h </w:instrText>
      </w:r>
      <w:r>
        <w:rPr>
          <w:rFonts w:hint="eastAsia" w:ascii="宋体" w:hAnsi="宋体" w:eastAsia="宋体" w:cs="宋体"/>
          <w:sz w:val="24"/>
          <w:szCs w:val="24"/>
        </w:rPr>
        <w:fldChar w:fldCharType="separate"/>
      </w:r>
      <w:r>
        <w:rPr>
          <w:rFonts w:hint="eastAsia" w:ascii="宋体" w:hAnsi="宋体" w:eastAsia="宋体" w:cs="宋体"/>
          <w:sz w:val="24"/>
          <w:szCs w:val="24"/>
        </w:rPr>
        <w:t>11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_Toc23950 </w:instrText>
      </w:r>
      <w:r>
        <w:rPr>
          <w:rFonts w:hint="eastAsia" w:ascii="宋体" w:hAnsi="宋体" w:eastAsia="宋体" w:cs="宋体"/>
          <w:sz w:val="24"/>
          <w:szCs w:val="24"/>
        </w:rPr>
        <w:fldChar w:fldCharType="separate"/>
      </w:r>
      <w:r>
        <w:rPr>
          <w:rFonts w:hint="eastAsia" w:ascii="宋体" w:hAnsi="宋体" w:eastAsia="宋体" w:cs="宋体"/>
          <w:sz w:val="24"/>
          <w:szCs w:val="24"/>
        </w:rPr>
        <w:t>2.1.5 主要生产设备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_Toc23950 \h </w:instrText>
      </w:r>
      <w:r>
        <w:rPr>
          <w:rFonts w:hint="eastAsia" w:ascii="宋体" w:hAnsi="宋体" w:eastAsia="宋体" w:cs="宋体"/>
          <w:sz w:val="24"/>
          <w:szCs w:val="24"/>
        </w:rPr>
        <w:fldChar w:fldCharType="separate"/>
      </w:r>
      <w:r>
        <w:rPr>
          <w:rFonts w:hint="eastAsia" w:ascii="宋体" w:hAnsi="宋体" w:eastAsia="宋体" w:cs="宋体"/>
          <w:sz w:val="24"/>
          <w:szCs w:val="24"/>
        </w:rPr>
        <w:t>13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_Toc17417 </w:instrText>
      </w:r>
      <w:r>
        <w:rPr>
          <w:rFonts w:hint="eastAsia" w:ascii="宋体" w:hAnsi="宋体" w:eastAsia="宋体" w:cs="宋体"/>
          <w:sz w:val="24"/>
          <w:szCs w:val="24"/>
        </w:rPr>
        <w:fldChar w:fldCharType="separate"/>
      </w:r>
      <w:r>
        <w:rPr>
          <w:rFonts w:hint="eastAsia" w:ascii="宋体" w:hAnsi="宋体" w:eastAsia="宋体" w:cs="宋体"/>
          <w:sz w:val="24"/>
          <w:szCs w:val="24"/>
        </w:rPr>
        <w:t>2.1.6 生产工艺流程</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_Toc17417 \h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_Toc29237 </w:instrText>
      </w:r>
      <w:r>
        <w:rPr>
          <w:rFonts w:hint="eastAsia" w:ascii="宋体" w:hAnsi="宋体" w:eastAsia="宋体" w:cs="宋体"/>
          <w:sz w:val="24"/>
          <w:szCs w:val="24"/>
        </w:rPr>
        <w:fldChar w:fldCharType="separate"/>
      </w:r>
      <w:r>
        <w:rPr>
          <w:rFonts w:hint="eastAsia" w:ascii="宋体" w:hAnsi="宋体" w:eastAsia="宋体" w:cs="宋体"/>
          <w:sz w:val="24"/>
          <w:szCs w:val="24"/>
        </w:rPr>
        <w:t>2.2主要污染物的产排及治理措施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_Toc29237 \h </w:instrText>
      </w:r>
      <w:r>
        <w:rPr>
          <w:rFonts w:hint="eastAsia" w:ascii="宋体" w:hAnsi="宋体" w:eastAsia="宋体" w:cs="宋体"/>
          <w:sz w:val="24"/>
          <w:szCs w:val="24"/>
        </w:rPr>
        <w:fldChar w:fldCharType="separate"/>
      </w:r>
      <w:r>
        <w:rPr>
          <w:rFonts w:hint="eastAsia" w:ascii="宋体" w:hAnsi="宋体" w:eastAsia="宋体" w:cs="宋体"/>
          <w:sz w:val="24"/>
          <w:szCs w:val="24"/>
        </w:rPr>
        <w:t>17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_Toc22408 </w:instrText>
      </w:r>
      <w:r>
        <w:rPr>
          <w:rFonts w:hint="eastAsia" w:ascii="宋体" w:hAnsi="宋体" w:eastAsia="宋体" w:cs="宋体"/>
          <w:sz w:val="24"/>
          <w:szCs w:val="24"/>
        </w:rPr>
        <w:fldChar w:fldCharType="separate"/>
      </w:r>
      <w:r>
        <w:rPr>
          <w:rFonts w:hint="eastAsia" w:ascii="宋体" w:hAnsi="宋体" w:eastAsia="宋体" w:cs="宋体"/>
          <w:sz w:val="24"/>
          <w:szCs w:val="24"/>
        </w:rPr>
        <w:t>2.2.1废气的产排与治理措施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_Toc22408 \h </w:instrText>
      </w:r>
      <w:r>
        <w:rPr>
          <w:rFonts w:hint="eastAsia" w:ascii="宋体" w:hAnsi="宋体" w:eastAsia="宋体" w:cs="宋体"/>
          <w:sz w:val="24"/>
          <w:szCs w:val="24"/>
        </w:rPr>
        <w:fldChar w:fldCharType="separate"/>
      </w:r>
      <w:r>
        <w:rPr>
          <w:rFonts w:hint="eastAsia" w:ascii="宋体" w:hAnsi="宋体" w:eastAsia="宋体" w:cs="宋体"/>
          <w:sz w:val="24"/>
          <w:szCs w:val="24"/>
        </w:rPr>
        <w:t>17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_Toc23032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lang w:val="en-US" w:eastAsia="zh-CN"/>
        </w:rPr>
        <w:t>2</w:t>
      </w:r>
      <w:r>
        <w:rPr>
          <w:rFonts w:hint="eastAsia" w:ascii="宋体" w:hAnsi="宋体" w:eastAsia="宋体" w:cs="宋体"/>
          <w:sz w:val="24"/>
          <w:szCs w:val="24"/>
        </w:rPr>
        <w:t>.2废水产生及控制措施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_Toc23032 \h </w:instrText>
      </w:r>
      <w:r>
        <w:rPr>
          <w:rFonts w:hint="eastAsia" w:ascii="宋体" w:hAnsi="宋体" w:eastAsia="宋体" w:cs="宋体"/>
          <w:sz w:val="24"/>
          <w:szCs w:val="24"/>
        </w:rPr>
        <w:fldChar w:fldCharType="separate"/>
      </w:r>
      <w:r>
        <w:rPr>
          <w:rFonts w:hint="eastAsia" w:ascii="宋体" w:hAnsi="宋体" w:eastAsia="宋体" w:cs="宋体"/>
          <w:sz w:val="24"/>
          <w:szCs w:val="24"/>
        </w:rPr>
        <w:t>19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_Toc30110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lang w:val="en-US" w:eastAsia="zh-CN"/>
        </w:rPr>
        <w:t>2.</w:t>
      </w:r>
      <w:r>
        <w:rPr>
          <w:rFonts w:hint="eastAsia" w:ascii="宋体" w:hAnsi="宋体" w:eastAsia="宋体" w:cs="宋体"/>
          <w:sz w:val="24"/>
          <w:szCs w:val="24"/>
        </w:rPr>
        <w:t>3固体废物排放及处置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_Toc30110 \h </w:instrText>
      </w:r>
      <w:r>
        <w:rPr>
          <w:rFonts w:hint="eastAsia" w:ascii="宋体" w:hAnsi="宋体" w:eastAsia="宋体" w:cs="宋体"/>
          <w:sz w:val="24"/>
          <w:szCs w:val="24"/>
        </w:rPr>
        <w:fldChar w:fldCharType="separate"/>
      </w:r>
      <w:r>
        <w:rPr>
          <w:rFonts w:hint="eastAsia" w:ascii="宋体" w:hAnsi="宋体" w:eastAsia="宋体" w:cs="宋体"/>
          <w:sz w:val="24"/>
          <w:szCs w:val="24"/>
        </w:rPr>
        <w:t>20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_Toc19258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lang w:val="en-US" w:eastAsia="zh-CN"/>
        </w:rPr>
        <w:t>2</w:t>
      </w:r>
      <w:r>
        <w:rPr>
          <w:rFonts w:hint="eastAsia" w:ascii="宋体" w:hAnsi="宋体" w:eastAsia="宋体" w:cs="宋体"/>
          <w:sz w:val="24"/>
          <w:szCs w:val="24"/>
        </w:rPr>
        <w:t>.4噪声污染源排查及综合噪声控制</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_Toc19258 \h </w:instrText>
      </w:r>
      <w:r>
        <w:rPr>
          <w:rFonts w:hint="eastAsia" w:ascii="宋体" w:hAnsi="宋体" w:eastAsia="宋体" w:cs="宋体"/>
          <w:sz w:val="24"/>
          <w:szCs w:val="24"/>
        </w:rPr>
        <w:fldChar w:fldCharType="separate"/>
      </w:r>
      <w:r>
        <w:rPr>
          <w:rFonts w:hint="eastAsia" w:ascii="宋体" w:hAnsi="宋体" w:eastAsia="宋体" w:cs="宋体"/>
          <w:sz w:val="24"/>
          <w:szCs w:val="24"/>
        </w:rPr>
        <w:t>21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_Toc23658 </w:instrText>
      </w:r>
      <w:r>
        <w:rPr>
          <w:rFonts w:hint="eastAsia" w:ascii="宋体" w:hAnsi="宋体" w:eastAsia="宋体" w:cs="宋体"/>
          <w:sz w:val="24"/>
          <w:szCs w:val="24"/>
        </w:rPr>
        <w:fldChar w:fldCharType="separate"/>
      </w:r>
      <w:r>
        <w:rPr>
          <w:rFonts w:hint="eastAsia" w:ascii="宋体" w:hAnsi="宋体" w:eastAsia="宋体" w:cs="宋体"/>
          <w:sz w:val="24"/>
          <w:szCs w:val="24"/>
        </w:rPr>
        <w:t>2.3批复及实施情况</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_Toc23658 \h </w:instrText>
      </w:r>
      <w:r>
        <w:rPr>
          <w:rFonts w:hint="eastAsia" w:ascii="宋体" w:hAnsi="宋体" w:eastAsia="宋体" w:cs="宋体"/>
          <w:sz w:val="24"/>
          <w:szCs w:val="24"/>
        </w:rPr>
        <w:fldChar w:fldCharType="separate"/>
      </w:r>
      <w:r>
        <w:rPr>
          <w:rFonts w:hint="eastAsia" w:ascii="宋体" w:hAnsi="宋体" w:eastAsia="宋体" w:cs="宋体"/>
          <w:sz w:val="24"/>
          <w:szCs w:val="24"/>
        </w:rPr>
        <w:t>21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_Toc4033 </w:instrText>
      </w:r>
      <w:r>
        <w:rPr>
          <w:rFonts w:hint="eastAsia" w:ascii="宋体" w:hAnsi="宋体" w:eastAsia="宋体" w:cs="宋体"/>
          <w:sz w:val="24"/>
          <w:szCs w:val="24"/>
        </w:rPr>
        <w:fldChar w:fldCharType="separate"/>
      </w:r>
      <w:r>
        <w:rPr>
          <w:rFonts w:hint="eastAsia" w:ascii="宋体" w:hAnsi="宋体" w:eastAsia="宋体" w:cs="宋体"/>
          <w:sz w:val="24"/>
          <w:szCs w:val="24"/>
        </w:rPr>
        <w:t>2.4企业周边环境状况介绍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_Toc4033 \h </w:instrText>
      </w:r>
      <w:r>
        <w:rPr>
          <w:rFonts w:hint="eastAsia" w:ascii="宋体" w:hAnsi="宋体" w:eastAsia="宋体" w:cs="宋体"/>
          <w:sz w:val="24"/>
          <w:szCs w:val="24"/>
        </w:rPr>
        <w:fldChar w:fldCharType="separate"/>
      </w:r>
      <w:r>
        <w:rPr>
          <w:rFonts w:hint="eastAsia" w:ascii="宋体" w:hAnsi="宋体" w:eastAsia="宋体" w:cs="宋体"/>
          <w:sz w:val="24"/>
          <w:szCs w:val="24"/>
        </w:rPr>
        <w:t>21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_Toc10804 </w:instrText>
      </w:r>
      <w:r>
        <w:rPr>
          <w:rFonts w:hint="eastAsia" w:ascii="宋体" w:hAnsi="宋体" w:eastAsia="宋体" w:cs="宋体"/>
          <w:sz w:val="24"/>
          <w:szCs w:val="24"/>
        </w:rPr>
        <w:fldChar w:fldCharType="separate"/>
      </w:r>
      <w:r>
        <w:rPr>
          <w:rFonts w:hint="eastAsia" w:ascii="宋体" w:hAnsi="宋体" w:eastAsia="宋体" w:cs="宋体"/>
          <w:sz w:val="24"/>
          <w:szCs w:val="24"/>
        </w:rPr>
        <w:t>2.4.1地理位置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_Toc10804 \h </w:instrText>
      </w:r>
      <w:r>
        <w:rPr>
          <w:rFonts w:hint="eastAsia" w:ascii="宋体" w:hAnsi="宋体" w:eastAsia="宋体" w:cs="宋体"/>
          <w:sz w:val="24"/>
          <w:szCs w:val="24"/>
        </w:rPr>
        <w:fldChar w:fldCharType="separate"/>
      </w:r>
      <w:r>
        <w:rPr>
          <w:rFonts w:hint="eastAsia" w:ascii="宋体" w:hAnsi="宋体" w:eastAsia="宋体" w:cs="宋体"/>
          <w:sz w:val="24"/>
          <w:szCs w:val="24"/>
        </w:rPr>
        <w:t>21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_Toc16873 </w:instrText>
      </w:r>
      <w:r>
        <w:rPr>
          <w:rFonts w:hint="eastAsia" w:ascii="宋体" w:hAnsi="宋体" w:eastAsia="宋体" w:cs="宋体"/>
          <w:sz w:val="24"/>
          <w:szCs w:val="24"/>
        </w:rPr>
        <w:fldChar w:fldCharType="separate"/>
      </w:r>
      <w:r>
        <w:rPr>
          <w:rFonts w:hint="eastAsia" w:ascii="宋体" w:hAnsi="宋体" w:eastAsia="宋体" w:cs="宋体"/>
          <w:sz w:val="24"/>
          <w:szCs w:val="24"/>
        </w:rPr>
        <w:t>2.4.2地形、地质、地貌</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_Toc16873 \h </w:instrText>
      </w:r>
      <w:r>
        <w:rPr>
          <w:rFonts w:hint="eastAsia" w:ascii="宋体" w:hAnsi="宋体" w:eastAsia="宋体" w:cs="宋体"/>
          <w:sz w:val="24"/>
          <w:szCs w:val="24"/>
        </w:rPr>
        <w:fldChar w:fldCharType="separate"/>
      </w:r>
      <w:r>
        <w:rPr>
          <w:rFonts w:hint="eastAsia" w:ascii="宋体" w:hAnsi="宋体" w:eastAsia="宋体" w:cs="宋体"/>
          <w:sz w:val="24"/>
          <w:szCs w:val="24"/>
        </w:rPr>
        <w:t>22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_Toc30803 </w:instrText>
      </w:r>
      <w:r>
        <w:rPr>
          <w:rFonts w:hint="eastAsia" w:ascii="宋体" w:hAnsi="宋体" w:eastAsia="宋体" w:cs="宋体"/>
          <w:sz w:val="24"/>
          <w:szCs w:val="24"/>
        </w:rPr>
        <w:fldChar w:fldCharType="separate"/>
      </w:r>
      <w:r>
        <w:rPr>
          <w:rFonts w:hint="eastAsia" w:ascii="宋体" w:hAnsi="宋体" w:eastAsia="宋体" w:cs="宋体"/>
          <w:sz w:val="24"/>
          <w:szCs w:val="24"/>
        </w:rPr>
        <w:t>2.4.3气象、气候</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_Toc30803 \h </w:instrText>
      </w:r>
      <w:r>
        <w:rPr>
          <w:rFonts w:hint="eastAsia" w:ascii="宋体" w:hAnsi="宋体" w:eastAsia="宋体" w:cs="宋体"/>
          <w:sz w:val="24"/>
          <w:szCs w:val="24"/>
        </w:rPr>
        <w:fldChar w:fldCharType="separate"/>
      </w:r>
      <w:r>
        <w:rPr>
          <w:rFonts w:hint="eastAsia" w:ascii="宋体" w:hAnsi="宋体" w:eastAsia="宋体" w:cs="宋体"/>
          <w:sz w:val="24"/>
          <w:szCs w:val="24"/>
        </w:rPr>
        <w:t>22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_Toc1128 </w:instrText>
      </w:r>
      <w:r>
        <w:rPr>
          <w:rFonts w:hint="eastAsia" w:ascii="宋体" w:hAnsi="宋体" w:eastAsia="宋体" w:cs="宋体"/>
          <w:sz w:val="24"/>
          <w:szCs w:val="24"/>
        </w:rPr>
        <w:fldChar w:fldCharType="separate"/>
      </w:r>
      <w:r>
        <w:rPr>
          <w:rFonts w:hint="eastAsia" w:ascii="宋体" w:hAnsi="宋体" w:eastAsia="宋体" w:cs="宋体"/>
          <w:sz w:val="24"/>
          <w:szCs w:val="24"/>
        </w:rPr>
        <w:t>2.4.5水系及水文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_Toc1128 \h </w:instrText>
      </w:r>
      <w:r>
        <w:rPr>
          <w:rFonts w:hint="eastAsia" w:ascii="宋体" w:hAnsi="宋体" w:eastAsia="宋体" w:cs="宋体"/>
          <w:sz w:val="24"/>
          <w:szCs w:val="24"/>
        </w:rPr>
        <w:fldChar w:fldCharType="separate"/>
      </w:r>
      <w:r>
        <w:rPr>
          <w:rFonts w:hint="eastAsia" w:ascii="宋体" w:hAnsi="宋体" w:eastAsia="宋体" w:cs="宋体"/>
          <w:sz w:val="24"/>
          <w:szCs w:val="24"/>
        </w:rPr>
        <w:t>22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_Toc6747 </w:instrText>
      </w:r>
      <w:r>
        <w:rPr>
          <w:rFonts w:hint="eastAsia" w:ascii="宋体" w:hAnsi="宋体" w:eastAsia="宋体" w:cs="宋体"/>
          <w:sz w:val="24"/>
          <w:szCs w:val="24"/>
        </w:rPr>
        <w:fldChar w:fldCharType="separate"/>
      </w:r>
      <w:r>
        <w:rPr>
          <w:rFonts w:hint="eastAsia" w:ascii="宋体" w:hAnsi="宋体" w:eastAsia="宋体" w:cs="宋体"/>
          <w:sz w:val="24"/>
          <w:szCs w:val="24"/>
        </w:rPr>
        <w:t>2.5环境功能区划情况</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_Toc6747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_Toc4441 </w:instrText>
      </w:r>
      <w:r>
        <w:rPr>
          <w:rFonts w:hint="eastAsia" w:ascii="宋体" w:hAnsi="宋体" w:eastAsia="宋体" w:cs="宋体"/>
          <w:sz w:val="24"/>
          <w:szCs w:val="24"/>
        </w:rPr>
        <w:fldChar w:fldCharType="separate"/>
      </w:r>
      <w:r>
        <w:rPr>
          <w:rFonts w:hint="eastAsia" w:ascii="宋体" w:hAnsi="宋体" w:eastAsia="宋体" w:cs="宋体"/>
          <w:sz w:val="24"/>
          <w:szCs w:val="24"/>
        </w:rPr>
        <w:t>2.6周边环境风险受体</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_Toc4441 \h </w:instrText>
      </w:r>
      <w:r>
        <w:rPr>
          <w:rFonts w:hint="eastAsia" w:ascii="宋体" w:hAnsi="宋体" w:eastAsia="宋体" w:cs="宋体"/>
          <w:sz w:val="24"/>
          <w:szCs w:val="24"/>
        </w:rPr>
        <w:fldChar w:fldCharType="separate"/>
      </w:r>
      <w:r>
        <w:rPr>
          <w:rFonts w:hint="eastAsia" w:ascii="宋体" w:hAnsi="宋体" w:eastAsia="宋体" w:cs="宋体"/>
          <w:sz w:val="24"/>
          <w:szCs w:val="24"/>
        </w:rPr>
        <w:t>24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_Toc2956 </w:instrText>
      </w:r>
      <w:r>
        <w:rPr>
          <w:rFonts w:hint="eastAsia" w:ascii="宋体" w:hAnsi="宋体" w:eastAsia="宋体" w:cs="宋体"/>
          <w:sz w:val="24"/>
          <w:szCs w:val="24"/>
        </w:rPr>
        <w:fldChar w:fldCharType="separate"/>
      </w:r>
      <w:r>
        <w:rPr>
          <w:rFonts w:hint="eastAsia" w:ascii="宋体" w:hAnsi="宋体" w:eastAsia="宋体" w:cs="宋体"/>
          <w:sz w:val="24"/>
          <w:szCs w:val="24"/>
        </w:rPr>
        <w:t>2.6.1环境保护目标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_Toc2956 \h </w:instrText>
      </w:r>
      <w:r>
        <w:rPr>
          <w:rFonts w:hint="eastAsia" w:ascii="宋体" w:hAnsi="宋体" w:eastAsia="宋体" w:cs="宋体"/>
          <w:sz w:val="24"/>
          <w:szCs w:val="24"/>
        </w:rPr>
        <w:fldChar w:fldCharType="separate"/>
      </w:r>
      <w:r>
        <w:rPr>
          <w:rFonts w:hint="eastAsia" w:ascii="宋体" w:hAnsi="宋体" w:eastAsia="宋体" w:cs="宋体"/>
          <w:sz w:val="24"/>
          <w:szCs w:val="24"/>
        </w:rPr>
        <w:t>24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_Toc8798 </w:instrText>
      </w:r>
      <w:r>
        <w:rPr>
          <w:rFonts w:hint="eastAsia" w:ascii="宋体" w:hAnsi="宋体" w:eastAsia="宋体" w:cs="宋体"/>
          <w:sz w:val="24"/>
          <w:szCs w:val="24"/>
        </w:rPr>
        <w:fldChar w:fldCharType="separate"/>
      </w:r>
      <w:r>
        <w:rPr>
          <w:rFonts w:hint="eastAsia" w:ascii="宋体" w:hAnsi="宋体" w:eastAsia="宋体" w:cs="宋体"/>
          <w:sz w:val="24"/>
          <w:szCs w:val="24"/>
        </w:rPr>
        <w:t>2.6.2环境风险受体</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_Toc8798 \h </w:instrText>
      </w:r>
      <w:r>
        <w:rPr>
          <w:rFonts w:hint="eastAsia" w:ascii="宋体" w:hAnsi="宋体" w:eastAsia="宋体" w:cs="宋体"/>
          <w:sz w:val="24"/>
          <w:szCs w:val="24"/>
        </w:rPr>
        <w:fldChar w:fldCharType="separate"/>
      </w:r>
      <w:r>
        <w:rPr>
          <w:rFonts w:hint="eastAsia" w:ascii="宋体" w:hAnsi="宋体" w:eastAsia="宋体" w:cs="宋体"/>
          <w:sz w:val="24"/>
          <w:szCs w:val="24"/>
        </w:rPr>
        <w:t>24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_Toc9429 </w:instrText>
      </w:r>
      <w:r>
        <w:rPr>
          <w:rFonts w:hint="eastAsia" w:ascii="宋体" w:hAnsi="宋体" w:eastAsia="宋体" w:cs="宋体"/>
          <w:sz w:val="24"/>
          <w:szCs w:val="24"/>
        </w:rPr>
        <w:fldChar w:fldCharType="separate"/>
      </w:r>
      <w:r>
        <w:rPr>
          <w:rFonts w:hint="eastAsia" w:ascii="宋体" w:hAnsi="宋体" w:eastAsia="宋体" w:cs="宋体"/>
          <w:sz w:val="24"/>
          <w:szCs w:val="24"/>
        </w:rPr>
        <w:t>2.7环境风险物质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_Toc9429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_Toc797 </w:instrText>
      </w:r>
      <w:r>
        <w:rPr>
          <w:rFonts w:hint="eastAsia" w:ascii="宋体" w:hAnsi="宋体" w:eastAsia="宋体" w:cs="宋体"/>
          <w:sz w:val="24"/>
          <w:szCs w:val="24"/>
        </w:rPr>
        <w:fldChar w:fldCharType="separate"/>
      </w:r>
      <w:r>
        <w:rPr>
          <w:rFonts w:hint="eastAsia" w:ascii="宋体" w:hAnsi="宋体" w:eastAsia="宋体" w:cs="宋体"/>
          <w:sz w:val="24"/>
          <w:szCs w:val="24"/>
        </w:rPr>
        <w:t>2.7.1生产原辅材料</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_Toc797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_Toc18415 </w:instrText>
      </w:r>
      <w:r>
        <w:rPr>
          <w:rFonts w:hint="eastAsia" w:ascii="宋体" w:hAnsi="宋体" w:eastAsia="宋体" w:cs="宋体"/>
          <w:sz w:val="24"/>
          <w:szCs w:val="24"/>
        </w:rPr>
        <w:fldChar w:fldCharType="separate"/>
      </w:r>
      <w:r>
        <w:rPr>
          <w:rFonts w:hint="eastAsia" w:ascii="宋体" w:hAnsi="宋体" w:eastAsia="宋体" w:cs="宋体"/>
          <w:sz w:val="24"/>
          <w:szCs w:val="24"/>
        </w:rPr>
        <w:t>2.7.2重大危险源辨识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_Toc18415 \h </w:instrText>
      </w:r>
      <w:r>
        <w:rPr>
          <w:rFonts w:hint="eastAsia" w:ascii="宋体" w:hAnsi="宋体" w:eastAsia="宋体" w:cs="宋体"/>
          <w:sz w:val="24"/>
          <w:szCs w:val="24"/>
        </w:rPr>
        <w:fldChar w:fldCharType="separate"/>
      </w:r>
      <w:r>
        <w:rPr>
          <w:rFonts w:hint="eastAsia" w:ascii="宋体" w:hAnsi="宋体" w:eastAsia="宋体" w:cs="宋体"/>
          <w:sz w:val="24"/>
          <w:szCs w:val="24"/>
        </w:rPr>
        <w:t>31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_Toc26728 </w:instrText>
      </w:r>
      <w:r>
        <w:rPr>
          <w:rFonts w:hint="eastAsia" w:ascii="宋体" w:hAnsi="宋体" w:eastAsia="宋体" w:cs="宋体"/>
          <w:sz w:val="24"/>
          <w:szCs w:val="24"/>
        </w:rPr>
        <w:fldChar w:fldCharType="separate"/>
      </w:r>
      <w:r>
        <w:rPr>
          <w:rFonts w:hint="eastAsia" w:ascii="宋体" w:hAnsi="宋体" w:eastAsia="宋体" w:cs="宋体"/>
          <w:sz w:val="24"/>
          <w:szCs w:val="24"/>
        </w:rPr>
        <w:t>2.8环境风险单元</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_Toc26728 \h </w:instrText>
      </w:r>
      <w:r>
        <w:rPr>
          <w:rFonts w:hint="eastAsia" w:ascii="宋体" w:hAnsi="宋体" w:eastAsia="宋体" w:cs="宋体"/>
          <w:sz w:val="24"/>
          <w:szCs w:val="24"/>
        </w:rPr>
        <w:fldChar w:fldCharType="separate"/>
      </w:r>
      <w:r>
        <w:rPr>
          <w:rFonts w:hint="eastAsia" w:ascii="宋体" w:hAnsi="宋体" w:eastAsia="宋体" w:cs="宋体"/>
          <w:sz w:val="24"/>
          <w:szCs w:val="24"/>
        </w:rPr>
        <w:t>33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_Toc20575 </w:instrText>
      </w:r>
      <w:r>
        <w:rPr>
          <w:rFonts w:hint="eastAsia" w:ascii="宋体" w:hAnsi="宋体" w:eastAsia="宋体" w:cs="宋体"/>
          <w:sz w:val="24"/>
          <w:szCs w:val="24"/>
        </w:rPr>
        <w:fldChar w:fldCharType="separate"/>
      </w:r>
      <w:r>
        <w:rPr>
          <w:rFonts w:hint="eastAsia" w:ascii="宋体" w:hAnsi="宋体" w:eastAsia="宋体" w:cs="宋体"/>
          <w:sz w:val="24"/>
          <w:szCs w:val="24"/>
        </w:rPr>
        <w:t>2.9历史事故分析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_Toc20575 \h </w:instrText>
      </w:r>
      <w:r>
        <w:rPr>
          <w:rFonts w:hint="eastAsia" w:ascii="宋体" w:hAnsi="宋体" w:eastAsia="宋体" w:cs="宋体"/>
          <w:sz w:val="24"/>
          <w:szCs w:val="24"/>
        </w:rPr>
        <w:fldChar w:fldCharType="separate"/>
      </w:r>
      <w:r>
        <w:rPr>
          <w:rFonts w:hint="eastAsia" w:ascii="宋体" w:hAnsi="宋体" w:eastAsia="宋体" w:cs="宋体"/>
          <w:sz w:val="24"/>
          <w:szCs w:val="24"/>
        </w:rPr>
        <w:t>33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_Toc14790 </w:instrText>
      </w:r>
      <w:r>
        <w:rPr>
          <w:rFonts w:hint="eastAsia" w:ascii="宋体" w:hAnsi="宋体" w:eastAsia="宋体" w:cs="宋体"/>
          <w:sz w:val="24"/>
          <w:szCs w:val="24"/>
        </w:rPr>
        <w:fldChar w:fldCharType="separate"/>
      </w:r>
      <w:r>
        <w:rPr>
          <w:rFonts w:hint="eastAsia" w:ascii="宋体" w:hAnsi="宋体" w:eastAsia="宋体" w:cs="宋体"/>
          <w:sz w:val="24"/>
          <w:szCs w:val="24"/>
        </w:rPr>
        <w:t>2.10环境风险防范措施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_Toc14790 \h </w:instrText>
      </w:r>
      <w:r>
        <w:rPr>
          <w:rFonts w:hint="eastAsia" w:ascii="宋体" w:hAnsi="宋体" w:eastAsia="宋体" w:cs="宋体"/>
          <w:sz w:val="24"/>
          <w:szCs w:val="24"/>
        </w:rPr>
        <w:fldChar w:fldCharType="separate"/>
      </w:r>
      <w:r>
        <w:rPr>
          <w:rFonts w:hint="eastAsia" w:ascii="宋体" w:hAnsi="宋体" w:eastAsia="宋体" w:cs="宋体"/>
          <w:sz w:val="24"/>
          <w:szCs w:val="24"/>
        </w:rPr>
        <w:t>33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_Toc24919 </w:instrText>
      </w:r>
      <w:r>
        <w:rPr>
          <w:rFonts w:hint="eastAsia" w:ascii="宋体" w:hAnsi="宋体" w:eastAsia="宋体" w:cs="宋体"/>
          <w:sz w:val="24"/>
          <w:szCs w:val="24"/>
        </w:rPr>
        <w:fldChar w:fldCharType="separate"/>
      </w:r>
      <w:r>
        <w:rPr>
          <w:rFonts w:hint="eastAsia" w:ascii="宋体" w:hAnsi="宋体" w:eastAsia="宋体" w:cs="宋体"/>
          <w:sz w:val="24"/>
          <w:szCs w:val="24"/>
        </w:rPr>
        <w:t>3 组织体系和职责</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_Toc24919 \h </w:instrText>
      </w:r>
      <w:r>
        <w:rPr>
          <w:rFonts w:hint="eastAsia" w:ascii="宋体" w:hAnsi="宋体" w:eastAsia="宋体" w:cs="宋体"/>
          <w:sz w:val="24"/>
          <w:szCs w:val="24"/>
        </w:rPr>
        <w:fldChar w:fldCharType="separate"/>
      </w:r>
      <w:r>
        <w:rPr>
          <w:rFonts w:hint="eastAsia" w:ascii="宋体" w:hAnsi="宋体" w:eastAsia="宋体" w:cs="宋体"/>
          <w:sz w:val="24"/>
          <w:szCs w:val="24"/>
        </w:rPr>
        <w:t>36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_Toc10308 </w:instrText>
      </w:r>
      <w:r>
        <w:rPr>
          <w:rFonts w:hint="eastAsia" w:ascii="宋体" w:hAnsi="宋体" w:eastAsia="宋体" w:cs="宋体"/>
          <w:sz w:val="24"/>
          <w:szCs w:val="24"/>
        </w:rPr>
        <w:fldChar w:fldCharType="separate"/>
      </w:r>
      <w:r>
        <w:rPr>
          <w:rFonts w:hint="eastAsia" w:ascii="宋体" w:hAnsi="宋体" w:eastAsia="宋体" w:cs="宋体"/>
          <w:sz w:val="24"/>
          <w:szCs w:val="24"/>
        </w:rPr>
        <w:t>3.1应急组织体系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_Toc10308 \h </w:instrText>
      </w:r>
      <w:r>
        <w:rPr>
          <w:rFonts w:hint="eastAsia" w:ascii="宋体" w:hAnsi="宋体" w:eastAsia="宋体" w:cs="宋体"/>
          <w:sz w:val="24"/>
          <w:szCs w:val="24"/>
        </w:rPr>
        <w:fldChar w:fldCharType="separate"/>
      </w:r>
      <w:r>
        <w:rPr>
          <w:rFonts w:hint="eastAsia" w:ascii="宋体" w:hAnsi="宋体" w:eastAsia="宋体" w:cs="宋体"/>
          <w:sz w:val="24"/>
          <w:szCs w:val="24"/>
        </w:rPr>
        <w:t>36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_Toc8143 </w:instrText>
      </w:r>
      <w:r>
        <w:rPr>
          <w:rFonts w:hint="eastAsia" w:ascii="宋体" w:hAnsi="宋体" w:eastAsia="宋体" w:cs="宋体"/>
          <w:sz w:val="24"/>
          <w:szCs w:val="24"/>
        </w:rPr>
        <w:fldChar w:fldCharType="separate"/>
      </w:r>
      <w:r>
        <w:rPr>
          <w:rFonts w:hint="eastAsia" w:ascii="宋体" w:hAnsi="宋体" w:eastAsia="宋体" w:cs="宋体"/>
          <w:sz w:val="24"/>
          <w:szCs w:val="24"/>
        </w:rPr>
        <w:t>3.2职责</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_Toc8143 \h </w:instrText>
      </w:r>
      <w:r>
        <w:rPr>
          <w:rFonts w:hint="eastAsia" w:ascii="宋体" w:hAnsi="宋体" w:eastAsia="宋体" w:cs="宋体"/>
          <w:sz w:val="24"/>
          <w:szCs w:val="24"/>
        </w:rPr>
        <w:fldChar w:fldCharType="separate"/>
      </w:r>
      <w:r>
        <w:rPr>
          <w:rFonts w:hint="eastAsia" w:ascii="宋体" w:hAnsi="宋体" w:eastAsia="宋体" w:cs="宋体"/>
          <w:sz w:val="24"/>
          <w:szCs w:val="24"/>
        </w:rPr>
        <w:t>36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_Toc1194 </w:instrText>
      </w:r>
      <w:r>
        <w:rPr>
          <w:rFonts w:hint="eastAsia" w:ascii="宋体" w:hAnsi="宋体" w:eastAsia="宋体" w:cs="宋体"/>
          <w:sz w:val="24"/>
          <w:szCs w:val="24"/>
        </w:rPr>
        <w:fldChar w:fldCharType="separate"/>
      </w:r>
      <w:r>
        <w:rPr>
          <w:rFonts w:hint="eastAsia" w:ascii="宋体" w:hAnsi="宋体" w:eastAsia="宋体" w:cs="宋体"/>
          <w:sz w:val="24"/>
          <w:szCs w:val="24"/>
        </w:rPr>
        <w:t>3.3突发环境事件内部应急处置指挥部职责</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_Toc1194 \h </w:instrText>
      </w:r>
      <w:r>
        <w:rPr>
          <w:rFonts w:hint="eastAsia" w:ascii="宋体" w:hAnsi="宋体" w:eastAsia="宋体" w:cs="宋体"/>
          <w:sz w:val="24"/>
          <w:szCs w:val="24"/>
        </w:rPr>
        <w:fldChar w:fldCharType="separate"/>
      </w:r>
      <w:r>
        <w:rPr>
          <w:rFonts w:hint="eastAsia" w:ascii="宋体" w:hAnsi="宋体" w:eastAsia="宋体" w:cs="宋体"/>
          <w:sz w:val="24"/>
          <w:szCs w:val="24"/>
        </w:rPr>
        <w:t>41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_Toc8789 </w:instrText>
      </w:r>
      <w:r>
        <w:rPr>
          <w:rFonts w:hint="eastAsia" w:ascii="宋体" w:hAnsi="宋体" w:eastAsia="宋体" w:cs="宋体"/>
          <w:sz w:val="24"/>
          <w:szCs w:val="24"/>
        </w:rPr>
        <w:fldChar w:fldCharType="separate"/>
      </w:r>
      <w:r>
        <w:rPr>
          <w:rFonts w:hint="eastAsia" w:ascii="宋体" w:hAnsi="宋体" w:eastAsia="宋体" w:cs="宋体"/>
          <w:sz w:val="24"/>
          <w:szCs w:val="24"/>
        </w:rPr>
        <w:t>3.4外部指挥与协调</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_Toc8789 \h </w:instrText>
      </w:r>
      <w:r>
        <w:rPr>
          <w:rFonts w:hint="eastAsia" w:ascii="宋体" w:hAnsi="宋体" w:eastAsia="宋体" w:cs="宋体"/>
          <w:sz w:val="24"/>
          <w:szCs w:val="24"/>
        </w:rPr>
        <w:fldChar w:fldCharType="separate"/>
      </w:r>
      <w:r>
        <w:rPr>
          <w:rFonts w:hint="eastAsia" w:ascii="宋体" w:hAnsi="宋体" w:eastAsia="宋体" w:cs="宋体"/>
          <w:sz w:val="24"/>
          <w:szCs w:val="24"/>
        </w:rPr>
        <w:t>42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_Toc6287 </w:instrText>
      </w:r>
      <w:r>
        <w:rPr>
          <w:rFonts w:hint="eastAsia" w:ascii="宋体" w:hAnsi="宋体" w:eastAsia="宋体" w:cs="宋体"/>
          <w:sz w:val="24"/>
          <w:szCs w:val="24"/>
        </w:rPr>
        <w:fldChar w:fldCharType="separate"/>
      </w:r>
      <w:r>
        <w:rPr>
          <w:rFonts w:hint="eastAsia" w:ascii="宋体" w:hAnsi="宋体" w:eastAsia="宋体" w:cs="宋体"/>
          <w:sz w:val="24"/>
          <w:szCs w:val="24"/>
        </w:rPr>
        <w:t>4 预防和预警</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_Toc6287 \h </w:instrText>
      </w:r>
      <w:r>
        <w:rPr>
          <w:rFonts w:hint="eastAsia" w:ascii="宋体" w:hAnsi="宋体" w:eastAsia="宋体" w:cs="宋体"/>
          <w:sz w:val="24"/>
          <w:szCs w:val="24"/>
        </w:rPr>
        <w:fldChar w:fldCharType="separate"/>
      </w:r>
      <w:r>
        <w:rPr>
          <w:rFonts w:hint="eastAsia" w:ascii="宋体" w:hAnsi="宋体" w:eastAsia="宋体" w:cs="宋体"/>
          <w:sz w:val="24"/>
          <w:szCs w:val="24"/>
        </w:rPr>
        <w:t>43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_Toc27743 </w:instrText>
      </w:r>
      <w:r>
        <w:rPr>
          <w:rFonts w:hint="eastAsia" w:ascii="宋体" w:hAnsi="宋体" w:eastAsia="宋体" w:cs="宋体"/>
          <w:sz w:val="24"/>
          <w:szCs w:val="24"/>
        </w:rPr>
        <w:fldChar w:fldCharType="separate"/>
      </w:r>
      <w:r>
        <w:rPr>
          <w:rFonts w:hint="eastAsia" w:ascii="宋体" w:hAnsi="宋体" w:eastAsia="宋体" w:cs="宋体"/>
          <w:sz w:val="24"/>
          <w:szCs w:val="24"/>
        </w:rPr>
        <w:t>4.1预防</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_Toc27743 \h </w:instrText>
      </w:r>
      <w:r>
        <w:rPr>
          <w:rFonts w:hint="eastAsia" w:ascii="宋体" w:hAnsi="宋体" w:eastAsia="宋体" w:cs="宋体"/>
          <w:sz w:val="24"/>
          <w:szCs w:val="24"/>
        </w:rPr>
        <w:fldChar w:fldCharType="separate"/>
      </w:r>
      <w:r>
        <w:rPr>
          <w:rFonts w:hint="eastAsia" w:ascii="宋体" w:hAnsi="宋体" w:eastAsia="宋体" w:cs="宋体"/>
          <w:sz w:val="24"/>
          <w:szCs w:val="24"/>
        </w:rPr>
        <w:t>43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_Toc8420 </w:instrText>
      </w:r>
      <w:r>
        <w:rPr>
          <w:rFonts w:hint="eastAsia" w:ascii="宋体" w:hAnsi="宋体" w:eastAsia="宋体" w:cs="宋体"/>
          <w:sz w:val="24"/>
          <w:szCs w:val="24"/>
        </w:rPr>
        <w:fldChar w:fldCharType="separate"/>
      </w:r>
      <w:r>
        <w:rPr>
          <w:rFonts w:hint="eastAsia" w:ascii="宋体" w:hAnsi="宋体" w:eastAsia="宋体" w:cs="宋体"/>
          <w:sz w:val="24"/>
          <w:szCs w:val="24"/>
        </w:rPr>
        <w:t>4.1.1突发水环境事件风险防控措施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_Toc8420 \h </w:instrText>
      </w:r>
      <w:r>
        <w:rPr>
          <w:rFonts w:hint="eastAsia" w:ascii="宋体" w:hAnsi="宋体" w:eastAsia="宋体" w:cs="宋体"/>
          <w:sz w:val="24"/>
          <w:szCs w:val="24"/>
        </w:rPr>
        <w:fldChar w:fldCharType="separate"/>
      </w:r>
      <w:r>
        <w:rPr>
          <w:rFonts w:hint="eastAsia" w:ascii="宋体" w:hAnsi="宋体" w:eastAsia="宋体" w:cs="宋体"/>
          <w:sz w:val="24"/>
          <w:szCs w:val="24"/>
        </w:rPr>
        <w:t>43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_Toc14629 </w:instrText>
      </w:r>
      <w:r>
        <w:rPr>
          <w:rFonts w:hint="eastAsia" w:ascii="宋体" w:hAnsi="宋体" w:eastAsia="宋体" w:cs="宋体"/>
          <w:sz w:val="24"/>
          <w:szCs w:val="24"/>
        </w:rPr>
        <w:fldChar w:fldCharType="separate"/>
      </w:r>
      <w:r>
        <w:rPr>
          <w:rFonts w:hint="eastAsia" w:ascii="宋体" w:hAnsi="宋体" w:eastAsia="宋体" w:cs="宋体"/>
          <w:sz w:val="24"/>
          <w:szCs w:val="24"/>
        </w:rPr>
        <w:t>4.1.2突发大气环境事件风险防控措施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_Toc14629 \h </w:instrText>
      </w:r>
      <w:r>
        <w:rPr>
          <w:rFonts w:hint="eastAsia" w:ascii="宋体" w:hAnsi="宋体" w:eastAsia="宋体" w:cs="宋体"/>
          <w:sz w:val="24"/>
          <w:szCs w:val="24"/>
        </w:rPr>
        <w:fldChar w:fldCharType="separate"/>
      </w:r>
      <w:r>
        <w:rPr>
          <w:rFonts w:hint="eastAsia" w:ascii="宋体" w:hAnsi="宋体" w:eastAsia="宋体" w:cs="宋体"/>
          <w:sz w:val="24"/>
          <w:szCs w:val="24"/>
        </w:rPr>
        <w:t>43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_Toc15846 </w:instrText>
      </w:r>
      <w:r>
        <w:rPr>
          <w:rFonts w:hint="eastAsia" w:ascii="宋体" w:hAnsi="宋体" w:eastAsia="宋体" w:cs="宋体"/>
          <w:sz w:val="24"/>
          <w:szCs w:val="24"/>
        </w:rPr>
        <w:fldChar w:fldCharType="separate"/>
      </w:r>
      <w:r>
        <w:rPr>
          <w:rFonts w:hint="eastAsia" w:ascii="宋体" w:hAnsi="宋体" w:eastAsia="宋体" w:cs="宋体"/>
          <w:sz w:val="24"/>
          <w:szCs w:val="24"/>
        </w:rPr>
        <w:t>4.1.3危险化学品泄漏环境事件风险防控措施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_Toc15846 \h </w:instrText>
      </w:r>
      <w:r>
        <w:rPr>
          <w:rFonts w:hint="eastAsia" w:ascii="宋体" w:hAnsi="宋体" w:eastAsia="宋体" w:cs="宋体"/>
          <w:sz w:val="24"/>
          <w:szCs w:val="24"/>
        </w:rPr>
        <w:fldChar w:fldCharType="separate"/>
      </w:r>
      <w:r>
        <w:rPr>
          <w:rFonts w:hint="eastAsia" w:ascii="宋体" w:hAnsi="宋体" w:eastAsia="宋体" w:cs="宋体"/>
          <w:sz w:val="24"/>
          <w:szCs w:val="24"/>
        </w:rPr>
        <w:t>44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_Toc14921 </w:instrText>
      </w:r>
      <w:r>
        <w:rPr>
          <w:rFonts w:hint="eastAsia" w:ascii="宋体" w:hAnsi="宋体" w:eastAsia="宋体" w:cs="宋体"/>
          <w:sz w:val="24"/>
          <w:szCs w:val="24"/>
        </w:rPr>
        <w:fldChar w:fldCharType="separate"/>
      </w:r>
      <w:r>
        <w:rPr>
          <w:rFonts w:hint="eastAsia" w:ascii="宋体" w:hAnsi="宋体" w:eastAsia="宋体" w:cs="宋体"/>
          <w:sz w:val="24"/>
          <w:szCs w:val="24"/>
        </w:rPr>
        <w:t>4.1.4 火灾爆炸环境事件风险防控措施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_Toc14921 \h </w:instrText>
      </w:r>
      <w:r>
        <w:rPr>
          <w:rFonts w:hint="eastAsia" w:ascii="宋体" w:hAnsi="宋体" w:eastAsia="宋体" w:cs="宋体"/>
          <w:sz w:val="24"/>
          <w:szCs w:val="24"/>
        </w:rPr>
        <w:fldChar w:fldCharType="separate"/>
      </w:r>
      <w:r>
        <w:rPr>
          <w:rFonts w:hint="eastAsia" w:ascii="宋体" w:hAnsi="宋体" w:eastAsia="宋体" w:cs="宋体"/>
          <w:sz w:val="24"/>
          <w:szCs w:val="24"/>
        </w:rPr>
        <w:t>45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_Toc2972 </w:instrText>
      </w:r>
      <w:r>
        <w:rPr>
          <w:rFonts w:hint="eastAsia" w:ascii="宋体" w:hAnsi="宋体" w:eastAsia="宋体" w:cs="宋体"/>
          <w:sz w:val="24"/>
          <w:szCs w:val="24"/>
        </w:rPr>
        <w:fldChar w:fldCharType="separate"/>
      </w:r>
      <w:r>
        <w:rPr>
          <w:rFonts w:hint="eastAsia" w:ascii="宋体" w:hAnsi="宋体" w:eastAsia="宋体" w:cs="宋体"/>
          <w:sz w:val="24"/>
          <w:szCs w:val="24"/>
        </w:rPr>
        <w:t>4.1.</w:t>
      </w:r>
      <w:r>
        <w:rPr>
          <w:rFonts w:hint="eastAsia" w:ascii="宋体" w:hAnsi="宋体" w:eastAsia="宋体" w:cs="宋体"/>
          <w:sz w:val="24"/>
          <w:szCs w:val="24"/>
          <w:lang w:val="en-US" w:eastAsia="zh-CN"/>
        </w:rPr>
        <w:t>5</w:t>
      </w:r>
      <w:r>
        <w:rPr>
          <w:rFonts w:hint="eastAsia" w:ascii="宋体" w:hAnsi="宋体" w:eastAsia="宋体" w:cs="宋体"/>
          <w:sz w:val="24"/>
          <w:szCs w:val="24"/>
        </w:rPr>
        <w:t>隐患排查治理制度</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_Toc2972 \h </w:instrText>
      </w:r>
      <w:r>
        <w:rPr>
          <w:rFonts w:hint="eastAsia" w:ascii="宋体" w:hAnsi="宋体" w:eastAsia="宋体" w:cs="宋体"/>
          <w:sz w:val="24"/>
          <w:szCs w:val="24"/>
        </w:rPr>
        <w:fldChar w:fldCharType="separate"/>
      </w:r>
      <w:r>
        <w:rPr>
          <w:rFonts w:hint="eastAsia" w:ascii="宋体" w:hAnsi="宋体" w:eastAsia="宋体" w:cs="宋体"/>
          <w:sz w:val="24"/>
          <w:szCs w:val="24"/>
        </w:rPr>
        <w:t>48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_Toc20704 </w:instrText>
      </w:r>
      <w:r>
        <w:rPr>
          <w:rFonts w:hint="eastAsia" w:ascii="宋体" w:hAnsi="宋体" w:eastAsia="宋体" w:cs="宋体"/>
          <w:sz w:val="24"/>
          <w:szCs w:val="24"/>
        </w:rPr>
        <w:fldChar w:fldCharType="separate"/>
      </w:r>
      <w:r>
        <w:rPr>
          <w:rFonts w:hint="eastAsia" w:ascii="宋体" w:hAnsi="宋体" w:eastAsia="宋体" w:cs="宋体"/>
          <w:sz w:val="24"/>
          <w:szCs w:val="24"/>
        </w:rPr>
        <w:t>4.1.</w:t>
      </w:r>
      <w:r>
        <w:rPr>
          <w:rFonts w:hint="eastAsia" w:ascii="宋体" w:hAnsi="宋体" w:eastAsia="宋体" w:cs="宋体"/>
          <w:sz w:val="24"/>
          <w:szCs w:val="24"/>
          <w:lang w:val="en-US" w:eastAsia="zh-CN"/>
        </w:rPr>
        <w:t>6</w:t>
      </w:r>
      <w:r>
        <w:rPr>
          <w:rFonts w:hint="eastAsia" w:ascii="宋体" w:hAnsi="宋体" w:eastAsia="宋体" w:cs="宋体"/>
          <w:sz w:val="24"/>
          <w:szCs w:val="24"/>
        </w:rPr>
        <w:t>日常监测制度</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_Toc20704 \h </w:instrText>
      </w:r>
      <w:r>
        <w:rPr>
          <w:rFonts w:hint="eastAsia" w:ascii="宋体" w:hAnsi="宋体" w:eastAsia="宋体" w:cs="宋体"/>
          <w:sz w:val="24"/>
          <w:szCs w:val="24"/>
        </w:rPr>
        <w:fldChar w:fldCharType="separate"/>
      </w:r>
      <w:r>
        <w:rPr>
          <w:rFonts w:hint="eastAsia" w:ascii="宋体" w:hAnsi="宋体" w:eastAsia="宋体" w:cs="宋体"/>
          <w:sz w:val="24"/>
          <w:szCs w:val="24"/>
        </w:rPr>
        <w:t>48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_Toc28492 </w:instrText>
      </w:r>
      <w:r>
        <w:rPr>
          <w:rFonts w:hint="eastAsia" w:ascii="宋体" w:hAnsi="宋体" w:eastAsia="宋体" w:cs="宋体"/>
          <w:sz w:val="24"/>
          <w:szCs w:val="24"/>
        </w:rPr>
        <w:fldChar w:fldCharType="separate"/>
      </w:r>
      <w:r>
        <w:rPr>
          <w:rFonts w:hint="eastAsia" w:ascii="宋体" w:hAnsi="宋体" w:eastAsia="宋体" w:cs="宋体"/>
          <w:sz w:val="24"/>
          <w:szCs w:val="24"/>
        </w:rPr>
        <w:t>4.2预警</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_Toc28492 \h </w:instrText>
      </w:r>
      <w:r>
        <w:rPr>
          <w:rFonts w:hint="eastAsia" w:ascii="宋体" w:hAnsi="宋体" w:eastAsia="宋体" w:cs="宋体"/>
          <w:sz w:val="24"/>
          <w:szCs w:val="24"/>
        </w:rPr>
        <w:fldChar w:fldCharType="separate"/>
      </w:r>
      <w:r>
        <w:rPr>
          <w:rFonts w:hint="eastAsia" w:ascii="宋体" w:hAnsi="宋体" w:eastAsia="宋体" w:cs="宋体"/>
          <w:sz w:val="24"/>
          <w:szCs w:val="24"/>
        </w:rPr>
        <w:t>48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_Toc15252 </w:instrText>
      </w:r>
      <w:r>
        <w:rPr>
          <w:rFonts w:hint="eastAsia" w:ascii="宋体" w:hAnsi="宋体" w:eastAsia="宋体" w:cs="宋体"/>
          <w:sz w:val="24"/>
          <w:szCs w:val="24"/>
        </w:rPr>
        <w:fldChar w:fldCharType="separate"/>
      </w:r>
      <w:r>
        <w:rPr>
          <w:rFonts w:hint="eastAsia" w:ascii="宋体" w:hAnsi="宋体" w:eastAsia="宋体" w:cs="宋体"/>
          <w:sz w:val="24"/>
          <w:szCs w:val="24"/>
        </w:rPr>
        <w:t>4.2.1预警分级</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_Toc15252 \h </w:instrText>
      </w:r>
      <w:r>
        <w:rPr>
          <w:rFonts w:hint="eastAsia" w:ascii="宋体" w:hAnsi="宋体" w:eastAsia="宋体" w:cs="宋体"/>
          <w:sz w:val="24"/>
          <w:szCs w:val="24"/>
        </w:rPr>
        <w:fldChar w:fldCharType="separate"/>
      </w:r>
      <w:r>
        <w:rPr>
          <w:rFonts w:hint="eastAsia" w:ascii="宋体" w:hAnsi="宋体" w:eastAsia="宋体" w:cs="宋体"/>
          <w:sz w:val="24"/>
          <w:szCs w:val="24"/>
        </w:rPr>
        <w:t>49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_Toc18825 </w:instrText>
      </w:r>
      <w:r>
        <w:rPr>
          <w:rFonts w:hint="eastAsia" w:ascii="宋体" w:hAnsi="宋体" w:eastAsia="宋体" w:cs="宋体"/>
          <w:sz w:val="24"/>
          <w:szCs w:val="24"/>
        </w:rPr>
        <w:fldChar w:fldCharType="separate"/>
      </w:r>
      <w:r>
        <w:rPr>
          <w:rFonts w:hint="eastAsia" w:ascii="宋体" w:hAnsi="宋体" w:eastAsia="宋体" w:cs="宋体"/>
          <w:sz w:val="24"/>
          <w:szCs w:val="24"/>
        </w:rPr>
        <w:t>4.2.2预警报告程序及内容</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_Toc18825 \h </w:instrText>
      </w:r>
      <w:r>
        <w:rPr>
          <w:rFonts w:hint="eastAsia" w:ascii="宋体" w:hAnsi="宋体" w:eastAsia="宋体" w:cs="宋体"/>
          <w:sz w:val="24"/>
          <w:szCs w:val="24"/>
        </w:rPr>
        <w:fldChar w:fldCharType="separate"/>
      </w:r>
      <w:r>
        <w:rPr>
          <w:rFonts w:hint="eastAsia" w:ascii="宋体" w:hAnsi="宋体" w:eastAsia="宋体" w:cs="宋体"/>
          <w:sz w:val="24"/>
          <w:szCs w:val="24"/>
        </w:rPr>
        <w:t>49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_Toc19186 </w:instrText>
      </w:r>
      <w:r>
        <w:rPr>
          <w:rFonts w:hint="eastAsia" w:ascii="宋体" w:hAnsi="宋体" w:eastAsia="宋体" w:cs="宋体"/>
          <w:sz w:val="24"/>
          <w:szCs w:val="24"/>
        </w:rPr>
        <w:fldChar w:fldCharType="separate"/>
      </w:r>
      <w:r>
        <w:rPr>
          <w:rFonts w:hint="eastAsia" w:ascii="宋体" w:hAnsi="宋体" w:eastAsia="宋体" w:cs="宋体"/>
          <w:sz w:val="24"/>
          <w:szCs w:val="24"/>
        </w:rPr>
        <w:t>4.2.3预警行动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_Toc19186 \h </w:instrText>
      </w:r>
      <w:r>
        <w:rPr>
          <w:rFonts w:hint="eastAsia" w:ascii="宋体" w:hAnsi="宋体" w:eastAsia="宋体" w:cs="宋体"/>
          <w:sz w:val="24"/>
          <w:szCs w:val="24"/>
        </w:rPr>
        <w:fldChar w:fldCharType="separate"/>
      </w:r>
      <w:r>
        <w:rPr>
          <w:rFonts w:hint="eastAsia" w:ascii="宋体" w:hAnsi="宋体" w:eastAsia="宋体" w:cs="宋体"/>
          <w:sz w:val="24"/>
          <w:szCs w:val="24"/>
        </w:rPr>
        <w:t>52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_Toc31179 </w:instrText>
      </w:r>
      <w:r>
        <w:rPr>
          <w:rFonts w:hint="eastAsia" w:ascii="宋体" w:hAnsi="宋体" w:eastAsia="宋体" w:cs="宋体"/>
          <w:sz w:val="24"/>
          <w:szCs w:val="24"/>
        </w:rPr>
        <w:fldChar w:fldCharType="separate"/>
      </w:r>
      <w:r>
        <w:rPr>
          <w:rFonts w:hint="eastAsia" w:ascii="宋体" w:hAnsi="宋体" w:eastAsia="宋体" w:cs="宋体"/>
          <w:sz w:val="24"/>
          <w:szCs w:val="24"/>
        </w:rPr>
        <w:t>4.3预警解除</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_Toc31179 \h </w:instrText>
      </w:r>
      <w:r>
        <w:rPr>
          <w:rFonts w:hint="eastAsia" w:ascii="宋体" w:hAnsi="宋体" w:eastAsia="宋体" w:cs="宋体"/>
          <w:sz w:val="24"/>
          <w:szCs w:val="24"/>
        </w:rPr>
        <w:fldChar w:fldCharType="separate"/>
      </w:r>
      <w:r>
        <w:rPr>
          <w:rFonts w:hint="eastAsia" w:ascii="宋体" w:hAnsi="宋体" w:eastAsia="宋体" w:cs="宋体"/>
          <w:sz w:val="24"/>
          <w:szCs w:val="24"/>
        </w:rPr>
        <w:t>52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_Toc29997 </w:instrText>
      </w:r>
      <w:r>
        <w:rPr>
          <w:rFonts w:hint="eastAsia" w:ascii="宋体" w:hAnsi="宋体" w:eastAsia="宋体" w:cs="宋体"/>
          <w:sz w:val="24"/>
          <w:szCs w:val="24"/>
        </w:rPr>
        <w:fldChar w:fldCharType="separate"/>
      </w:r>
      <w:r>
        <w:rPr>
          <w:rFonts w:hint="eastAsia" w:ascii="宋体" w:hAnsi="宋体" w:eastAsia="宋体" w:cs="宋体"/>
          <w:sz w:val="24"/>
          <w:szCs w:val="24"/>
        </w:rPr>
        <w:t>5 应急响应</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_Toc29997 \h </w:instrText>
      </w:r>
      <w:r>
        <w:rPr>
          <w:rFonts w:hint="eastAsia" w:ascii="宋体" w:hAnsi="宋体" w:eastAsia="宋体" w:cs="宋体"/>
          <w:sz w:val="24"/>
          <w:szCs w:val="24"/>
        </w:rPr>
        <w:fldChar w:fldCharType="separate"/>
      </w:r>
      <w:r>
        <w:rPr>
          <w:rFonts w:hint="eastAsia" w:ascii="宋体" w:hAnsi="宋体" w:eastAsia="宋体" w:cs="宋体"/>
          <w:sz w:val="24"/>
          <w:szCs w:val="24"/>
        </w:rPr>
        <w:t>53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_Toc18355 </w:instrText>
      </w:r>
      <w:r>
        <w:rPr>
          <w:rFonts w:hint="eastAsia" w:ascii="宋体" w:hAnsi="宋体" w:eastAsia="宋体" w:cs="宋体"/>
          <w:sz w:val="24"/>
          <w:szCs w:val="24"/>
        </w:rPr>
        <w:fldChar w:fldCharType="separate"/>
      </w:r>
      <w:r>
        <w:rPr>
          <w:rFonts w:hint="eastAsia" w:ascii="宋体" w:hAnsi="宋体" w:eastAsia="宋体" w:cs="宋体"/>
          <w:sz w:val="24"/>
          <w:szCs w:val="24"/>
        </w:rPr>
        <w:t>5.1分级响应程序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_Toc18355 \h </w:instrText>
      </w:r>
      <w:r>
        <w:rPr>
          <w:rFonts w:hint="eastAsia" w:ascii="宋体" w:hAnsi="宋体" w:eastAsia="宋体" w:cs="宋体"/>
          <w:sz w:val="24"/>
          <w:szCs w:val="24"/>
        </w:rPr>
        <w:fldChar w:fldCharType="separate"/>
      </w:r>
      <w:r>
        <w:rPr>
          <w:rFonts w:hint="eastAsia" w:ascii="宋体" w:hAnsi="宋体" w:eastAsia="宋体" w:cs="宋体"/>
          <w:sz w:val="24"/>
          <w:szCs w:val="24"/>
        </w:rPr>
        <w:t>53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_Toc11471 </w:instrText>
      </w:r>
      <w:r>
        <w:rPr>
          <w:rFonts w:hint="eastAsia" w:ascii="宋体" w:hAnsi="宋体" w:eastAsia="宋体" w:cs="宋体"/>
          <w:sz w:val="24"/>
          <w:szCs w:val="24"/>
        </w:rPr>
        <w:fldChar w:fldCharType="separate"/>
      </w:r>
      <w:r>
        <w:rPr>
          <w:rFonts w:hint="eastAsia" w:ascii="宋体" w:hAnsi="宋体" w:eastAsia="宋体" w:cs="宋体"/>
          <w:sz w:val="24"/>
          <w:szCs w:val="24"/>
        </w:rPr>
        <w:t>5.1.1应急响应分级</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_Toc11471 \h </w:instrText>
      </w:r>
      <w:r>
        <w:rPr>
          <w:rFonts w:hint="eastAsia" w:ascii="宋体" w:hAnsi="宋体" w:eastAsia="宋体" w:cs="宋体"/>
          <w:sz w:val="24"/>
          <w:szCs w:val="24"/>
        </w:rPr>
        <w:fldChar w:fldCharType="separate"/>
      </w:r>
      <w:r>
        <w:rPr>
          <w:rFonts w:hint="eastAsia" w:ascii="宋体" w:hAnsi="宋体" w:eastAsia="宋体" w:cs="宋体"/>
          <w:sz w:val="24"/>
          <w:szCs w:val="24"/>
        </w:rPr>
        <w:t>53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_Toc10078 </w:instrText>
      </w:r>
      <w:r>
        <w:rPr>
          <w:rFonts w:hint="eastAsia" w:ascii="宋体" w:hAnsi="宋体" w:eastAsia="宋体" w:cs="宋体"/>
          <w:sz w:val="24"/>
          <w:szCs w:val="24"/>
        </w:rPr>
        <w:fldChar w:fldCharType="separate"/>
      </w:r>
      <w:r>
        <w:rPr>
          <w:rFonts w:hint="eastAsia" w:ascii="宋体" w:hAnsi="宋体" w:eastAsia="宋体" w:cs="宋体"/>
          <w:sz w:val="24"/>
          <w:szCs w:val="24"/>
        </w:rPr>
        <w:t>5.1.2响应程序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_Toc10078 \h </w:instrText>
      </w:r>
      <w:r>
        <w:rPr>
          <w:rFonts w:hint="eastAsia" w:ascii="宋体" w:hAnsi="宋体" w:eastAsia="宋体" w:cs="宋体"/>
          <w:sz w:val="24"/>
          <w:szCs w:val="24"/>
        </w:rPr>
        <w:fldChar w:fldCharType="separate"/>
      </w:r>
      <w:r>
        <w:rPr>
          <w:rFonts w:hint="eastAsia" w:ascii="宋体" w:hAnsi="宋体" w:eastAsia="宋体" w:cs="宋体"/>
          <w:sz w:val="24"/>
          <w:szCs w:val="24"/>
        </w:rPr>
        <w:t>54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_Toc14905 </w:instrText>
      </w:r>
      <w:r>
        <w:rPr>
          <w:rFonts w:hint="eastAsia" w:ascii="宋体" w:hAnsi="宋体" w:eastAsia="宋体" w:cs="宋体"/>
          <w:sz w:val="24"/>
          <w:szCs w:val="24"/>
        </w:rPr>
        <w:fldChar w:fldCharType="separate"/>
      </w:r>
      <w:r>
        <w:rPr>
          <w:rFonts w:hint="eastAsia" w:ascii="宋体" w:hAnsi="宋体" w:eastAsia="宋体" w:cs="宋体"/>
          <w:sz w:val="24"/>
          <w:szCs w:val="24"/>
        </w:rPr>
        <w:t>5.1.3分级响应、扩大应急</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_Toc14905 \h </w:instrText>
      </w:r>
      <w:r>
        <w:rPr>
          <w:rFonts w:hint="eastAsia" w:ascii="宋体" w:hAnsi="宋体" w:eastAsia="宋体" w:cs="宋体"/>
          <w:sz w:val="24"/>
          <w:szCs w:val="24"/>
        </w:rPr>
        <w:fldChar w:fldCharType="separate"/>
      </w:r>
      <w:r>
        <w:rPr>
          <w:rFonts w:hint="eastAsia" w:ascii="宋体" w:hAnsi="宋体" w:eastAsia="宋体" w:cs="宋体"/>
          <w:sz w:val="24"/>
          <w:szCs w:val="24"/>
        </w:rPr>
        <w:t>57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_Toc14718 </w:instrText>
      </w:r>
      <w:r>
        <w:rPr>
          <w:rFonts w:hint="eastAsia" w:ascii="宋体" w:hAnsi="宋体" w:eastAsia="宋体" w:cs="宋体"/>
          <w:sz w:val="24"/>
          <w:szCs w:val="24"/>
        </w:rPr>
        <w:fldChar w:fldCharType="separate"/>
      </w:r>
      <w:r>
        <w:rPr>
          <w:rFonts w:hint="eastAsia" w:ascii="宋体" w:hAnsi="宋体" w:eastAsia="宋体" w:cs="宋体"/>
          <w:sz w:val="24"/>
          <w:szCs w:val="24"/>
        </w:rPr>
        <w:t>5.2信息报告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_Toc14718 \h </w:instrText>
      </w:r>
      <w:r>
        <w:rPr>
          <w:rFonts w:hint="eastAsia" w:ascii="宋体" w:hAnsi="宋体" w:eastAsia="宋体" w:cs="宋体"/>
          <w:sz w:val="24"/>
          <w:szCs w:val="24"/>
        </w:rPr>
        <w:fldChar w:fldCharType="separate"/>
      </w:r>
      <w:r>
        <w:rPr>
          <w:rFonts w:hint="eastAsia" w:ascii="宋体" w:hAnsi="宋体" w:eastAsia="宋体" w:cs="宋体"/>
          <w:sz w:val="24"/>
          <w:szCs w:val="24"/>
        </w:rPr>
        <w:t>57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_Toc5602 </w:instrText>
      </w:r>
      <w:r>
        <w:rPr>
          <w:rFonts w:hint="eastAsia" w:ascii="宋体" w:hAnsi="宋体" w:eastAsia="宋体" w:cs="宋体"/>
          <w:sz w:val="24"/>
          <w:szCs w:val="24"/>
        </w:rPr>
        <w:fldChar w:fldCharType="separate"/>
      </w:r>
      <w:r>
        <w:rPr>
          <w:rFonts w:hint="eastAsia" w:ascii="宋体" w:hAnsi="宋体" w:eastAsia="宋体" w:cs="宋体"/>
          <w:sz w:val="24"/>
          <w:szCs w:val="24"/>
        </w:rPr>
        <w:t>5.2.1事件报告程序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_Toc5602 \h </w:instrText>
      </w:r>
      <w:r>
        <w:rPr>
          <w:rFonts w:hint="eastAsia" w:ascii="宋体" w:hAnsi="宋体" w:eastAsia="宋体" w:cs="宋体"/>
          <w:sz w:val="24"/>
          <w:szCs w:val="24"/>
        </w:rPr>
        <w:fldChar w:fldCharType="separate"/>
      </w:r>
      <w:r>
        <w:rPr>
          <w:rFonts w:hint="eastAsia" w:ascii="宋体" w:hAnsi="宋体" w:eastAsia="宋体" w:cs="宋体"/>
          <w:sz w:val="24"/>
          <w:szCs w:val="24"/>
        </w:rPr>
        <w:t>57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_Toc11535 </w:instrText>
      </w:r>
      <w:r>
        <w:rPr>
          <w:rFonts w:hint="eastAsia" w:ascii="宋体" w:hAnsi="宋体" w:eastAsia="宋体" w:cs="宋体"/>
          <w:sz w:val="24"/>
          <w:szCs w:val="24"/>
        </w:rPr>
        <w:fldChar w:fldCharType="separate"/>
      </w:r>
      <w:r>
        <w:rPr>
          <w:rFonts w:hint="eastAsia" w:ascii="宋体" w:hAnsi="宋体" w:eastAsia="宋体" w:cs="宋体"/>
          <w:sz w:val="24"/>
          <w:szCs w:val="24"/>
        </w:rPr>
        <w:t>5.2.2事件报告形式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_Toc11535 \h </w:instrText>
      </w:r>
      <w:r>
        <w:rPr>
          <w:rFonts w:hint="eastAsia" w:ascii="宋体" w:hAnsi="宋体" w:eastAsia="宋体" w:cs="宋体"/>
          <w:sz w:val="24"/>
          <w:szCs w:val="24"/>
        </w:rPr>
        <w:fldChar w:fldCharType="separate"/>
      </w:r>
      <w:r>
        <w:rPr>
          <w:rFonts w:hint="eastAsia" w:ascii="宋体" w:hAnsi="宋体" w:eastAsia="宋体" w:cs="宋体"/>
          <w:sz w:val="24"/>
          <w:szCs w:val="24"/>
        </w:rPr>
        <w:t>59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_Toc29098 </w:instrText>
      </w:r>
      <w:r>
        <w:rPr>
          <w:rFonts w:hint="eastAsia" w:ascii="宋体" w:hAnsi="宋体" w:eastAsia="宋体" w:cs="宋体"/>
          <w:sz w:val="24"/>
          <w:szCs w:val="24"/>
        </w:rPr>
        <w:fldChar w:fldCharType="separate"/>
      </w:r>
      <w:r>
        <w:rPr>
          <w:rFonts w:hint="eastAsia" w:ascii="宋体" w:hAnsi="宋体" w:eastAsia="宋体" w:cs="宋体"/>
          <w:sz w:val="24"/>
          <w:szCs w:val="24"/>
        </w:rPr>
        <w:t>5.3应急处置措施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_Toc29098 \h </w:instrText>
      </w:r>
      <w:r>
        <w:rPr>
          <w:rFonts w:hint="eastAsia" w:ascii="宋体" w:hAnsi="宋体" w:eastAsia="宋体" w:cs="宋体"/>
          <w:sz w:val="24"/>
          <w:szCs w:val="24"/>
        </w:rPr>
        <w:fldChar w:fldCharType="separate"/>
      </w:r>
      <w:r>
        <w:rPr>
          <w:rFonts w:hint="eastAsia" w:ascii="宋体" w:hAnsi="宋体" w:eastAsia="宋体" w:cs="宋体"/>
          <w:sz w:val="24"/>
          <w:szCs w:val="24"/>
        </w:rPr>
        <w:t>60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_Toc6116 </w:instrText>
      </w:r>
      <w:r>
        <w:rPr>
          <w:rFonts w:hint="eastAsia" w:ascii="宋体" w:hAnsi="宋体" w:eastAsia="宋体" w:cs="宋体"/>
          <w:sz w:val="24"/>
          <w:szCs w:val="24"/>
        </w:rPr>
        <w:fldChar w:fldCharType="separate"/>
      </w:r>
      <w:r>
        <w:rPr>
          <w:rFonts w:hint="eastAsia" w:ascii="宋体" w:hAnsi="宋体" w:eastAsia="宋体" w:cs="宋体"/>
          <w:sz w:val="24"/>
          <w:szCs w:val="24"/>
        </w:rPr>
        <w:t>5.3.1火灾、爆炸应急处置措施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_Toc6116 \h </w:instrText>
      </w:r>
      <w:r>
        <w:rPr>
          <w:rFonts w:hint="eastAsia" w:ascii="宋体" w:hAnsi="宋体" w:eastAsia="宋体" w:cs="宋体"/>
          <w:sz w:val="24"/>
          <w:szCs w:val="24"/>
        </w:rPr>
        <w:fldChar w:fldCharType="separate"/>
      </w:r>
      <w:r>
        <w:rPr>
          <w:rFonts w:hint="eastAsia" w:ascii="宋体" w:hAnsi="宋体" w:eastAsia="宋体" w:cs="宋体"/>
          <w:sz w:val="24"/>
          <w:szCs w:val="24"/>
        </w:rPr>
        <w:t>60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_Toc20934 </w:instrText>
      </w:r>
      <w:r>
        <w:rPr>
          <w:rFonts w:hint="eastAsia" w:ascii="宋体" w:hAnsi="宋体" w:eastAsia="宋体" w:cs="宋体"/>
          <w:sz w:val="24"/>
          <w:szCs w:val="24"/>
        </w:rPr>
        <w:fldChar w:fldCharType="separate"/>
      </w:r>
      <w:r>
        <w:rPr>
          <w:rFonts w:hint="eastAsia" w:ascii="宋体" w:hAnsi="宋体" w:eastAsia="宋体" w:cs="宋体"/>
          <w:sz w:val="24"/>
          <w:szCs w:val="24"/>
        </w:rPr>
        <w:t>5.3.2泄漏应急处置措施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_Toc20934 \h </w:instrText>
      </w:r>
      <w:r>
        <w:rPr>
          <w:rFonts w:hint="eastAsia" w:ascii="宋体" w:hAnsi="宋体" w:eastAsia="宋体" w:cs="宋体"/>
          <w:sz w:val="24"/>
          <w:szCs w:val="24"/>
        </w:rPr>
        <w:fldChar w:fldCharType="separate"/>
      </w:r>
      <w:r>
        <w:rPr>
          <w:rFonts w:hint="eastAsia" w:ascii="宋体" w:hAnsi="宋体" w:eastAsia="宋体" w:cs="宋体"/>
          <w:sz w:val="24"/>
          <w:szCs w:val="24"/>
        </w:rPr>
        <w:t>61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_Toc17501 </w:instrText>
      </w:r>
      <w:r>
        <w:rPr>
          <w:rFonts w:hint="eastAsia" w:ascii="宋体" w:hAnsi="宋体" w:eastAsia="宋体" w:cs="宋体"/>
          <w:sz w:val="24"/>
          <w:szCs w:val="24"/>
        </w:rPr>
        <w:fldChar w:fldCharType="separate"/>
      </w:r>
      <w:r>
        <w:rPr>
          <w:rFonts w:hint="eastAsia" w:ascii="宋体" w:hAnsi="宋体" w:eastAsia="宋体" w:cs="宋体"/>
          <w:sz w:val="24"/>
          <w:szCs w:val="24"/>
        </w:rPr>
        <w:t>5.3.3废气事故性排放应急处置措施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_Toc17501 \h </w:instrText>
      </w:r>
      <w:r>
        <w:rPr>
          <w:rFonts w:hint="eastAsia" w:ascii="宋体" w:hAnsi="宋体" w:eastAsia="宋体" w:cs="宋体"/>
          <w:sz w:val="24"/>
          <w:szCs w:val="24"/>
        </w:rPr>
        <w:fldChar w:fldCharType="separate"/>
      </w:r>
      <w:r>
        <w:rPr>
          <w:rFonts w:hint="eastAsia" w:ascii="宋体" w:hAnsi="宋体" w:eastAsia="宋体" w:cs="宋体"/>
          <w:sz w:val="24"/>
          <w:szCs w:val="24"/>
        </w:rPr>
        <w:t>62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_Toc23056 </w:instrText>
      </w:r>
      <w:r>
        <w:rPr>
          <w:rFonts w:hint="eastAsia" w:ascii="宋体" w:hAnsi="宋体" w:eastAsia="宋体" w:cs="宋体"/>
          <w:sz w:val="24"/>
          <w:szCs w:val="24"/>
        </w:rPr>
        <w:fldChar w:fldCharType="separate"/>
      </w:r>
      <w:r>
        <w:rPr>
          <w:rFonts w:hint="eastAsia" w:ascii="宋体" w:hAnsi="宋体" w:eastAsia="宋体" w:cs="宋体"/>
          <w:sz w:val="24"/>
          <w:szCs w:val="24"/>
        </w:rPr>
        <w:t>5.4应急监测</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_Toc23056 \h </w:instrText>
      </w:r>
      <w:r>
        <w:rPr>
          <w:rFonts w:hint="eastAsia" w:ascii="宋体" w:hAnsi="宋体" w:eastAsia="宋体" w:cs="宋体"/>
          <w:sz w:val="24"/>
          <w:szCs w:val="24"/>
        </w:rPr>
        <w:fldChar w:fldCharType="separate"/>
      </w:r>
      <w:r>
        <w:rPr>
          <w:rFonts w:hint="eastAsia" w:ascii="宋体" w:hAnsi="宋体" w:eastAsia="宋体" w:cs="宋体"/>
          <w:sz w:val="24"/>
          <w:szCs w:val="24"/>
        </w:rPr>
        <w:t>62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_Toc9730 </w:instrText>
      </w:r>
      <w:r>
        <w:rPr>
          <w:rFonts w:hint="eastAsia" w:ascii="宋体" w:hAnsi="宋体" w:eastAsia="宋体" w:cs="宋体"/>
          <w:sz w:val="24"/>
          <w:szCs w:val="24"/>
        </w:rPr>
        <w:fldChar w:fldCharType="separate"/>
      </w:r>
      <w:r>
        <w:rPr>
          <w:rFonts w:hint="eastAsia" w:ascii="宋体" w:hAnsi="宋体" w:eastAsia="宋体" w:cs="宋体"/>
          <w:sz w:val="24"/>
          <w:szCs w:val="24"/>
        </w:rPr>
        <w:t>5.4.1应急监测方案的确定</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_Toc9730 \h </w:instrText>
      </w:r>
      <w:r>
        <w:rPr>
          <w:rFonts w:hint="eastAsia" w:ascii="宋体" w:hAnsi="宋体" w:eastAsia="宋体" w:cs="宋体"/>
          <w:sz w:val="24"/>
          <w:szCs w:val="24"/>
        </w:rPr>
        <w:fldChar w:fldCharType="separate"/>
      </w:r>
      <w:r>
        <w:rPr>
          <w:rFonts w:hint="eastAsia" w:ascii="宋体" w:hAnsi="宋体" w:eastAsia="宋体" w:cs="宋体"/>
          <w:sz w:val="24"/>
          <w:szCs w:val="24"/>
        </w:rPr>
        <w:t>62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_Toc23225 </w:instrText>
      </w:r>
      <w:r>
        <w:rPr>
          <w:rFonts w:hint="eastAsia" w:ascii="宋体" w:hAnsi="宋体" w:eastAsia="宋体" w:cs="宋体"/>
          <w:sz w:val="24"/>
          <w:szCs w:val="24"/>
        </w:rPr>
        <w:fldChar w:fldCharType="separate"/>
      </w:r>
      <w:r>
        <w:rPr>
          <w:rFonts w:hint="eastAsia" w:ascii="宋体" w:hAnsi="宋体" w:eastAsia="宋体" w:cs="宋体"/>
          <w:sz w:val="24"/>
          <w:szCs w:val="24"/>
        </w:rPr>
        <w:t>5.4.2监测布点与频次</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_Toc23225 \h </w:instrText>
      </w:r>
      <w:r>
        <w:rPr>
          <w:rFonts w:hint="eastAsia" w:ascii="宋体" w:hAnsi="宋体" w:eastAsia="宋体" w:cs="宋体"/>
          <w:sz w:val="24"/>
          <w:szCs w:val="24"/>
        </w:rPr>
        <w:fldChar w:fldCharType="separate"/>
      </w:r>
      <w:r>
        <w:rPr>
          <w:rFonts w:hint="eastAsia" w:ascii="宋体" w:hAnsi="宋体" w:eastAsia="宋体" w:cs="宋体"/>
          <w:sz w:val="24"/>
          <w:szCs w:val="24"/>
        </w:rPr>
        <w:t>64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_Toc29664 </w:instrText>
      </w:r>
      <w:r>
        <w:rPr>
          <w:rFonts w:hint="eastAsia" w:ascii="宋体" w:hAnsi="宋体" w:eastAsia="宋体" w:cs="宋体"/>
          <w:sz w:val="24"/>
          <w:szCs w:val="24"/>
        </w:rPr>
        <w:fldChar w:fldCharType="separate"/>
      </w:r>
      <w:r>
        <w:rPr>
          <w:rFonts w:hint="eastAsia" w:ascii="宋体" w:hAnsi="宋体" w:eastAsia="宋体" w:cs="宋体"/>
          <w:sz w:val="24"/>
          <w:szCs w:val="24"/>
        </w:rPr>
        <w:t>5.4.3仪器与药剂</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_Toc29664 \h </w:instrText>
      </w:r>
      <w:r>
        <w:rPr>
          <w:rFonts w:hint="eastAsia" w:ascii="宋体" w:hAnsi="宋体" w:eastAsia="宋体" w:cs="宋体"/>
          <w:sz w:val="24"/>
          <w:szCs w:val="24"/>
        </w:rPr>
        <w:fldChar w:fldCharType="separate"/>
      </w:r>
      <w:r>
        <w:rPr>
          <w:rFonts w:hint="eastAsia" w:ascii="宋体" w:hAnsi="宋体" w:eastAsia="宋体" w:cs="宋体"/>
          <w:sz w:val="24"/>
          <w:szCs w:val="24"/>
        </w:rPr>
        <w:t>64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_Toc16306 </w:instrText>
      </w:r>
      <w:r>
        <w:rPr>
          <w:rFonts w:hint="eastAsia" w:ascii="宋体" w:hAnsi="宋体" w:eastAsia="宋体" w:cs="宋体"/>
          <w:sz w:val="24"/>
          <w:szCs w:val="24"/>
        </w:rPr>
        <w:fldChar w:fldCharType="separate"/>
      </w:r>
      <w:r>
        <w:rPr>
          <w:rFonts w:hint="eastAsia" w:ascii="宋体" w:hAnsi="宋体" w:eastAsia="宋体" w:cs="宋体"/>
          <w:sz w:val="24"/>
          <w:szCs w:val="24"/>
        </w:rPr>
        <w:t>5.4.4应急监测人员安全防护措施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_Toc16306 \h </w:instrText>
      </w:r>
      <w:r>
        <w:rPr>
          <w:rFonts w:hint="eastAsia" w:ascii="宋体" w:hAnsi="宋体" w:eastAsia="宋体" w:cs="宋体"/>
          <w:sz w:val="24"/>
          <w:szCs w:val="24"/>
        </w:rPr>
        <w:fldChar w:fldCharType="separate"/>
      </w:r>
      <w:r>
        <w:rPr>
          <w:rFonts w:hint="eastAsia" w:ascii="宋体" w:hAnsi="宋体" w:eastAsia="宋体" w:cs="宋体"/>
          <w:sz w:val="24"/>
          <w:szCs w:val="24"/>
        </w:rPr>
        <w:t>64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_Toc7894 </w:instrText>
      </w:r>
      <w:r>
        <w:rPr>
          <w:rFonts w:hint="eastAsia" w:ascii="宋体" w:hAnsi="宋体" w:eastAsia="宋体" w:cs="宋体"/>
          <w:sz w:val="24"/>
          <w:szCs w:val="24"/>
        </w:rPr>
        <w:fldChar w:fldCharType="separate"/>
      </w:r>
      <w:r>
        <w:rPr>
          <w:rFonts w:hint="eastAsia" w:ascii="宋体" w:hAnsi="宋体" w:eastAsia="宋体" w:cs="宋体"/>
          <w:sz w:val="24"/>
          <w:szCs w:val="24"/>
        </w:rPr>
        <w:t>6 应急终止</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_Toc7894 \h </w:instrText>
      </w:r>
      <w:r>
        <w:rPr>
          <w:rFonts w:hint="eastAsia" w:ascii="宋体" w:hAnsi="宋体" w:eastAsia="宋体" w:cs="宋体"/>
          <w:sz w:val="24"/>
          <w:szCs w:val="24"/>
        </w:rPr>
        <w:fldChar w:fldCharType="separate"/>
      </w:r>
      <w:r>
        <w:rPr>
          <w:rFonts w:hint="eastAsia" w:ascii="宋体" w:hAnsi="宋体" w:eastAsia="宋体" w:cs="宋体"/>
          <w:sz w:val="24"/>
          <w:szCs w:val="24"/>
        </w:rPr>
        <w:t>65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_Toc24654 </w:instrText>
      </w:r>
      <w:r>
        <w:rPr>
          <w:rFonts w:hint="eastAsia" w:ascii="宋体" w:hAnsi="宋体" w:eastAsia="宋体" w:cs="宋体"/>
          <w:sz w:val="24"/>
          <w:szCs w:val="24"/>
        </w:rPr>
        <w:fldChar w:fldCharType="separate"/>
      </w:r>
      <w:r>
        <w:rPr>
          <w:rFonts w:hint="eastAsia" w:ascii="宋体" w:hAnsi="宋体" w:eastAsia="宋体" w:cs="宋体"/>
          <w:sz w:val="24"/>
          <w:szCs w:val="24"/>
        </w:rPr>
        <w:t>6.1 应急终止条件</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_Toc24654 \h </w:instrText>
      </w:r>
      <w:r>
        <w:rPr>
          <w:rFonts w:hint="eastAsia" w:ascii="宋体" w:hAnsi="宋体" w:eastAsia="宋体" w:cs="宋体"/>
          <w:sz w:val="24"/>
          <w:szCs w:val="24"/>
        </w:rPr>
        <w:fldChar w:fldCharType="separate"/>
      </w:r>
      <w:r>
        <w:rPr>
          <w:rFonts w:hint="eastAsia" w:ascii="宋体" w:hAnsi="宋体" w:eastAsia="宋体" w:cs="宋体"/>
          <w:sz w:val="24"/>
          <w:szCs w:val="24"/>
        </w:rPr>
        <w:t>65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_Toc19248 </w:instrText>
      </w:r>
      <w:r>
        <w:rPr>
          <w:rFonts w:hint="eastAsia" w:ascii="宋体" w:hAnsi="宋体" w:eastAsia="宋体" w:cs="宋体"/>
          <w:sz w:val="24"/>
          <w:szCs w:val="24"/>
        </w:rPr>
        <w:fldChar w:fldCharType="separate"/>
      </w:r>
      <w:r>
        <w:rPr>
          <w:rFonts w:hint="eastAsia" w:ascii="宋体" w:hAnsi="宋体" w:eastAsia="宋体" w:cs="宋体"/>
          <w:sz w:val="24"/>
          <w:szCs w:val="24"/>
        </w:rPr>
        <w:t>6.2 确定现场应急工作结束的程序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_Toc19248 \h </w:instrText>
      </w:r>
      <w:r>
        <w:rPr>
          <w:rFonts w:hint="eastAsia" w:ascii="宋体" w:hAnsi="宋体" w:eastAsia="宋体" w:cs="宋体"/>
          <w:sz w:val="24"/>
          <w:szCs w:val="24"/>
        </w:rPr>
        <w:fldChar w:fldCharType="separate"/>
      </w:r>
      <w:r>
        <w:rPr>
          <w:rFonts w:hint="eastAsia" w:ascii="宋体" w:hAnsi="宋体" w:eastAsia="宋体" w:cs="宋体"/>
          <w:sz w:val="24"/>
          <w:szCs w:val="24"/>
        </w:rPr>
        <w:t>65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_Toc22750 </w:instrText>
      </w:r>
      <w:r>
        <w:rPr>
          <w:rFonts w:hint="eastAsia" w:ascii="宋体" w:hAnsi="宋体" w:eastAsia="宋体" w:cs="宋体"/>
          <w:sz w:val="24"/>
          <w:szCs w:val="24"/>
        </w:rPr>
        <w:fldChar w:fldCharType="separate"/>
      </w:r>
      <w:r>
        <w:rPr>
          <w:rFonts w:hint="eastAsia" w:ascii="宋体" w:hAnsi="宋体" w:eastAsia="宋体" w:cs="宋体"/>
          <w:sz w:val="24"/>
          <w:szCs w:val="24"/>
        </w:rPr>
        <w:t>7 善后处置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_Toc22750 \h </w:instrText>
      </w:r>
      <w:r>
        <w:rPr>
          <w:rFonts w:hint="eastAsia" w:ascii="宋体" w:hAnsi="宋体" w:eastAsia="宋体" w:cs="宋体"/>
          <w:sz w:val="24"/>
          <w:szCs w:val="24"/>
        </w:rPr>
        <w:fldChar w:fldCharType="separate"/>
      </w:r>
      <w:r>
        <w:rPr>
          <w:rFonts w:hint="eastAsia" w:ascii="宋体" w:hAnsi="宋体" w:eastAsia="宋体" w:cs="宋体"/>
          <w:sz w:val="24"/>
          <w:szCs w:val="24"/>
        </w:rPr>
        <w:t>66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_Toc28743 </w:instrText>
      </w:r>
      <w:r>
        <w:rPr>
          <w:rFonts w:hint="eastAsia" w:ascii="宋体" w:hAnsi="宋体" w:eastAsia="宋体" w:cs="宋体"/>
          <w:sz w:val="24"/>
          <w:szCs w:val="24"/>
        </w:rPr>
        <w:fldChar w:fldCharType="separate"/>
      </w:r>
      <w:r>
        <w:rPr>
          <w:rFonts w:hint="eastAsia" w:ascii="宋体" w:hAnsi="宋体" w:eastAsia="宋体" w:cs="宋体"/>
          <w:sz w:val="24"/>
          <w:szCs w:val="24"/>
        </w:rPr>
        <w:t>7.1事故现场的清理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_Toc28743 \h </w:instrText>
      </w:r>
      <w:r>
        <w:rPr>
          <w:rFonts w:hint="eastAsia" w:ascii="宋体" w:hAnsi="宋体" w:eastAsia="宋体" w:cs="宋体"/>
          <w:sz w:val="24"/>
          <w:szCs w:val="24"/>
        </w:rPr>
        <w:fldChar w:fldCharType="separate"/>
      </w:r>
      <w:r>
        <w:rPr>
          <w:rFonts w:hint="eastAsia" w:ascii="宋体" w:hAnsi="宋体" w:eastAsia="宋体" w:cs="宋体"/>
          <w:sz w:val="24"/>
          <w:szCs w:val="24"/>
        </w:rPr>
        <w:t>66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_Toc9826 </w:instrText>
      </w:r>
      <w:r>
        <w:rPr>
          <w:rFonts w:hint="eastAsia" w:ascii="宋体" w:hAnsi="宋体" w:eastAsia="宋体" w:cs="宋体"/>
          <w:sz w:val="24"/>
          <w:szCs w:val="24"/>
        </w:rPr>
        <w:fldChar w:fldCharType="separate"/>
      </w:r>
      <w:r>
        <w:rPr>
          <w:rFonts w:hint="eastAsia" w:ascii="宋体" w:hAnsi="宋体" w:eastAsia="宋体" w:cs="宋体"/>
          <w:sz w:val="24"/>
          <w:szCs w:val="24"/>
        </w:rPr>
        <w:t>7.2人员安置及损失赔偿</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_Toc9826 \h </w:instrText>
      </w:r>
      <w:r>
        <w:rPr>
          <w:rFonts w:hint="eastAsia" w:ascii="宋体" w:hAnsi="宋体" w:eastAsia="宋体" w:cs="宋体"/>
          <w:sz w:val="24"/>
          <w:szCs w:val="24"/>
        </w:rPr>
        <w:fldChar w:fldCharType="separate"/>
      </w:r>
      <w:r>
        <w:rPr>
          <w:rFonts w:hint="eastAsia" w:ascii="宋体" w:hAnsi="宋体" w:eastAsia="宋体" w:cs="宋体"/>
          <w:sz w:val="24"/>
          <w:szCs w:val="24"/>
        </w:rPr>
        <w:t>66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_Toc5634 </w:instrText>
      </w:r>
      <w:r>
        <w:rPr>
          <w:rFonts w:hint="eastAsia" w:ascii="宋体" w:hAnsi="宋体" w:eastAsia="宋体" w:cs="宋体"/>
          <w:sz w:val="24"/>
          <w:szCs w:val="24"/>
        </w:rPr>
        <w:fldChar w:fldCharType="separate"/>
      </w:r>
      <w:r>
        <w:rPr>
          <w:rFonts w:hint="eastAsia" w:ascii="宋体" w:hAnsi="宋体" w:eastAsia="宋体" w:cs="宋体"/>
          <w:sz w:val="24"/>
          <w:szCs w:val="24"/>
        </w:rPr>
        <w:t>7.3设备维修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_Toc5634 \h </w:instrText>
      </w:r>
      <w:r>
        <w:rPr>
          <w:rFonts w:hint="eastAsia" w:ascii="宋体" w:hAnsi="宋体" w:eastAsia="宋体" w:cs="宋体"/>
          <w:sz w:val="24"/>
          <w:szCs w:val="24"/>
        </w:rPr>
        <w:fldChar w:fldCharType="separate"/>
      </w:r>
      <w:r>
        <w:rPr>
          <w:rFonts w:hint="eastAsia" w:ascii="宋体" w:hAnsi="宋体" w:eastAsia="宋体" w:cs="宋体"/>
          <w:sz w:val="24"/>
          <w:szCs w:val="24"/>
        </w:rPr>
        <w:t>66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_Toc15485 </w:instrText>
      </w:r>
      <w:r>
        <w:rPr>
          <w:rFonts w:hint="eastAsia" w:ascii="宋体" w:hAnsi="宋体" w:eastAsia="宋体" w:cs="宋体"/>
          <w:sz w:val="24"/>
          <w:szCs w:val="24"/>
        </w:rPr>
        <w:fldChar w:fldCharType="separate"/>
      </w:r>
      <w:r>
        <w:rPr>
          <w:rFonts w:hint="eastAsia" w:ascii="宋体" w:hAnsi="宋体" w:eastAsia="宋体" w:cs="宋体"/>
          <w:sz w:val="24"/>
          <w:szCs w:val="24"/>
        </w:rPr>
        <w:t>7.4事故调查报告和经验教训总结及改进建议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_Toc15485 \h </w:instrText>
      </w:r>
      <w:r>
        <w:rPr>
          <w:rFonts w:hint="eastAsia" w:ascii="宋体" w:hAnsi="宋体" w:eastAsia="宋体" w:cs="宋体"/>
          <w:sz w:val="24"/>
          <w:szCs w:val="24"/>
        </w:rPr>
        <w:fldChar w:fldCharType="separate"/>
      </w:r>
      <w:r>
        <w:rPr>
          <w:rFonts w:hint="eastAsia" w:ascii="宋体" w:hAnsi="宋体" w:eastAsia="宋体" w:cs="宋体"/>
          <w:sz w:val="24"/>
          <w:szCs w:val="24"/>
        </w:rPr>
        <w:t>66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_Toc10085 </w:instrText>
      </w:r>
      <w:r>
        <w:rPr>
          <w:rFonts w:hint="eastAsia" w:ascii="宋体" w:hAnsi="宋体" w:eastAsia="宋体" w:cs="宋体"/>
          <w:sz w:val="24"/>
          <w:szCs w:val="24"/>
        </w:rPr>
        <w:fldChar w:fldCharType="separate"/>
      </w:r>
      <w:r>
        <w:rPr>
          <w:rFonts w:hint="eastAsia" w:ascii="宋体" w:hAnsi="宋体" w:eastAsia="宋体" w:cs="宋体"/>
          <w:sz w:val="24"/>
          <w:szCs w:val="24"/>
        </w:rPr>
        <w:t>8 保障措施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_Toc10085 \h </w:instrText>
      </w:r>
      <w:r>
        <w:rPr>
          <w:rFonts w:hint="eastAsia" w:ascii="宋体" w:hAnsi="宋体" w:eastAsia="宋体" w:cs="宋体"/>
          <w:sz w:val="24"/>
          <w:szCs w:val="24"/>
        </w:rPr>
        <w:fldChar w:fldCharType="separate"/>
      </w:r>
      <w:r>
        <w:rPr>
          <w:rFonts w:hint="eastAsia" w:ascii="宋体" w:hAnsi="宋体" w:eastAsia="宋体" w:cs="宋体"/>
          <w:sz w:val="24"/>
          <w:szCs w:val="24"/>
        </w:rPr>
        <w:t>67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_Toc20560 </w:instrText>
      </w:r>
      <w:r>
        <w:rPr>
          <w:rFonts w:hint="eastAsia" w:ascii="宋体" w:hAnsi="宋体" w:eastAsia="宋体" w:cs="宋体"/>
          <w:sz w:val="24"/>
          <w:szCs w:val="24"/>
        </w:rPr>
        <w:fldChar w:fldCharType="separate"/>
      </w:r>
      <w:r>
        <w:rPr>
          <w:rFonts w:hint="eastAsia" w:ascii="宋体" w:hAnsi="宋体" w:eastAsia="宋体" w:cs="宋体"/>
          <w:sz w:val="24"/>
          <w:szCs w:val="24"/>
        </w:rPr>
        <w:t>8.1预案执行保障</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_Toc20560 \h </w:instrText>
      </w:r>
      <w:r>
        <w:rPr>
          <w:rFonts w:hint="eastAsia" w:ascii="宋体" w:hAnsi="宋体" w:eastAsia="宋体" w:cs="宋体"/>
          <w:sz w:val="24"/>
          <w:szCs w:val="24"/>
        </w:rPr>
        <w:fldChar w:fldCharType="separate"/>
      </w:r>
      <w:r>
        <w:rPr>
          <w:rFonts w:hint="eastAsia" w:ascii="宋体" w:hAnsi="宋体" w:eastAsia="宋体" w:cs="宋体"/>
          <w:sz w:val="24"/>
          <w:szCs w:val="24"/>
        </w:rPr>
        <w:t>67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_Toc19092 </w:instrText>
      </w:r>
      <w:r>
        <w:rPr>
          <w:rFonts w:hint="eastAsia" w:ascii="宋体" w:hAnsi="宋体" w:eastAsia="宋体" w:cs="宋体"/>
          <w:sz w:val="24"/>
          <w:szCs w:val="24"/>
        </w:rPr>
        <w:fldChar w:fldCharType="separate"/>
      </w:r>
      <w:r>
        <w:rPr>
          <w:rFonts w:hint="eastAsia" w:ascii="宋体" w:hAnsi="宋体" w:eastAsia="宋体" w:cs="宋体"/>
          <w:sz w:val="24"/>
          <w:szCs w:val="24"/>
        </w:rPr>
        <w:t>8.2通信与信息保障</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_Toc19092 \h </w:instrText>
      </w:r>
      <w:r>
        <w:rPr>
          <w:rFonts w:hint="eastAsia" w:ascii="宋体" w:hAnsi="宋体" w:eastAsia="宋体" w:cs="宋体"/>
          <w:sz w:val="24"/>
          <w:szCs w:val="24"/>
        </w:rPr>
        <w:fldChar w:fldCharType="separate"/>
      </w:r>
      <w:r>
        <w:rPr>
          <w:rFonts w:hint="eastAsia" w:ascii="宋体" w:hAnsi="宋体" w:eastAsia="宋体" w:cs="宋体"/>
          <w:sz w:val="24"/>
          <w:szCs w:val="24"/>
        </w:rPr>
        <w:t>67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_Toc9962 </w:instrText>
      </w:r>
      <w:r>
        <w:rPr>
          <w:rFonts w:hint="eastAsia" w:ascii="宋体" w:hAnsi="宋体" w:eastAsia="宋体" w:cs="宋体"/>
          <w:sz w:val="24"/>
          <w:szCs w:val="24"/>
        </w:rPr>
        <w:fldChar w:fldCharType="separate"/>
      </w:r>
      <w:r>
        <w:rPr>
          <w:rFonts w:hint="eastAsia" w:ascii="宋体" w:hAnsi="宋体" w:eastAsia="宋体" w:cs="宋体"/>
          <w:sz w:val="24"/>
          <w:szCs w:val="24"/>
        </w:rPr>
        <w:t>8.3应急队伍保障</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_Toc9962 \h </w:instrText>
      </w:r>
      <w:r>
        <w:rPr>
          <w:rFonts w:hint="eastAsia" w:ascii="宋体" w:hAnsi="宋体" w:eastAsia="宋体" w:cs="宋体"/>
          <w:sz w:val="24"/>
          <w:szCs w:val="24"/>
        </w:rPr>
        <w:fldChar w:fldCharType="separate"/>
      </w:r>
      <w:r>
        <w:rPr>
          <w:rFonts w:hint="eastAsia" w:ascii="宋体" w:hAnsi="宋体" w:eastAsia="宋体" w:cs="宋体"/>
          <w:sz w:val="24"/>
          <w:szCs w:val="24"/>
        </w:rPr>
        <w:t>67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_Toc29171 </w:instrText>
      </w:r>
      <w:r>
        <w:rPr>
          <w:rFonts w:hint="eastAsia" w:ascii="宋体" w:hAnsi="宋体" w:eastAsia="宋体" w:cs="宋体"/>
          <w:sz w:val="24"/>
          <w:szCs w:val="24"/>
        </w:rPr>
        <w:fldChar w:fldCharType="separate"/>
      </w:r>
      <w:r>
        <w:rPr>
          <w:rFonts w:hint="eastAsia" w:ascii="宋体" w:hAnsi="宋体" w:eastAsia="宋体" w:cs="宋体"/>
          <w:sz w:val="24"/>
          <w:szCs w:val="24"/>
        </w:rPr>
        <w:t>8.4应急物资装备保障</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_Toc29171 \h </w:instrText>
      </w:r>
      <w:r>
        <w:rPr>
          <w:rFonts w:hint="eastAsia" w:ascii="宋体" w:hAnsi="宋体" w:eastAsia="宋体" w:cs="宋体"/>
          <w:sz w:val="24"/>
          <w:szCs w:val="24"/>
        </w:rPr>
        <w:fldChar w:fldCharType="separate"/>
      </w:r>
      <w:r>
        <w:rPr>
          <w:rFonts w:hint="eastAsia" w:ascii="宋体" w:hAnsi="宋体" w:eastAsia="宋体" w:cs="宋体"/>
          <w:sz w:val="24"/>
          <w:szCs w:val="24"/>
        </w:rPr>
        <w:t>68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_Toc27753 </w:instrText>
      </w:r>
      <w:r>
        <w:rPr>
          <w:rFonts w:hint="eastAsia" w:ascii="宋体" w:hAnsi="宋体" w:eastAsia="宋体" w:cs="宋体"/>
          <w:sz w:val="24"/>
          <w:szCs w:val="24"/>
        </w:rPr>
        <w:fldChar w:fldCharType="separate"/>
      </w:r>
      <w:r>
        <w:rPr>
          <w:rFonts w:hint="eastAsia" w:ascii="宋体" w:hAnsi="宋体" w:eastAsia="宋体" w:cs="宋体"/>
          <w:sz w:val="24"/>
          <w:szCs w:val="24"/>
        </w:rPr>
        <w:t>8.5经费保障</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_Toc27753 \h </w:instrText>
      </w:r>
      <w:r>
        <w:rPr>
          <w:rFonts w:hint="eastAsia" w:ascii="宋体" w:hAnsi="宋体" w:eastAsia="宋体" w:cs="宋体"/>
          <w:sz w:val="24"/>
          <w:szCs w:val="24"/>
        </w:rPr>
        <w:fldChar w:fldCharType="separate"/>
      </w:r>
      <w:r>
        <w:rPr>
          <w:rFonts w:hint="eastAsia" w:ascii="宋体" w:hAnsi="宋体" w:eastAsia="宋体" w:cs="宋体"/>
          <w:sz w:val="24"/>
          <w:szCs w:val="24"/>
        </w:rPr>
        <w:t>68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_Toc14156 </w:instrText>
      </w:r>
      <w:r>
        <w:rPr>
          <w:rFonts w:hint="eastAsia" w:ascii="宋体" w:hAnsi="宋体" w:eastAsia="宋体" w:cs="宋体"/>
          <w:sz w:val="24"/>
          <w:szCs w:val="24"/>
        </w:rPr>
        <w:fldChar w:fldCharType="separate"/>
      </w:r>
      <w:r>
        <w:rPr>
          <w:rFonts w:hint="eastAsia" w:ascii="宋体" w:hAnsi="宋体" w:eastAsia="宋体" w:cs="宋体"/>
          <w:sz w:val="24"/>
          <w:szCs w:val="24"/>
        </w:rPr>
        <w:t>8.6交通运输保障</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_Toc14156 \h </w:instrText>
      </w:r>
      <w:r>
        <w:rPr>
          <w:rFonts w:hint="eastAsia" w:ascii="宋体" w:hAnsi="宋体" w:eastAsia="宋体" w:cs="宋体"/>
          <w:sz w:val="24"/>
          <w:szCs w:val="24"/>
        </w:rPr>
        <w:fldChar w:fldCharType="separate"/>
      </w:r>
      <w:r>
        <w:rPr>
          <w:rFonts w:hint="eastAsia" w:ascii="宋体" w:hAnsi="宋体" w:eastAsia="宋体" w:cs="宋体"/>
          <w:sz w:val="24"/>
          <w:szCs w:val="24"/>
        </w:rPr>
        <w:t>68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_Toc261 </w:instrText>
      </w:r>
      <w:r>
        <w:rPr>
          <w:rFonts w:hint="eastAsia" w:ascii="宋体" w:hAnsi="宋体" w:eastAsia="宋体" w:cs="宋体"/>
          <w:sz w:val="24"/>
          <w:szCs w:val="24"/>
        </w:rPr>
        <w:fldChar w:fldCharType="separate"/>
      </w:r>
      <w:r>
        <w:rPr>
          <w:rFonts w:hint="eastAsia" w:ascii="宋体" w:hAnsi="宋体" w:eastAsia="宋体" w:cs="宋体"/>
          <w:sz w:val="24"/>
          <w:szCs w:val="24"/>
        </w:rPr>
        <w:t>8.7 治安保障</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_Toc261 \h </w:instrText>
      </w:r>
      <w:r>
        <w:rPr>
          <w:rFonts w:hint="eastAsia" w:ascii="宋体" w:hAnsi="宋体" w:eastAsia="宋体" w:cs="宋体"/>
          <w:sz w:val="24"/>
          <w:szCs w:val="24"/>
        </w:rPr>
        <w:fldChar w:fldCharType="separate"/>
      </w:r>
      <w:r>
        <w:rPr>
          <w:rFonts w:hint="eastAsia" w:ascii="宋体" w:hAnsi="宋体" w:eastAsia="宋体" w:cs="宋体"/>
          <w:sz w:val="24"/>
          <w:szCs w:val="24"/>
        </w:rPr>
        <w:t>68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_Toc22819 </w:instrText>
      </w:r>
      <w:r>
        <w:rPr>
          <w:rFonts w:hint="eastAsia" w:ascii="宋体" w:hAnsi="宋体" w:eastAsia="宋体" w:cs="宋体"/>
          <w:sz w:val="24"/>
          <w:szCs w:val="24"/>
        </w:rPr>
        <w:fldChar w:fldCharType="separate"/>
      </w:r>
      <w:r>
        <w:rPr>
          <w:rFonts w:hint="eastAsia" w:ascii="宋体" w:hAnsi="宋体" w:eastAsia="宋体" w:cs="宋体"/>
          <w:sz w:val="24"/>
          <w:szCs w:val="24"/>
        </w:rPr>
        <w:t>8.8技术保障</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_Toc22819 \h </w:instrText>
      </w:r>
      <w:r>
        <w:rPr>
          <w:rFonts w:hint="eastAsia" w:ascii="宋体" w:hAnsi="宋体" w:eastAsia="宋体" w:cs="宋体"/>
          <w:sz w:val="24"/>
          <w:szCs w:val="24"/>
        </w:rPr>
        <w:fldChar w:fldCharType="separate"/>
      </w:r>
      <w:r>
        <w:rPr>
          <w:rFonts w:hint="eastAsia" w:ascii="宋体" w:hAnsi="宋体" w:eastAsia="宋体" w:cs="宋体"/>
          <w:sz w:val="24"/>
          <w:szCs w:val="24"/>
        </w:rPr>
        <w:t>68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_Toc21406 </w:instrText>
      </w:r>
      <w:r>
        <w:rPr>
          <w:rFonts w:hint="eastAsia" w:ascii="宋体" w:hAnsi="宋体" w:eastAsia="宋体" w:cs="宋体"/>
          <w:sz w:val="24"/>
          <w:szCs w:val="24"/>
        </w:rPr>
        <w:fldChar w:fldCharType="separate"/>
      </w:r>
      <w:r>
        <w:rPr>
          <w:rFonts w:hint="eastAsia" w:ascii="宋体" w:hAnsi="宋体" w:eastAsia="宋体" w:cs="宋体"/>
          <w:sz w:val="24"/>
          <w:szCs w:val="24"/>
        </w:rPr>
        <w:t>8.9医疗保障</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_Toc21406 \h </w:instrText>
      </w:r>
      <w:r>
        <w:rPr>
          <w:rFonts w:hint="eastAsia" w:ascii="宋体" w:hAnsi="宋体" w:eastAsia="宋体" w:cs="宋体"/>
          <w:sz w:val="24"/>
          <w:szCs w:val="24"/>
        </w:rPr>
        <w:fldChar w:fldCharType="separate"/>
      </w:r>
      <w:r>
        <w:rPr>
          <w:rFonts w:hint="eastAsia" w:ascii="宋体" w:hAnsi="宋体" w:eastAsia="宋体" w:cs="宋体"/>
          <w:sz w:val="24"/>
          <w:szCs w:val="24"/>
        </w:rPr>
        <w:t>69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_Toc13212 </w:instrText>
      </w:r>
      <w:r>
        <w:rPr>
          <w:rFonts w:hint="eastAsia" w:ascii="宋体" w:hAnsi="宋体" w:eastAsia="宋体" w:cs="宋体"/>
          <w:sz w:val="24"/>
          <w:szCs w:val="24"/>
        </w:rPr>
        <w:fldChar w:fldCharType="separate"/>
      </w:r>
      <w:r>
        <w:rPr>
          <w:rFonts w:hint="eastAsia" w:ascii="宋体" w:hAnsi="宋体" w:eastAsia="宋体" w:cs="宋体"/>
          <w:sz w:val="24"/>
          <w:szCs w:val="24"/>
        </w:rPr>
        <w:t>9 预案管理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_Toc13212 \h </w:instrText>
      </w:r>
      <w:r>
        <w:rPr>
          <w:rFonts w:hint="eastAsia" w:ascii="宋体" w:hAnsi="宋体" w:eastAsia="宋体" w:cs="宋体"/>
          <w:sz w:val="24"/>
          <w:szCs w:val="24"/>
        </w:rPr>
        <w:fldChar w:fldCharType="separate"/>
      </w:r>
      <w:r>
        <w:rPr>
          <w:rFonts w:hint="eastAsia" w:ascii="宋体" w:hAnsi="宋体" w:eastAsia="宋体" w:cs="宋体"/>
          <w:sz w:val="24"/>
          <w:szCs w:val="24"/>
        </w:rPr>
        <w:t>70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_Toc23939 </w:instrText>
      </w:r>
      <w:r>
        <w:rPr>
          <w:rFonts w:hint="eastAsia" w:ascii="宋体" w:hAnsi="宋体" w:eastAsia="宋体" w:cs="宋体"/>
          <w:sz w:val="24"/>
          <w:szCs w:val="24"/>
        </w:rPr>
        <w:fldChar w:fldCharType="separate"/>
      </w:r>
      <w:r>
        <w:rPr>
          <w:rFonts w:hint="eastAsia" w:ascii="宋体" w:hAnsi="宋体" w:eastAsia="宋体" w:cs="宋体"/>
          <w:sz w:val="24"/>
          <w:szCs w:val="24"/>
        </w:rPr>
        <w:t>9.1预案培训</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_Toc23939 \h </w:instrText>
      </w:r>
      <w:r>
        <w:rPr>
          <w:rFonts w:hint="eastAsia" w:ascii="宋体" w:hAnsi="宋体" w:eastAsia="宋体" w:cs="宋体"/>
          <w:sz w:val="24"/>
          <w:szCs w:val="24"/>
        </w:rPr>
        <w:fldChar w:fldCharType="separate"/>
      </w:r>
      <w:r>
        <w:rPr>
          <w:rFonts w:hint="eastAsia" w:ascii="宋体" w:hAnsi="宋体" w:eastAsia="宋体" w:cs="宋体"/>
          <w:sz w:val="24"/>
          <w:szCs w:val="24"/>
        </w:rPr>
        <w:t>70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_Toc6560 </w:instrText>
      </w:r>
      <w:r>
        <w:rPr>
          <w:rFonts w:hint="eastAsia" w:ascii="宋体" w:hAnsi="宋体" w:eastAsia="宋体" w:cs="宋体"/>
          <w:sz w:val="24"/>
          <w:szCs w:val="24"/>
        </w:rPr>
        <w:fldChar w:fldCharType="separate"/>
      </w:r>
      <w:r>
        <w:rPr>
          <w:rFonts w:hint="eastAsia" w:ascii="宋体" w:hAnsi="宋体" w:eastAsia="宋体" w:cs="宋体"/>
          <w:sz w:val="24"/>
          <w:szCs w:val="24"/>
        </w:rPr>
        <w:t>9.1.1员工培训</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_Toc6560 \h </w:instrText>
      </w:r>
      <w:r>
        <w:rPr>
          <w:rFonts w:hint="eastAsia" w:ascii="宋体" w:hAnsi="宋体" w:eastAsia="宋体" w:cs="宋体"/>
          <w:sz w:val="24"/>
          <w:szCs w:val="24"/>
        </w:rPr>
        <w:fldChar w:fldCharType="separate"/>
      </w:r>
      <w:r>
        <w:rPr>
          <w:rFonts w:hint="eastAsia" w:ascii="宋体" w:hAnsi="宋体" w:eastAsia="宋体" w:cs="宋体"/>
          <w:sz w:val="24"/>
          <w:szCs w:val="24"/>
        </w:rPr>
        <w:t>70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_Toc12672 </w:instrText>
      </w:r>
      <w:r>
        <w:rPr>
          <w:rFonts w:hint="eastAsia" w:ascii="宋体" w:hAnsi="宋体" w:eastAsia="宋体" w:cs="宋体"/>
          <w:sz w:val="24"/>
          <w:szCs w:val="24"/>
        </w:rPr>
        <w:fldChar w:fldCharType="separate"/>
      </w:r>
      <w:r>
        <w:rPr>
          <w:rFonts w:hint="eastAsia" w:ascii="宋体" w:hAnsi="宋体" w:eastAsia="宋体" w:cs="宋体"/>
          <w:sz w:val="24"/>
          <w:szCs w:val="24"/>
        </w:rPr>
        <w:t>9.1.2环境应急人员培训</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_Toc12672 \h </w:instrText>
      </w:r>
      <w:r>
        <w:rPr>
          <w:rFonts w:hint="eastAsia" w:ascii="宋体" w:hAnsi="宋体" w:eastAsia="宋体" w:cs="宋体"/>
          <w:sz w:val="24"/>
          <w:szCs w:val="24"/>
        </w:rPr>
        <w:fldChar w:fldCharType="separate"/>
      </w:r>
      <w:r>
        <w:rPr>
          <w:rFonts w:hint="eastAsia" w:ascii="宋体" w:hAnsi="宋体" w:eastAsia="宋体" w:cs="宋体"/>
          <w:sz w:val="24"/>
          <w:szCs w:val="24"/>
        </w:rPr>
        <w:t>70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_Toc22568 </w:instrText>
      </w:r>
      <w:r>
        <w:rPr>
          <w:rFonts w:hint="eastAsia" w:ascii="宋体" w:hAnsi="宋体" w:eastAsia="宋体" w:cs="宋体"/>
          <w:sz w:val="24"/>
          <w:szCs w:val="24"/>
        </w:rPr>
        <w:fldChar w:fldCharType="separate"/>
      </w:r>
      <w:r>
        <w:rPr>
          <w:rFonts w:hint="eastAsia" w:ascii="宋体" w:hAnsi="宋体" w:eastAsia="宋体" w:cs="宋体"/>
          <w:sz w:val="24"/>
          <w:szCs w:val="24"/>
        </w:rPr>
        <w:t>9.2预案演练</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_Toc22568 \h </w:instrText>
      </w:r>
      <w:r>
        <w:rPr>
          <w:rFonts w:hint="eastAsia" w:ascii="宋体" w:hAnsi="宋体" w:eastAsia="宋体" w:cs="宋体"/>
          <w:sz w:val="24"/>
          <w:szCs w:val="24"/>
        </w:rPr>
        <w:fldChar w:fldCharType="separate"/>
      </w:r>
      <w:r>
        <w:rPr>
          <w:rFonts w:hint="eastAsia" w:ascii="宋体" w:hAnsi="宋体" w:eastAsia="宋体" w:cs="宋体"/>
          <w:sz w:val="24"/>
          <w:szCs w:val="24"/>
        </w:rPr>
        <w:t>70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_Toc24712 </w:instrText>
      </w:r>
      <w:r>
        <w:rPr>
          <w:rFonts w:hint="eastAsia" w:ascii="宋体" w:hAnsi="宋体" w:eastAsia="宋体" w:cs="宋体"/>
          <w:sz w:val="24"/>
          <w:szCs w:val="24"/>
        </w:rPr>
        <w:fldChar w:fldCharType="separate"/>
      </w:r>
      <w:r>
        <w:rPr>
          <w:rFonts w:hint="eastAsia" w:ascii="宋体" w:hAnsi="宋体" w:eastAsia="宋体" w:cs="宋体"/>
          <w:sz w:val="24"/>
          <w:szCs w:val="24"/>
        </w:rPr>
        <w:t>9.3应急预案演练暴露问题及解决措施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_Toc24712 \h </w:instrText>
      </w:r>
      <w:r>
        <w:rPr>
          <w:rFonts w:hint="eastAsia" w:ascii="宋体" w:hAnsi="宋体" w:eastAsia="宋体" w:cs="宋体"/>
          <w:sz w:val="24"/>
          <w:szCs w:val="24"/>
        </w:rPr>
        <w:fldChar w:fldCharType="separate"/>
      </w:r>
      <w:r>
        <w:rPr>
          <w:rFonts w:hint="eastAsia" w:ascii="宋体" w:hAnsi="宋体" w:eastAsia="宋体" w:cs="宋体"/>
          <w:sz w:val="24"/>
          <w:szCs w:val="24"/>
        </w:rPr>
        <w:t>72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_Toc15569 </w:instrText>
      </w:r>
      <w:r>
        <w:rPr>
          <w:rFonts w:hint="eastAsia" w:ascii="宋体" w:hAnsi="宋体" w:eastAsia="宋体" w:cs="宋体"/>
          <w:sz w:val="24"/>
          <w:szCs w:val="24"/>
        </w:rPr>
        <w:fldChar w:fldCharType="separate"/>
      </w:r>
      <w:r>
        <w:rPr>
          <w:rFonts w:hint="eastAsia" w:ascii="宋体" w:hAnsi="宋体" w:eastAsia="宋体" w:cs="宋体"/>
          <w:sz w:val="24"/>
          <w:szCs w:val="24"/>
        </w:rPr>
        <w:t>9.4预案修订</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_Toc15569 \h </w:instrText>
      </w:r>
      <w:r>
        <w:rPr>
          <w:rFonts w:hint="eastAsia" w:ascii="宋体" w:hAnsi="宋体" w:eastAsia="宋体" w:cs="宋体"/>
          <w:sz w:val="24"/>
          <w:szCs w:val="24"/>
        </w:rPr>
        <w:fldChar w:fldCharType="separate"/>
      </w:r>
      <w:r>
        <w:rPr>
          <w:rFonts w:hint="eastAsia" w:ascii="宋体" w:hAnsi="宋体" w:eastAsia="宋体" w:cs="宋体"/>
          <w:sz w:val="24"/>
          <w:szCs w:val="24"/>
        </w:rPr>
        <w:t>72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_Toc18539 </w:instrText>
      </w:r>
      <w:r>
        <w:rPr>
          <w:rFonts w:hint="eastAsia" w:ascii="宋体" w:hAnsi="宋体" w:eastAsia="宋体" w:cs="宋体"/>
          <w:sz w:val="24"/>
          <w:szCs w:val="24"/>
        </w:rPr>
        <w:fldChar w:fldCharType="separate"/>
      </w:r>
      <w:r>
        <w:rPr>
          <w:rFonts w:hint="eastAsia" w:ascii="宋体" w:hAnsi="宋体" w:eastAsia="宋体" w:cs="宋体"/>
          <w:sz w:val="24"/>
          <w:szCs w:val="24"/>
        </w:rPr>
        <w:t>10 附则</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_Toc18539 \h </w:instrText>
      </w:r>
      <w:r>
        <w:rPr>
          <w:rFonts w:hint="eastAsia" w:ascii="宋体" w:hAnsi="宋体" w:eastAsia="宋体" w:cs="宋体"/>
          <w:sz w:val="24"/>
          <w:szCs w:val="24"/>
        </w:rPr>
        <w:fldChar w:fldCharType="separate"/>
      </w:r>
      <w:r>
        <w:rPr>
          <w:rFonts w:hint="eastAsia" w:ascii="宋体" w:hAnsi="宋体" w:eastAsia="宋体" w:cs="宋体"/>
          <w:sz w:val="24"/>
          <w:szCs w:val="24"/>
        </w:rPr>
        <w:t>73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_Toc555 </w:instrText>
      </w:r>
      <w:r>
        <w:rPr>
          <w:rFonts w:hint="eastAsia" w:ascii="宋体" w:hAnsi="宋体" w:eastAsia="宋体" w:cs="宋体"/>
          <w:sz w:val="24"/>
          <w:szCs w:val="24"/>
        </w:rPr>
        <w:fldChar w:fldCharType="separate"/>
      </w:r>
      <w:r>
        <w:rPr>
          <w:rFonts w:hint="eastAsia" w:ascii="宋体" w:hAnsi="宋体" w:eastAsia="宋体" w:cs="宋体"/>
          <w:sz w:val="24"/>
          <w:szCs w:val="24"/>
        </w:rPr>
        <w:t>10.1预案签署和解释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_Toc555 \h </w:instrText>
      </w:r>
      <w:r>
        <w:rPr>
          <w:rFonts w:hint="eastAsia" w:ascii="宋体" w:hAnsi="宋体" w:eastAsia="宋体" w:cs="宋体"/>
          <w:sz w:val="24"/>
          <w:szCs w:val="24"/>
        </w:rPr>
        <w:fldChar w:fldCharType="separate"/>
      </w:r>
      <w:r>
        <w:rPr>
          <w:rFonts w:hint="eastAsia" w:ascii="宋体" w:hAnsi="宋体" w:eastAsia="宋体" w:cs="宋体"/>
          <w:sz w:val="24"/>
          <w:szCs w:val="24"/>
        </w:rPr>
        <w:t>73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_Toc17783 </w:instrText>
      </w:r>
      <w:r>
        <w:rPr>
          <w:rFonts w:hint="eastAsia" w:ascii="宋体" w:hAnsi="宋体" w:eastAsia="宋体" w:cs="宋体"/>
          <w:sz w:val="24"/>
          <w:szCs w:val="24"/>
        </w:rPr>
        <w:fldChar w:fldCharType="separate"/>
      </w:r>
      <w:r>
        <w:rPr>
          <w:rFonts w:hint="eastAsia" w:ascii="宋体" w:hAnsi="宋体" w:eastAsia="宋体" w:cs="宋体"/>
          <w:sz w:val="24"/>
          <w:szCs w:val="24"/>
        </w:rPr>
        <w:t>10.2应急预案实施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_Toc17783 \h </w:instrText>
      </w:r>
      <w:r>
        <w:rPr>
          <w:rFonts w:hint="eastAsia" w:ascii="宋体" w:hAnsi="宋体" w:eastAsia="宋体" w:cs="宋体"/>
          <w:sz w:val="24"/>
          <w:szCs w:val="24"/>
        </w:rPr>
        <w:fldChar w:fldCharType="separate"/>
      </w:r>
      <w:r>
        <w:rPr>
          <w:rFonts w:hint="eastAsia" w:ascii="宋体" w:hAnsi="宋体" w:eastAsia="宋体" w:cs="宋体"/>
          <w:sz w:val="24"/>
          <w:szCs w:val="24"/>
        </w:rPr>
        <w:t>73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_Toc22365 </w:instrText>
      </w:r>
      <w:r>
        <w:rPr>
          <w:rFonts w:hint="eastAsia" w:ascii="宋体" w:hAnsi="宋体" w:eastAsia="宋体" w:cs="宋体"/>
          <w:sz w:val="24"/>
          <w:szCs w:val="24"/>
        </w:rPr>
        <w:fldChar w:fldCharType="separate"/>
      </w:r>
      <w:r>
        <w:rPr>
          <w:rFonts w:hint="eastAsia" w:ascii="宋体" w:hAnsi="宋体" w:eastAsia="宋体" w:cs="宋体"/>
          <w:sz w:val="24"/>
          <w:szCs w:val="24"/>
        </w:rPr>
        <w:t>11 术语和定义</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_Toc22365 \h </w:instrText>
      </w:r>
      <w:r>
        <w:rPr>
          <w:rFonts w:hint="eastAsia" w:ascii="宋体" w:hAnsi="宋体" w:eastAsia="宋体" w:cs="宋体"/>
          <w:sz w:val="24"/>
          <w:szCs w:val="24"/>
        </w:rPr>
        <w:fldChar w:fldCharType="separate"/>
      </w:r>
      <w:r>
        <w:rPr>
          <w:rFonts w:hint="eastAsia" w:ascii="宋体" w:hAnsi="宋体" w:eastAsia="宋体" w:cs="宋体"/>
          <w:sz w:val="24"/>
          <w:szCs w:val="24"/>
        </w:rPr>
        <w:t>74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_Toc17917 </w:instrText>
      </w:r>
      <w:r>
        <w:rPr>
          <w:rFonts w:hint="eastAsia" w:ascii="宋体" w:hAnsi="宋体" w:eastAsia="宋体" w:cs="宋体"/>
          <w:sz w:val="24"/>
          <w:szCs w:val="24"/>
        </w:rPr>
        <w:fldChar w:fldCharType="separate"/>
      </w:r>
      <w:r>
        <w:rPr>
          <w:rFonts w:hint="eastAsia" w:ascii="宋体" w:hAnsi="宋体" w:eastAsia="宋体" w:cs="宋体"/>
          <w:bCs/>
          <w:sz w:val="24"/>
          <w:szCs w:val="24"/>
        </w:rPr>
        <w:t>应急处置卡片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_Toc17917 \h </w:instrText>
      </w:r>
      <w:r>
        <w:rPr>
          <w:rFonts w:hint="eastAsia" w:ascii="宋体" w:hAnsi="宋体" w:eastAsia="宋体" w:cs="宋体"/>
          <w:sz w:val="24"/>
          <w:szCs w:val="24"/>
        </w:rPr>
        <w:fldChar w:fldCharType="separate"/>
      </w:r>
      <w:r>
        <w:rPr>
          <w:rFonts w:hint="eastAsia" w:ascii="宋体" w:hAnsi="宋体" w:eastAsia="宋体" w:cs="宋体"/>
          <w:sz w:val="24"/>
          <w:szCs w:val="24"/>
        </w:rPr>
        <w:t>76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_Toc9750 </w:instrText>
      </w:r>
      <w:r>
        <w:rPr>
          <w:rFonts w:hint="eastAsia" w:ascii="宋体" w:hAnsi="宋体" w:eastAsia="宋体" w:cs="宋体"/>
          <w:sz w:val="24"/>
          <w:szCs w:val="24"/>
        </w:rPr>
        <w:fldChar w:fldCharType="separate"/>
      </w:r>
      <w:r>
        <w:rPr>
          <w:rFonts w:hint="eastAsia" w:ascii="宋体" w:hAnsi="宋体" w:eastAsia="宋体" w:cs="宋体"/>
          <w:sz w:val="24"/>
          <w:szCs w:val="24"/>
        </w:rPr>
        <w:t>1 突发环境事件应急处置卡片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_Toc9750 \h </w:instrText>
      </w:r>
      <w:r>
        <w:rPr>
          <w:rFonts w:hint="eastAsia" w:ascii="宋体" w:hAnsi="宋体" w:eastAsia="宋体" w:cs="宋体"/>
          <w:sz w:val="24"/>
          <w:szCs w:val="24"/>
        </w:rPr>
        <w:fldChar w:fldCharType="separate"/>
      </w:r>
      <w:r>
        <w:rPr>
          <w:rFonts w:hint="eastAsia" w:ascii="宋体" w:hAnsi="宋体" w:eastAsia="宋体" w:cs="宋体"/>
          <w:sz w:val="24"/>
          <w:szCs w:val="24"/>
        </w:rPr>
        <w:t>76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_Toc30473 </w:instrText>
      </w:r>
      <w:r>
        <w:rPr>
          <w:rFonts w:hint="eastAsia" w:ascii="宋体" w:hAnsi="宋体" w:eastAsia="宋体" w:cs="宋体"/>
          <w:sz w:val="24"/>
          <w:szCs w:val="24"/>
        </w:rPr>
        <w:fldChar w:fldCharType="separate"/>
      </w:r>
      <w:r>
        <w:rPr>
          <w:rFonts w:hint="eastAsia" w:ascii="宋体" w:hAnsi="宋体" w:eastAsia="宋体" w:cs="宋体"/>
          <w:sz w:val="24"/>
          <w:szCs w:val="24"/>
        </w:rPr>
        <w:t>2 岗位应急响应卡片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_Toc30473 \h </w:instrText>
      </w:r>
      <w:r>
        <w:rPr>
          <w:rFonts w:hint="eastAsia" w:ascii="宋体" w:hAnsi="宋体" w:eastAsia="宋体" w:cs="宋体"/>
          <w:sz w:val="24"/>
          <w:szCs w:val="24"/>
        </w:rPr>
        <w:fldChar w:fldCharType="separate"/>
      </w:r>
      <w:r>
        <w:rPr>
          <w:rFonts w:hint="eastAsia" w:ascii="宋体" w:hAnsi="宋体" w:eastAsia="宋体" w:cs="宋体"/>
          <w:sz w:val="24"/>
          <w:szCs w:val="24"/>
        </w:rPr>
        <w:t>83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_Toc4330 </w:instrText>
      </w:r>
      <w:r>
        <w:rPr>
          <w:rFonts w:hint="eastAsia" w:ascii="宋体" w:hAnsi="宋体" w:eastAsia="宋体" w:cs="宋体"/>
          <w:sz w:val="24"/>
          <w:szCs w:val="24"/>
        </w:rPr>
        <w:fldChar w:fldCharType="separate"/>
      </w:r>
      <w:r>
        <w:rPr>
          <w:rFonts w:hint="eastAsia" w:ascii="宋体" w:hAnsi="宋体" w:eastAsia="宋体" w:cs="宋体"/>
          <w:sz w:val="24"/>
          <w:szCs w:val="24"/>
        </w:rPr>
        <w:t>3 应急设施卡片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_Toc4330 \h </w:instrText>
      </w:r>
      <w:r>
        <w:rPr>
          <w:rFonts w:hint="eastAsia" w:ascii="宋体" w:hAnsi="宋体" w:eastAsia="宋体" w:cs="宋体"/>
          <w:sz w:val="24"/>
          <w:szCs w:val="24"/>
        </w:rPr>
        <w:fldChar w:fldCharType="separate"/>
      </w:r>
      <w:r>
        <w:rPr>
          <w:rFonts w:hint="eastAsia" w:ascii="宋体" w:hAnsi="宋体" w:eastAsia="宋体" w:cs="宋体"/>
          <w:sz w:val="24"/>
          <w:szCs w:val="24"/>
        </w:rPr>
        <w:t>85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_Toc15309 </w:instrText>
      </w:r>
      <w:r>
        <w:rPr>
          <w:rFonts w:hint="eastAsia" w:ascii="宋体" w:hAnsi="宋体" w:eastAsia="宋体" w:cs="宋体"/>
          <w:sz w:val="24"/>
          <w:szCs w:val="24"/>
        </w:rPr>
        <w:fldChar w:fldCharType="separate"/>
      </w:r>
      <w:r>
        <w:rPr>
          <w:rFonts w:hint="eastAsia" w:ascii="宋体" w:hAnsi="宋体" w:eastAsia="宋体" w:cs="宋体"/>
          <w:bCs/>
          <w:sz w:val="24"/>
          <w:szCs w:val="24"/>
          <w:lang w:val="en-US" w:eastAsia="zh-CN"/>
        </w:rPr>
        <w:t>专项应急预案</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_Toc15309 \h </w:instrText>
      </w:r>
      <w:r>
        <w:rPr>
          <w:rFonts w:hint="eastAsia" w:ascii="宋体" w:hAnsi="宋体" w:eastAsia="宋体" w:cs="宋体"/>
          <w:sz w:val="24"/>
          <w:szCs w:val="24"/>
        </w:rPr>
        <w:fldChar w:fldCharType="separate"/>
      </w:r>
      <w:r>
        <w:rPr>
          <w:rFonts w:hint="eastAsia" w:ascii="宋体" w:hAnsi="宋体" w:eastAsia="宋体" w:cs="宋体"/>
          <w:sz w:val="24"/>
          <w:szCs w:val="24"/>
        </w:rPr>
        <w:t>86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_Toc13691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14:textOutline w14:w="5793" w14:cap="sq" w14:cmpd="sng">
            <w14:solidFill>
              <w14:srgbClr w14:val="000000"/>
            </w14:solidFill>
            <w14:prstDash w14:val="solid"/>
            <w14:bevel/>
          </w14:textOutline>
        </w:rPr>
        <w:t>一、</w:t>
      </w:r>
      <w:r>
        <w:rPr>
          <w:rFonts w:hint="eastAsia" w:ascii="宋体" w:hAnsi="宋体" w:eastAsia="宋体" w:cs="宋体"/>
          <w:sz w:val="24"/>
          <w:szCs w:val="24"/>
          <w14:textOutline w14:w="5793" w14:cap="sq" w14:cmpd="sng">
            <w14:solidFill>
              <w14:srgbClr w14:val="000000"/>
            </w14:solidFill>
            <w14:prstDash w14:val="solid"/>
            <w14:bevel/>
          </w14:textOutline>
        </w:rPr>
        <w:t>氨水储罐泄漏突发环境事件专项应急预案</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_Toc13691 \h </w:instrText>
      </w:r>
      <w:r>
        <w:rPr>
          <w:rFonts w:hint="eastAsia" w:ascii="宋体" w:hAnsi="宋体" w:eastAsia="宋体" w:cs="宋体"/>
          <w:sz w:val="24"/>
          <w:szCs w:val="24"/>
        </w:rPr>
        <w:fldChar w:fldCharType="separate"/>
      </w:r>
      <w:r>
        <w:rPr>
          <w:rFonts w:hint="eastAsia" w:ascii="宋体" w:hAnsi="宋体" w:eastAsia="宋体" w:cs="宋体"/>
          <w:sz w:val="24"/>
          <w:szCs w:val="24"/>
        </w:rPr>
        <w:t>86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_Toc28060 </w:instrText>
      </w:r>
      <w:r>
        <w:rPr>
          <w:rFonts w:hint="eastAsia" w:ascii="宋体" w:hAnsi="宋体" w:eastAsia="宋体" w:cs="宋体"/>
          <w:sz w:val="24"/>
          <w:szCs w:val="24"/>
        </w:rPr>
        <w:fldChar w:fldCharType="separate"/>
      </w:r>
      <w:r>
        <w:rPr>
          <w:rFonts w:hint="eastAsia" w:ascii="宋体" w:hAnsi="宋体" w:eastAsia="宋体" w:cs="宋体"/>
          <w:sz w:val="24"/>
          <w:szCs w:val="24"/>
        </w:rPr>
        <w:t>1总则</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_Toc28060 \h </w:instrText>
      </w:r>
      <w:r>
        <w:rPr>
          <w:rFonts w:hint="eastAsia" w:ascii="宋体" w:hAnsi="宋体" w:eastAsia="宋体" w:cs="宋体"/>
          <w:sz w:val="24"/>
          <w:szCs w:val="24"/>
        </w:rPr>
        <w:fldChar w:fldCharType="separate"/>
      </w:r>
      <w:r>
        <w:rPr>
          <w:rFonts w:hint="eastAsia" w:ascii="宋体" w:hAnsi="宋体" w:eastAsia="宋体" w:cs="宋体"/>
          <w:sz w:val="24"/>
          <w:szCs w:val="24"/>
        </w:rPr>
        <w:t>86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_Toc22827 </w:instrText>
      </w:r>
      <w:r>
        <w:rPr>
          <w:rFonts w:hint="eastAsia" w:ascii="宋体" w:hAnsi="宋体" w:eastAsia="宋体" w:cs="宋体"/>
          <w:sz w:val="24"/>
          <w:szCs w:val="24"/>
        </w:rPr>
        <w:fldChar w:fldCharType="separate"/>
      </w:r>
      <w:r>
        <w:rPr>
          <w:rFonts w:hint="eastAsia" w:ascii="宋体" w:hAnsi="宋体" w:eastAsia="宋体" w:cs="宋体"/>
          <w:sz w:val="24"/>
          <w:szCs w:val="24"/>
          <w:lang w:val="zh-CN"/>
        </w:rPr>
        <w:t>1.1 编制目的：</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_Toc22827 \h </w:instrText>
      </w:r>
      <w:r>
        <w:rPr>
          <w:rFonts w:hint="eastAsia" w:ascii="宋体" w:hAnsi="宋体" w:eastAsia="宋体" w:cs="宋体"/>
          <w:sz w:val="24"/>
          <w:szCs w:val="24"/>
        </w:rPr>
        <w:fldChar w:fldCharType="separate"/>
      </w:r>
      <w:r>
        <w:rPr>
          <w:rFonts w:hint="eastAsia" w:ascii="宋体" w:hAnsi="宋体" w:eastAsia="宋体" w:cs="宋体"/>
          <w:sz w:val="24"/>
          <w:szCs w:val="24"/>
        </w:rPr>
        <w:t>86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_Toc4186 </w:instrText>
      </w:r>
      <w:r>
        <w:rPr>
          <w:rFonts w:hint="eastAsia" w:ascii="宋体" w:hAnsi="宋体" w:eastAsia="宋体" w:cs="宋体"/>
          <w:sz w:val="24"/>
          <w:szCs w:val="24"/>
        </w:rPr>
        <w:fldChar w:fldCharType="separate"/>
      </w:r>
      <w:r>
        <w:rPr>
          <w:rFonts w:hint="eastAsia" w:ascii="宋体" w:hAnsi="宋体" w:eastAsia="宋体" w:cs="宋体"/>
          <w:sz w:val="24"/>
          <w:szCs w:val="24"/>
          <w:lang w:val="zh-CN"/>
        </w:rPr>
        <w:t>1.</w:t>
      </w:r>
      <w:r>
        <w:rPr>
          <w:rFonts w:hint="eastAsia" w:ascii="宋体" w:hAnsi="宋体" w:eastAsia="宋体" w:cs="宋体"/>
          <w:sz w:val="24"/>
          <w:szCs w:val="24"/>
          <w:lang w:val="en-US" w:eastAsia="zh-CN"/>
        </w:rPr>
        <w:t>2</w:t>
      </w:r>
      <w:r>
        <w:rPr>
          <w:rFonts w:hint="eastAsia" w:ascii="宋体" w:hAnsi="宋体" w:eastAsia="宋体" w:cs="宋体"/>
          <w:sz w:val="24"/>
          <w:szCs w:val="24"/>
          <w:lang w:val="zh-CN"/>
        </w:rPr>
        <w:t xml:space="preserve"> 适用范围</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_Toc4186 \h </w:instrText>
      </w:r>
      <w:r>
        <w:rPr>
          <w:rFonts w:hint="eastAsia" w:ascii="宋体" w:hAnsi="宋体" w:eastAsia="宋体" w:cs="宋体"/>
          <w:sz w:val="24"/>
          <w:szCs w:val="24"/>
        </w:rPr>
        <w:fldChar w:fldCharType="separate"/>
      </w:r>
      <w:r>
        <w:rPr>
          <w:rFonts w:hint="eastAsia" w:ascii="宋体" w:hAnsi="宋体" w:eastAsia="宋体" w:cs="宋体"/>
          <w:sz w:val="24"/>
          <w:szCs w:val="24"/>
        </w:rPr>
        <w:t>86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_Toc7210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2 事故风险分析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_Toc7210 \h </w:instrText>
      </w:r>
      <w:r>
        <w:rPr>
          <w:rFonts w:hint="eastAsia" w:ascii="宋体" w:hAnsi="宋体" w:eastAsia="宋体" w:cs="宋体"/>
          <w:sz w:val="24"/>
          <w:szCs w:val="24"/>
        </w:rPr>
        <w:fldChar w:fldCharType="separate"/>
      </w:r>
      <w:r>
        <w:rPr>
          <w:rFonts w:hint="eastAsia" w:ascii="宋体" w:hAnsi="宋体" w:eastAsia="宋体" w:cs="宋体"/>
          <w:sz w:val="24"/>
          <w:szCs w:val="24"/>
        </w:rPr>
        <w:t>86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_Toc18382 </w:instrText>
      </w:r>
      <w:r>
        <w:rPr>
          <w:rFonts w:hint="eastAsia" w:ascii="宋体" w:hAnsi="宋体" w:eastAsia="宋体" w:cs="宋体"/>
          <w:sz w:val="24"/>
          <w:szCs w:val="24"/>
        </w:rPr>
        <w:fldChar w:fldCharType="separate"/>
      </w:r>
      <w:r>
        <w:rPr>
          <w:rFonts w:hint="eastAsia" w:ascii="宋体" w:hAnsi="宋体" w:eastAsia="宋体" w:cs="宋体"/>
          <w:sz w:val="24"/>
          <w:szCs w:val="24"/>
          <w:lang w:val="zh-CN" w:eastAsia="zh-CN"/>
        </w:rPr>
        <w:t>3 应急组织机构及职责</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_Toc18382 \h </w:instrText>
      </w:r>
      <w:r>
        <w:rPr>
          <w:rFonts w:hint="eastAsia" w:ascii="宋体" w:hAnsi="宋体" w:eastAsia="宋体" w:cs="宋体"/>
          <w:sz w:val="24"/>
          <w:szCs w:val="24"/>
        </w:rPr>
        <w:fldChar w:fldCharType="separate"/>
      </w:r>
      <w:r>
        <w:rPr>
          <w:rFonts w:hint="eastAsia" w:ascii="宋体" w:hAnsi="宋体" w:eastAsia="宋体" w:cs="宋体"/>
          <w:sz w:val="24"/>
          <w:szCs w:val="24"/>
        </w:rPr>
        <w:t>87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_Toc28185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 xml:space="preserve">4 </w:t>
      </w:r>
      <w:r>
        <w:rPr>
          <w:rFonts w:hint="eastAsia" w:ascii="宋体" w:hAnsi="宋体" w:eastAsia="宋体" w:cs="宋体"/>
          <w:sz w:val="24"/>
          <w:szCs w:val="24"/>
          <w:lang w:val="zh-CN" w:eastAsia="zh-CN"/>
        </w:rPr>
        <w:t>预防措施和预警机制</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_Toc28185 \h </w:instrText>
      </w:r>
      <w:r>
        <w:rPr>
          <w:rFonts w:hint="eastAsia" w:ascii="宋体" w:hAnsi="宋体" w:eastAsia="宋体" w:cs="宋体"/>
          <w:sz w:val="24"/>
          <w:szCs w:val="24"/>
        </w:rPr>
        <w:fldChar w:fldCharType="separate"/>
      </w:r>
      <w:r>
        <w:rPr>
          <w:rFonts w:hint="eastAsia" w:ascii="宋体" w:hAnsi="宋体" w:eastAsia="宋体" w:cs="宋体"/>
          <w:sz w:val="24"/>
          <w:szCs w:val="24"/>
        </w:rPr>
        <w:t>87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_Toc31810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w:t>
      </w:r>
      <w:r>
        <w:rPr>
          <w:rFonts w:hint="eastAsia" w:ascii="宋体" w:hAnsi="宋体" w:eastAsia="宋体" w:cs="宋体"/>
          <w:sz w:val="24"/>
          <w:szCs w:val="24"/>
          <w:lang w:val="zh-CN"/>
        </w:rPr>
        <w:t>.1  预防</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_Toc31810 \h </w:instrText>
      </w:r>
      <w:r>
        <w:rPr>
          <w:rFonts w:hint="eastAsia" w:ascii="宋体" w:hAnsi="宋体" w:eastAsia="宋体" w:cs="宋体"/>
          <w:sz w:val="24"/>
          <w:szCs w:val="24"/>
        </w:rPr>
        <w:fldChar w:fldCharType="separate"/>
      </w:r>
      <w:r>
        <w:rPr>
          <w:rFonts w:hint="eastAsia" w:ascii="宋体" w:hAnsi="宋体" w:eastAsia="宋体" w:cs="宋体"/>
          <w:sz w:val="24"/>
          <w:szCs w:val="24"/>
        </w:rPr>
        <w:t>87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_Toc6298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w:t>
      </w:r>
      <w:r>
        <w:rPr>
          <w:rFonts w:hint="eastAsia" w:ascii="宋体" w:hAnsi="宋体" w:eastAsia="宋体" w:cs="宋体"/>
          <w:sz w:val="24"/>
          <w:szCs w:val="24"/>
        </w:rPr>
        <w:t>.1.1 制度建设</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_Toc6298 \h </w:instrText>
      </w:r>
      <w:r>
        <w:rPr>
          <w:rFonts w:hint="eastAsia" w:ascii="宋体" w:hAnsi="宋体" w:eastAsia="宋体" w:cs="宋体"/>
          <w:sz w:val="24"/>
          <w:szCs w:val="24"/>
        </w:rPr>
        <w:fldChar w:fldCharType="separate"/>
      </w:r>
      <w:r>
        <w:rPr>
          <w:rFonts w:hint="eastAsia" w:ascii="宋体" w:hAnsi="宋体" w:eastAsia="宋体" w:cs="宋体"/>
          <w:sz w:val="24"/>
          <w:szCs w:val="24"/>
        </w:rPr>
        <w:t>87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_Toc20811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4.1.2 预防措施</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_Toc20811 \h </w:instrText>
      </w:r>
      <w:r>
        <w:rPr>
          <w:rFonts w:hint="eastAsia" w:ascii="宋体" w:hAnsi="宋体" w:eastAsia="宋体" w:cs="宋体"/>
          <w:sz w:val="24"/>
          <w:szCs w:val="24"/>
        </w:rPr>
        <w:fldChar w:fldCharType="separate"/>
      </w:r>
      <w:r>
        <w:rPr>
          <w:rFonts w:hint="eastAsia" w:ascii="宋体" w:hAnsi="宋体" w:eastAsia="宋体" w:cs="宋体"/>
          <w:sz w:val="24"/>
          <w:szCs w:val="24"/>
        </w:rPr>
        <w:t>87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_Toc6016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4.2  预警行动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_Toc6016 \h </w:instrText>
      </w:r>
      <w:r>
        <w:rPr>
          <w:rFonts w:hint="eastAsia" w:ascii="宋体" w:hAnsi="宋体" w:eastAsia="宋体" w:cs="宋体"/>
          <w:sz w:val="24"/>
          <w:szCs w:val="24"/>
        </w:rPr>
        <w:fldChar w:fldCharType="separate"/>
      </w:r>
      <w:r>
        <w:rPr>
          <w:rFonts w:hint="eastAsia" w:ascii="宋体" w:hAnsi="宋体" w:eastAsia="宋体" w:cs="宋体"/>
          <w:sz w:val="24"/>
          <w:szCs w:val="24"/>
        </w:rPr>
        <w:t>88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_Toc26549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4.2.1 预警条件</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_Toc26549 \h </w:instrText>
      </w:r>
      <w:r>
        <w:rPr>
          <w:rFonts w:hint="eastAsia" w:ascii="宋体" w:hAnsi="宋体" w:eastAsia="宋体" w:cs="宋体"/>
          <w:sz w:val="24"/>
          <w:szCs w:val="24"/>
        </w:rPr>
        <w:fldChar w:fldCharType="separate"/>
      </w:r>
      <w:r>
        <w:rPr>
          <w:rFonts w:hint="eastAsia" w:ascii="宋体" w:hAnsi="宋体" w:eastAsia="宋体" w:cs="宋体"/>
          <w:sz w:val="24"/>
          <w:szCs w:val="24"/>
        </w:rPr>
        <w:t>88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_Toc29578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4.2.2 预警分级</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_Toc29578 \h </w:instrText>
      </w:r>
      <w:r>
        <w:rPr>
          <w:rFonts w:hint="eastAsia" w:ascii="宋体" w:hAnsi="宋体" w:eastAsia="宋体" w:cs="宋体"/>
          <w:sz w:val="24"/>
          <w:szCs w:val="24"/>
        </w:rPr>
        <w:fldChar w:fldCharType="separate"/>
      </w:r>
      <w:r>
        <w:rPr>
          <w:rFonts w:hint="eastAsia" w:ascii="宋体" w:hAnsi="宋体" w:eastAsia="宋体" w:cs="宋体"/>
          <w:sz w:val="24"/>
          <w:szCs w:val="24"/>
        </w:rPr>
        <w:t>88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_Toc27619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4.2.3 预警程序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_Toc27619 \h </w:instrText>
      </w:r>
      <w:r>
        <w:rPr>
          <w:rFonts w:hint="eastAsia" w:ascii="宋体" w:hAnsi="宋体" w:eastAsia="宋体" w:cs="宋体"/>
          <w:sz w:val="24"/>
          <w:szCs w:val="24"/>
        </w:rPr>
        <w:fldChar w:fldCharType="separate"/>
      </w:r>
      <w:r>
        <w:rPr>
          <w:rFonts w:hint="eastAsia" w:ascii="宋体" w:hAnsi="宋体" w:eastAsia="宋体" w:cs="宋体"/>
          <w:sz w:val="24"/>
          <w:szCs w:val="24"/>
        </w:rPr>
        <w:t>88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_Toc15294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4.2.4 预警解除</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_Toc15294 \h </w:instrText>
      </w:r>
      <w:r>
        <w:rPr>
          <w:rFonts w:hint="eastAsia" w:ascii="宋体" w:hAnsi="宋体" w:eastAsia="宋体" w:cs="宋体"/>
          <w:sz w:val="24"/>
          <w:szCs w:val="24"/>
        </w:rPr>
        <w:fldChar w:fldCharType="separate"/>
      </w:r>
      <w:r>
        <w:rPr>
          <w:rFonts w:hint="eastAsia" w:ascii="宋体" w:hAnsi="宋体" w:eastAsia="宋体" w:cs="宋体"/>
          <w:sz w:val="24"/>
          <w:szCs w:val="24"/>
        </w:rPr>
        <w:t>89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_Toc15400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5  应急处置与响应</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_Toc15400 \h </w:instrText>
      </w:r>
      <w:r>
        <w:rPr>
          <w:rFonts w:hint="eastAsia" w:ascii="宋体" w:hAnsi="宋体" w:eastAsia="宋体" w:cs="宋体"/>
          <w:sz w:val="24"/>
          <w:szCs w:val="24"/>
        </w:rPr>
        <w:fldChar w:fldCharType="separate"/>
      </w:r>
      <w:r>
        <w:rPr>
          <w:rFonts w:hint="eastAsia" w:ascii="宋体" w:hAnsi="宋体" w:eastAsia="宋体" w:cs="宋体"/>
          <w:sz w:val="24"/>
          <w:szCs w:val="24"/>
        </w:rPr>
        <w:t>89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_Toc23271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5.1 应急响应程序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_Toc23271 \h </w:instrText>
      </w:r>
      <w:r>
        <w:rPr>
          <w:rFonts w:hint="eastAsia" w:ascii="宋体" w:hAnsi="宋体" w:eastAsia="宋体" w:cs="宋体"/>
          <w:sz w:val="24"/>
          <w:szCs w:val="24"/>
        </w:rPr>
        <w:fldChar w:fldCharType="separate"/>
      </w:r>
      <w:r>
        <w:rPr>
          <w:rFonts w:hint="eastAsia" w:ascii="宋体" w:hAnsi="宋体" w:eastAsia="宋体" w:cs="宋体"/>
          <w:sz w:val="24"/>
          <w:szCs w:val="24"/>
        </w:rPr>
        <w:t>89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_Toc3808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5.2 应急处置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_Toc3808 \h </w:instrText>
      </w:r>
      <w:r>
        <w:rPr>
          <w:rFonts w:hint="eastAsia" w:ascii="宋体" w:hAnsi="宋体" w:eastAsia="宋体" w:cs="宋体"/>
          <w:sz w:val="24"/>
          <w:szCs w:val="24"/>
        </w:rPr>
        <w:fldChar w:fldCharType="separate"/>
      </w:r>
      <w:r>
        <w:rPr>
          <w:rFonts w:hint="eastAsia" w:ascii="宋体" w:hAnsi="宋体" w:eastAsia="宋体" w:cs="宋体"/>
          <w:sz w:val="24"/>
          <w:szCs w:val="24"/>
        </w:rPr>
        <w:t>89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_Toc12743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5.2.1 应急处置程序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_Toc12743 \h </w:instrText>
      </w:r>
      <w:r>
        <w:rPr>
          <w:rFonts w:hint="eastAsia" w:ascii="宋体" w:hAnsi="宋体" w:eastAsia="宋体" w:cs="宋体"/>
          <w:sz w:val="24"/>
          <w:szCs w:val="24"/>
        </w:rPr>
        <w:fldChar w:fldCharType="separate"/>
      </w:r>
      <w:r>
        <w:rPr>
          <w:rFonts w:hint="eastAsia" w:ascii="宋体" w:hAnsi="宋体" w:eastAsia="宋体" w:cs="宋体"/>
          <w:sz w:val="24"/>
          <w:szCs w:val="24"/>
        </w:rPr>
        <w:t>89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_Toc32334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5.2.2 现场应急处置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_Toc32334 \h </w:instrText>
      </w:r>
      <w:r>
        <w:rPr>
          <w:rFonts w:hint="eastAsia" w:ascii="宋体" w:hAnsi="宋体" w:eastAsia="宋体" w:cs="宋体"/>
          <w:sz w:val="24"/>
          <w:szCs w:val="24"/>
        </w:rPr>
        <w:fldChar w:fldCharType="separate"/>
      </w:r>
      <w:r>
        <w:rPr>
          <w:rFonts w:hint="eastAsia" w:ascii="宋体" w:hAnsi="宋体" w:eastAsia="宋体" w:cs="宋体"/>
          <w:sz w:val="24"/>
          <w:szCs w:val="24"/>
        </w:rPr>
        <w:t>90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_Toc25585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5.3 应急监测</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_Toc25585 \h </w:instrText>
      </w:r>
      <w:r>
        <w:rPr>
          <w:rFonts w:hint="eastAsia" w:ascii="宋体" w:hAnsi="宋体" w:eastAsia="宋体" w:cs="宋体"/>
          <w:sz w:val="24"/>
          <w:szCs w:val="24"/>
        </w:rPr>
        <w:fldChar w:fldCharType="separate"/>
      </w:r>
      <w:r>
        <w:rPr>
          <w:rFonts w:hint="eastAsia" w:ascii="宋体" w:hAnsi="宋体" w:eastAsia="宋体" w:cs="宋体"/>
          <w:sz w:val="24"/>
          <w:szCs w:val="24"/>
        </w:rPr>
        <w:t>91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_Toc20630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5.4 应急终止</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_Toc20630 \h </w:instrText>
      </w:r>
      <w:r>
        <w:rPr>
          <w:rFonts w:hint="eastAsia" w:ascii="宋体" w:hAnsi="宋体" w:eastAsia="宋体" w:cs="宋体"/>
          <w:sz w:val="24"/>
          <w:szCs w:val="24"/>
        </w:rPr>
        <w:fldChar w:fldCharType="separate"/>
      </w:r>
      <w:r>
        <w:rPr>
          <w:rFonts w:hint="eastAsia" w:ascii="宋体" w:hAnsi="宋体" w:eastAsia="宋体" w:cs="宋体"/>
          <w:sz w:val="24"/>
          <w:szCs w:val="24"/>
        </w:rPr>
        <w:t>91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_Toc29805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14:textOutline w14:w="5793" w14:cap="sq" w14:cmpd="sng">
            <w14:solidFill>
              <w14:srgbClr w14:val="000000"/>
            </w14:solidFill>
            <w14:prstDash w14:val="solid"/>
            <w14:bevel/>
          </w14:textOutline>
        </w:rPr>
        <w:t>二、雾霾天气</w:t>
      </w:r>
      <w:r>
        <w:rPr>
          <w:rFonts w:hint="eastAsia" w:ascii="宋体" w:hAnsi="宋体" w:eastAsia="宋体" w:cs="宋体"/>
          <w:sz w:val="24"/>
          <w:szCs w:val="24"/>
          <w14:textOutline w14:w="5793" w14:cap="sq" w14:cmpd="sng">
            <w14:solidFill>
              <w14:srgbClr w14:val="000000"/>
            </w14:solidFill>
            <w14:prstDash w14:val="solid"/>
            <w14:bevel/>
          </w14:textOutline>
        </w:rPr>
        <w:t>专项应急预案</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_Toc29805 \h </w:instrText>
      </w:r>
      <w:r>
        <w:rPr>
          <w:rFonts w:hint="eastAsia" w:ascii="宋体" w:hAnsi="宋体" w:eastAsia="宋体" w:cs="宋体"/>
          <w:sz w:val="24"/>
          <w:szCs w:val="24"/>
        </w:rPr>
        <w:fldChar w:fldCharType="separate"/>
      </w:r>
      <w:r>
        <w:rPr>
          <w:rFonts w:hint="eastAsia" w:ascii="宋体" w:hAnsi="宋体" w:eastAsia="宋体" w:cs="宋体"/>
          <w:sz w:val="24"/>
          <w:szCs w:val="24"/>
        </w:rPr>
        <w:t>92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_Toc17476 </w:instrText>
      </w:r>
      <w:r>
        <w:rPr>
          <w:rFonts w:hint="eastAsia" w:ascii="宋体" w:hAnsi="宋体" w:eastAsia="宋体" w:cs="宋体"/>
          <w:sz w:val="24"/>
          <w:szCs w:val="24"/>
        </w:rPr>
        <w:fldChar w:fldCharType="separate"/>
      </w:r>
      <w:r>
        <w:rPr>
          <w:rFonts w:hint="eastAsia" w:ascii="宋体" w:hAnsi="宋体" w:eastAsia="宋体" w:cs="宋体"/>
          <w:sz w:val="24"/>
          <w:szCs w:val="24"/>
        </w:rPr>
        <w:t>1总则</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_Toc17476 \h </w:instrText>
      </w:r>
      <w:r>
        <w:rPr>
          <w:rFonts w:hint="eastAsia" w:ascii="宋体" w:hAnsi="宋体" w:eastAsia="宋体" w:cs="宋体"/>
          <w:sz w:val="24"/>
          <w:szCs w:val="24"/>
        </w:rPr>
        <w:fldChar w:fldCharType="separate"/>
      </w:r>
      <w:r>
        <w:rPr>
          <w:rFonts w:hint="eastAsia" w:ascii="宋体" w:hAnsi="宋体" w:eastAsia="宋体" w:cs="宋体"/>
          <w:sz w:val="24"/>
          <w:szCs w:val="24"/>
        </w:rPr>
        <w:t>92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_Toc30874 </w:instrText>
      </w:r>
      <w:r>
        <w:rPr>
          <w:rFonts w:hint="eastAsia" w:ascii="宋体" w:hAnsi="宋体" w:eastAsia="宋体" w:cs="宋体"/>
          <w:sz w:val="24"/>
          <w:szCs w:val="24"/>
        </w:rPr>
        <w:fldChar w:fldCharType="separate"/>
      </w:r>
      <w:r>
        <w:rPr>
          <w:rFonts w:hint="eastAsia" w:ascii="宋体" w:hAnsi="宋体" w:eastAsia="宋体" w:cs="宋体"/>
          <w:sz w:val="24"/>
          <w:szCs w:val="24"/>
          <w:lang w:val="zh-CN"/>
        </w:rPr>
        <w:t>1.1 编制目的：</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_Toc30874 \h </w:instrText>
      </w:r>
      <w:r>
        <w:rPr>
          <w:rFonts w:hint="eastAsia" w:ascii="宋体" w:hAnsi="宋体" w:eastAsia="宋体" w:cs="宋体"/>
          <w:sz w:val="24"/>
          <w:szCs w:val="24"/>
        </w:rPr>
        <w:fldChar w:fldCharType="separate"/>
      </w:r>
      <w:r>
        <w:rPr>
          <w:rFonts w:hint="eastAsia" w:ascii="宋体" w:hAnsi="宋体" w:eastAsia="宋体" w:cs="宋体"/>
          <w:sz w:val="24"/>
          <w:szCs w:val="24"/>
        </w:rPr>
        <w:t>92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_Toc11835 </w:instrText>
      </w:r>
      <w:r>
        <w:rPr>
          <w:rFonts w:hint="eastAsia" w:ascii="宋体" w:hAnsi="宋体" w:eastAsia="宋体" w:cs="宋体"/>
          <w:sz w:val="24"/>
          <w:szCs w:val="24"/>
        </w:rPr>
        <w:fldChar w:fldCharType="separate"/>
      </w:r>
      <w:r>
        <w:rPr>
          <w:rFonts w:hint="eastAsia" w:ascii="宋体" w:hAnsi="宋体" w:eastAsia="宋体" w:cs="宋体"/>
          <w:sz w:val="24"/>
          <w:szCs w:val="24"/>
          <w:lang w:val="zh-CN"/>
        </w:rPr>
        <w:t>1.</w:t>
      </w:r>
      <w:r>
        <w:rPr>
          <w:rFonts w:hint="eastAsia" w:ascii="宋体" w:hAnsi="宋体" w:eastAsia="宋体" w:cs="宋体"/>
          <w:sz w:val="24"/>
          <w:szCs w:val="24"/>
          <w:lang w:val="en-US" w:eastAsia="zh-CN"/>
        </w:rPr>
        <w:t>2</w:t>
      </w:r>
      <w:r>
        <w:rPr>
          <w:rFonts w:hint="eastAsia" w:ascii="宋体" w:hAnsi="宋体" w:eastAsia="宋体" w:cs="宋体"/>
          <w:sz w:val="24"/>
          <w:szCs w:val="24"/>
          <w:lang w:val="zh-CN"/>
        </w:rPr>
        <w:t xml:space="preserve"> 适用范围</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_Toc11835 \h </w:instrText>
      </w:r>
      <w:r>
        <w:rPr>
          <w:rFonts w:hint="eastAsia" w:ascii="宋体" w:hAnsi="宋体" w:eastAsia="宋体" w:cs="宋体"/>
          <w:sz w:val="24"/>
          <w:szCs w:val="24"/>
        </w:rPr>
        <w:fldChar w:fldCharType="separate"/>
      </w:r>
      <w:r>
        <w:rPr>
          <w:rFonts w:hint="eastAsia" w:ascii="宋体" w:hAnsi="宋体" w:eastAsia="宋体" w:cs="宋体"/>
          <w:sz w:val="24"/>
          <w:szCs w:val="24"/>
        </w:rPr>
        <w:t>92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_Toc6879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2</w:t>
      </w:r>
      <w:r>
        <w:rPr>
          <w:rFonts w:hint="eastAsia" w:ascii="宋体" w:hAnsi="宋体" w:eastAsia="宋体" w:cs="宋体"/>
          <w:sz w:val="24"/>
          <w:szCs w:val="24"/>
          <w:lang w:val="zh-CN" w:eastAsia="zh-CN"/>
        </w:rPr>
        <w:t xml:space="preserve"> 应急组织机构及职责</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_Toc6879 \h </w:instrText>
      </w:r>
      <w:r>
        <w:rPr>
          <w:rFonts w:hint="eastAsia" w:ascii="宋体" w:hAnsi="宋体" w:eastAsia="宋体" w:cs="宋体"/>
          <w:sz w:val="24"/>
          <w:szCs w:val="24"/>
        </w:rPr>
        <w:fldChar w:fldCharType="separate"/>
      </w:r>
      <w:r>
        <w:rPr>
          <w:rFonts w:hint="eastAsia" w:ascii="宋体" w:hAnsi="宋体" w:eastAsia="宋体" w:cs="宋体"/>
          <w:sz w:val="24"/>
          <w:szCs w:val="24"/>
        </w:rPr>
        <w:t>92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_Toc23564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3 预警行动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_Toc23564 \h </w:instrText>
      </w:r>
      <w:r>
        <w:rPr>
          <w:rFonts w:hint="eastAsia" w:ascii="宋体" w:hAnsi="宋体" w:eastAsia="宋体" w:cs="宋体"/>
          <w:sz w:val="24"/>
          <w:szCs w:val="24"/>
        </w:rPr>
        <w:fldChar w:fldCharType="separate"/>
      </w:r>
      <w:r>
        <w:rPr>
          <w:rFonts w:hint="eastAsia" w:ascii="宋体" w:hAnsi="宋体" w:eastAsia="宋体" w:cs="宋体"/>
          <w:sz w:val="24"/>
          <w:szCs w:val="24"/>
        </w:rPr>
        <w:t>92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_Toc13358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3.1 预警条件</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_Toc13358 \h </w:instrText>
      </w:r>
      <w:r>
        <w:rPr>
          <w:rFonts w:hint="eastAsia" w:ascii="宋体" w:hAnsi="宋体" w:eastAsia="宋体" w:cs="宋体"/>
          <w:sz w:val="24"/>
          <w:szCs w:val="24"/>
        </w:rPr>
        <w:fldChar w:fldCharType="separate"/>
      </w:r>
      <w:r>
        <w:rPr>
          <w:rFonts w:hint="eastAsia" w:ascii="宋体" w:hAnsi="宋体" w:eastAsia="宋体" w:cs="宋体"/>
          <w:sz w:val="24"/>
          <w:szCs w:val="24"/>
        </w:rPr>
        <w:t>92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_Toc1529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3.2 预警分级</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_Toc1529 \h </w:instrText>
      </w:r>
      <w:r>
        <w:rPr>
          <w:rFonts w:hint="eastAsia" w:ascii="宋体" w:hAnsi="宋体" w:eastAsia="宋体" w:cs="宋体"/>
          <w:sz w:val="24"/>
          <w:szCs w:val="24"/>
        </w:rPr>
        <w:fldChar w:fldCharType="separate"/>
      </w:r>
      <w:r>
        <w:rPr>
          <w:rFonts w:hint="eastAsia" w:ascii="宋体" w:hAnsi="宋体" w:eastAsia="宋体" w:cs="宋体"/>
          <w:sz w:val="24"/>
          <w:szCs w:val="24"/>
        </w:rPr>
        <w:t>92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_Toc14959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3.3 预警程序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_Toc14959 \h </w:instrText>
      </w:r>
      <w:r>
        <w:rPr>
          <w:rFonts w:hint="eastAsia" w:ascii="宋体" w:hAnsi="宋体" w:eastAsia="宋体" w:cs="宋体"/>
          <w:sz w:val="24"/>
          <w:szCs w:val="24"/>
        </w:rPr>
        <w:fldChar w:fldCharType="separate"/>
      </w:r>
      <w:r>
        <w:rPr>
          <w:rFonts w:hint="eastAsia" w:ascii="宋体" w:hAnsi="宋体" w:eastAsia="宋体" w:cs="宋体"/>
          <w:sz w:val="24"/>
          <w:szCs w:val="24"/>
        </w:rPr>
        <w:t>92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_Toc13884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 应急处置与响应</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_Toc13884 \h </w:instrText>
      </w:r>
      <w:r>
        <w:rPr>
          <w:rFonts w:hint="eastAsia" w:ascii="宋体" w:hAnsi="宋体" w:eastAsia="宋体" w:cs="宋体"/>
          <w:sz w:val="24"/>
          <w:szCs w:val="24"/>
        </w:rPr>
        <w:fldChar w:fldCharType="separate"/>
      </w:r>
      <w:r>
        <w:rPr>
          <w:rFonts w:hint="eastAsia" w:ascii="宋体" w:hAnsi="宋体" w:eastAsia="宋体" w:cs="宋体"/>
          <w:sz w:val="24"/>
          <w:szCs w:val="24"/>
        </w:rPr>
        <w:t>93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_Toc29497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4.1 应急响应程序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_Toc29497 \h </w:instrText>
      </w:r>
      <w:r>
        <w:rPr>
          <w:rFonts w:hint="eastAsia" w:ascii="宋体" w:hAnsi="宋体" w:eastAsia="宋体" w:cs="宋体"/>
          <w:sz w:val="24"/>
          <w:szCs w:val="24"/>
        </w:rPr>
        <w:fldChar w:fldCharType="separate"/>
      </w:r>
      <w:r>
        <w:rPr>
          <w:rFonts w:hint="eastAsia" w:ascii="宋体" w:hAnsi="宋体" w:eastAsia="宋体" w:cs="宋体"/>
          <w:sz w:val="24"/>
          <w:szCs w:val="24"/>
        </w:rPr>
        <w:t>93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_Toc30530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4.2 应急处置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_Toc30530 \h </w:instrText>
      </w:r>
      <w:r>
        <w:rPr>
          <w:rFonts w:hint="eastAsia" w:ascii="宋体" w:hAnsi="宋体" w:eastAsia="宋体" w:cs="宋体"/>
          <w:sz w:val="24"/>
          <w:szCs w:val="24"/>
        </w:rPr>
        <w:fldChar w:fldCharType="separate"/>
      </w:r>
      <w:r>
        <w:rPr>
          <w:rFonts w:hint="eastAsia" w:ascii="宋体" w:hAnsi="宋体" w:eastAsia="宋体" w:cs="宋体"/>
          <w:sz w:val="24"/>
          <w:szCs w:val="24"/>
        </w:rPr>
        <w:t>93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_Toc5528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4.3 应急终止</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_Toc5528 \h </w:instrText>
      </w:r>
      <w:r>
        <w:rPr>
          <w:rFonts w:hint="eastAsia" w:ascii="宋体" w:hAnsi="宋体" w:eastAsia="宋体" w:cs="宋体"/>
          <w:sz w:val="24"/>
          <w:szCs w:val="24"/>
        </w:rPr>
        <w:fldChar w:fldCharType="separate"/>
      </w:r>
      <w:r>
        <w:rPr>
          <w:rFonts w:hint="eastAsia" w:ascii="宋体" w:hAnsi="宋体" w:eastAsia="宋体" w:cs="宋体"/>
          <w:sz w:val="24"/>
          <w:szCs w:val="24"/>
        </w:rPr>
        <w:t>94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3"/>
        <w:keepNext w:val="0"/>
        <w:keepLines w:val="0"/>
        <w:pageBreakBefore w:val="0"/>
        <w:widowControl w:val="0"/>
        <w:tabs>
          <w:tab w:val="right" w:leader="dot" w:pos="8312"/>
          <w:tab w:val="clear" w:pos="240"/>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_Toc26871 </w:instrText>
      </w:r>
      <w:r>
        <w:rPr>
          <w:rFonts w:hint="eastAsia" w:ascii="宋体" w:hAnsi="宋体" w:eastAsia="宋体" w:cs="宋体"/>
          <w:sz w:val="24"/>
          <w:szCs w:val="24"/>
        </w:rPr>
        <w:fldChar w:fldCharType="separate"/>
      </w:r>
      <w:r>
        <w:rPr>
          <w:rFonts w:hint="eastAsia" w:ascii="宋体" w:hAnsi="宋体" w:eastAsia="宋体" w:cs="宋体"/>
          <w:sz w:val="24"/>
          <w:szCs w:val="24"/>
        </w:rPr>
        <w:t>附 件</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_Toc26871 \h </w:instrText>
      </w:r>
      <w:r>
        <w:rPr>
          <w:rFonts w:hint="eastAsia" w:ascii="宋体" w:hAnsi="宋体" w:eastAsia="宋体" w:cs="宋体"/>
          <w:sz w:val="24"/>
          <w:szCs w:val="24"/>
        </w:rPr>
        <w:fldChar w:fldCharType="separate"/>
      </w:r>
      <w:r>
        <w:rPr>
          <w:rFonts w:hint="eastAsia" w:ascii="宋体" w:hAnsi="宋体" w:eastAsia="宋体" w:cs="宋体"/>
          <w:sz w:val="24"/>
          <w:szCs w:val="24"/>
        </w:rPr>
        <w:t>95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_Toc6822 </w:instrText>
      </w:r>
      <w:r>
        <w:rPr>
          <w:rFonts w:hint="eastAsia" w:ascii="宋体" w:hAnsi="宋体" w:eastAsia="宋体" w:cs="宋体"/>
          <w:sz w:val="24"/>
          <w:szCs w:val="24"/>
        </w:rPr>
        <w:fldChar w:fldCharType="separate"/>
      </w:r>
      <w:r>
        <w:rPr>
          <w:rFonts w:hint="eastAsia" w:ascii="宋体" w:hAnsi="宋体" w:eastAsia="宋体" w:cs="宋体"/>
          <w:kern w:val="2"/>
          <w:sz w:val="24"/>
          <w:szCs w:val="24"/>
          <w:highlight w:val="none"/>
        </w:rPr>
        <w:t>一、有关应急部门、机构或人员的联系方式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_Toc6822 \h </w:instrText>
      </w:r>
      <w:r>
        <w:rPr>
          <w:rFonts w:hint="eastAsia" w:ascii="宋体" w:hAnsi="宋体" w:eastAsia="宋体" w:cs="宋体"/>
          <w:sz w:val="24"/>
          <w:szCs w:val="24"/>
        </w:rPr>
        <w:fldChar w:fldCharType="separate"/>
      </w:r>
      <w:r>
        <w:rPr>
          <w:rFonts w:hint="eastAsia" w:ascii="宋体" w:hAnsi="宋体" w:eastAsia="宋体" w:cs="宋体"/>
          <w:sz w:val="24"/>
          <w:szCs w:val="24"/>
        </w:rPr>
        <w:t>95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_Toc7524 </w:instrText>
      </w:r>
      <w:r>
        <w:rPr>
          <w:rFonts w:hint="eastAsia" w:ascii="宋体" w:hAnsi="宋体" w:eastAsia="宋体" w:cs="宋体"/>
          <w:sz w:val="24"/>
          <w:szCs w:val="24"/>
        </w:rPr>
        <w:fldChar w:fldCharType="separate"/>
      </w:r>
      <w:r>
        <w:rPr>
          <w:rFonts w:hint="eastAsia" w:ascii="宋体" w:hAnsi="宋体" w:eastAsia="宋体" w:cs="宋体"/>
          <w:sz w:val="24"/>
          <w:szCs w:val="24"/>
        </w:rPr>
        <w:t>二、应急物质装备清单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_Toc7524 \h </w:instrText>
      </w:r>
      <w:r>
        <w:rPr>
          <w:rFonts w:hint="eastAsia" w:ascii="宋体" w:hAnsi="宋体" w:eastAsia="宋体" w:cs="宋体"/>
          <w:sz w:val="24"/>
          <w:szCs w:val="24"/>
        </w:rPr>
        <w:fldChar w:fldCharType="separate"/>
      </w:r>
      <w:r>
        <w:rPr>
          <w:rFonts w:hint="eastAsia" w:ascii="宋体" w:hAnsi="宋体" w:eastAsia="宋体" w:cs="宋体"/>
          <w:sz w:val="24"/>
          <w:szCs w:val="24"/>
        </w:rPr>
        <w:t>96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_Toc15423 </w:instrText>
      </w:r>
      <w:r>
        <w:rPr>
          <w:rFonts w:hint="eastAsia" w:ascii="宋体" w:hAnsi="宋体" w:eastAsia="宋体" w:cs="宋体"/>
          <w:sz w:val="24"/>
          <w:szCs w:val="24"/>
        </w:rPr>
        <w:fldChar w:fldCharType="separate"/>
      </w:r>
      <w:r>
        <w:rPr>
          <w:rFonts w:hint="eastAsia" w:ascii="宋体" w:hAnsi="宋体" w:eastAsia="宋体" w:cs="宋体"/>
          <w:sz w:val="24"/>
          <w:szCs w:val="24"/>
        </w:rPr>
        <w:t>三、应急预案主要附图</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_Toc15423 \h </w:instrText>
      </w:r>
      <w:r>
        <w:rPr>
          <w:rFonts w:hint="eastAsia" w:ascii="宋体" w:hAnsi="宋体" w:eastAsia="宋体" w:cs="宋体"/>
          <w:sz w:val="24"/>
          <w:szCs w:val="24"/>
        </w:rPr>
        <w:fldChar w:fldCharType="separate"/>
      </w:r>
      <w:r>
        <w:rPr>
          <w:rFonts w:hint="eastAsia" w:ascii="宋体" w:hAnsi="宋体" w:eastAsia="宋体" w:cs="宋体"/>
          <w:sz w:val="24"/>
          <w:szCs w:val="24"/>
        </w:rPr>
        <w:t>98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_Toc24349 </w:instrText>
      </w:r>
      <w:r>
        <w:rPr>
          <w:rFonts w:hint="eastAsia" w:ascii="宋体" w:hAnsi="宋体" w:eastAsia="宋体" w:cs="宋体"/>
          <w:sz w:val="24"/>
          <w:szCs w:val="24"/>
        </w:rPr>
        <w:fldChar w:fldCharType="separate"/>
      </w:r>
      <w:r>
        <w:rPr>
          <w:rFonts w:hint="eastAsia" w:ascii="宋体" w:hAnsi="宋体" w:eastAsia="宋体" w:cs="宋体"/>
          <w:kern w:val="0"/>
          <w:sz w:val="24"/>
          <w:szCs w:val="24"/>
          <w:lang w:val="zh-CN"/>
        </w:rPr>
        <w:t>附图1  公司平面布置图</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_Toc24349 \h </w:instrText>
      </w:r>
      <w:r>
        <w:rPr>
          <w:rFonts w:hint="eastAsia" w:ascii="宋体" w:hAnsi="宋体" w:eastAsia="宋体" w:cs="宋体"/>
          <w:sz w:val="24"/>
          <w:szCs w:val="24"/>
        </w:rPr>
        <w:fldChar w:fldCharType="separate"/>
      </w:r>
      <w:r>
        <w:rPr>
          <w:rFonts w:hint="eastAsia" w:ascii="宋体" w:hAnsi="宋体" w:eastAsia="宋体" w:cs="宋体"/>
          <w:sz w:val="24"/>
          <w:szCs w:val="24"/>
        </w:rPr>
        <w:t>98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_Toc23076 </w:instrText>
      </w:r>
      <w:r>
        <w:rPr>
          <w:rFonts w:hint="eastAsia" w:ascii="宋体" w:hAnsi="宋体" w:eastAsia="宋体" w:cs="宋体"/>
          <w:sz w:val="24"/>
          <w:szCs w:val="24"/>
        </w:rPr>
        <w:fldChar w:fldCharType="separate"/>
      </w:r>
      <w:r>
        <w:rPr>
          <w:rFonts w:hint="eastAsia" w:ascii="宋体" w:hAnsi="宋体" w:eastAsia="宋体" w:cs="宋体"/>
          <w:kern w:val="0"/>
          <w:sz w:val="24"/>
          <w:szCs w:val="24"/>
          <w:lang w:val="zh-CN"/>
        </w:rPr>
        <w:t>附图2  公司</w:t>
      </w:r>
      <w:r>
        <w:rPr>
          <w:rFonts w:hint="eastAsia" w:ascii="宋体" w:hAnsi="宋体" w:eastAsia="宋体" w:cs="宋体"/>
          <w:kern w:val="0"/>
          <w:sz w:val="24"/>
          <w:szCs w:val="24"/>
          <w:lang w:val="en-US" w:eastAsia="zh-CN"/>
        </w:rPr>
        <w:t>雨污</w:t>
      </w:r>
      <w:r>
        <w:rPr>
          <w:rFonts w:hint="eastAsia" w:ascii="宋体" w:hAnsi="宋体" w:eastAsia="宋体" w:cs="宋体"/>
          <w:kern w:val="0"/>
          <w:sz w:val="24"/>
          <w:szCs w:val="24"/>
          <w:lang w:val="zh-CN"/>
        </w:rPr>
        <w:t>管网分布及流向图</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_Toc23076 \h </w:instrText>
      </w:r>
      <w:r>
        <w:rPr>
          <w:rFonts w:hint="eastAsia" w:ascii="宋体" w:hAnsi="宋体" w:eastAsia="宋体" w:cs="宋体"/>
          <w:sz w:val="24"/>
          <w:szCs w:val="24"/>
        </w:rPr>
        <w:fldChar w:fldCharType="separate"/>
      </w:r>
      <w:r>
        <w:rPr>
          <w:rFonts w:hint="eastAsia" w:ascii="宋体" w:hAnsi="宋体" w:eastAsia="宋体" w:cs="宋体"/>
          <w:sz w:val="24"/>
          <w:szCs w:val="24"/>
        </w:rPr>
        <w:t>99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_Toc22621 </w:instrText>
      </w:r>
      <w:r>
        <w:rPr>
          <w:rFonts w:hint="eastAsia" w:ascii="宋体" w:hAnsi="宋体" w:eastAsia="宋体" w:cs="宋体"/>
          <w:sz w:val="24"/>
          <w:szCs w:val="24"/>
        </w:rPr>
        <w:fldChar w:fldCharType="separate"/>
      </w:r>
      <w:r>
        <w:rPr>
          <w:rFonts w:hint="eastAsia" w:ascii="宋体" w:hAnsi="宋体" w:eastAsia="宋体" w:cs="宋体"/>
          <w:kern w:val="0"/>
          <w:sz w:val="24"/>
          <w:szCs w:val="24"/>
          <w:lang w:val="zh-CN"/>
        </w:rPr>
        <w:t>附图</w:t>
      </w:r>
      <w:r>
        <w:rPr>
          <w:rFonts w:hint="eastAsia" w:ascii="宋体" w:hAnsi="宋体" w:eastAsia="宋体" w:cs="宋体"/>
          <w:kern w:val="0"/>
          <w:sz w:val="24"/>
          <w:szCs w:val="24"/>
          <w:lang w:val="en-US" w:eastAsia="zh-CN"/>
        </w:rPr>
        <w:t>3</w:t>
      </w:r>
      <w:r>
        <w:rPr>
          <w:rFonts w:hint="eastAsia" w:ascii="宋体" w:hAnsi="宋体" w:eastAsia="宋体" w:cs="宋体"/>
          <w:kern w:val="0"/>
          <w:sz w:val="24"/>
          <w:szCs w:val="24"/>
          <w:lang w:val="zh-CN"/>
        </w:rPr>
        <w:t xml:space="preserve">  公司应急疏散路线图</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_Toc22621 \h </w:instrText>
      </w:r>
      <w:r>
        <w:rPr>
          <w:rFonts w:hint="eastAsia" w:ascii="宋体" w:hAnsi="宋体" w:eastAsia="宋体" w:cs="宋体"/>
          <w:sz w:val="24"/>
          <w:szCs w:val="24"/>
        </w:rPr>
        <w:fldChar w:fldCharType="separate"/>
      </w:r>
      <w:r>
        <w:rPr>
          <w:rFonts w:hint="eastAsia" w:ascii="宋体" w:hAnsi="宋体" w:eastAsia="宋体" w:cs="宋体"/>
          <w:sz w:val="24"/>
          <w:szCs w:val="24"/>
        </w:rPr>
        <w:t>100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_Toc313 </w:instrText>
      </w:r>
      <w:r>
        <w:rPr>
          <w:rFonts w:hint="eastAsia" w:ascii="宋体" w:hAnsi="宋体" w:eastAsia="宋体" w:cs="宋体"/>
          <w:sz w:val="24"/>
          <w:szCs w:val="24"/>
        </w:rPr>
        <w:fldChar w:fldCharType="separate"/>
      </w:r>
      <w:r>
        <w:rPr>
          <w:rFonts w:hint="eastAsia" w:ascii="宋体" w:hAnsi="宋体" w:eastAsia="宋体" w:cs="宋体"/>
          <w:kern w:val="0"/>
          <w:sz w:val="24"/>
          <w:szCs w:val="24"/>
          <w:lang w:val="zh-CN"/>
        </w:rPr>
        <w:t>附图</w:t>
      </w:r>
      <w:r>
        <w:rPr>
          <w:rFonts w:hint="eastAsia" w:ascii="宋体" w:hAnsi="宋体" w:eastAsia="宋体" w:cs="宋体"/>
          <w:kern w:val="0"/>
          <w:sz w:val="24"/>
          <w:szCs w:val="24"/>
          <w:lang w:val="en-US" w:eastAsia="zh-CN"/>
        </w:rPr>
        <w:t>4</w:t>
      </w:r>
      <w:r>
        <w:rPr>
          <w:rFonts w:hint="eastAsia" w:ascii="宋体" w:hAnsi="宋体" w:eastAsia="宋体" w:cs="宋体"/>
          <w:kern w:val="0"/>
          <w:sz w:val="24"/>
          <w:szCs w:val="24"/>
          <w:lang w:val="zh-CN"/>
        </w:rPr>
        <w:t xml:space="preserve">  公司重点防护区域图</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_Toc313 \h </w:instrText>
      </w:r>
      <w:r>
        <w:rPr>
          <w:rFonts w:hint="eastAsia" w:ascii="宋体" w:hAnsi="宋体" w:eastAsia="宋体" w:cs="宋体"/>
          <w:sz w:val="24"/>
          <w:szCs w:val="24"/>
        </w:rPr>
        <w:fldChar w:fldCharType="separate"/>
      </w:r>
      <w:r>
        <w:rPr>
          <w:rFonts w:hint="eastAsia" w:ascii="宋体" w:hAnsi="宋体" w:eastAsia="宋体" w:cs="宋体"/>
          <w:sz w:val="24"/>
          <w:szCs w:val="24"/>
        </w:rPr>
        <w:t>101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_Toc1983 </w:instrText>
      </w:r>
      <w:r>
        <w:rPr>
          <w:rFonts w:hint="eastAsia" w:ascii="宋体" w:hAnsi="宋体" w:eastAsia="宋体" w:cs="宋体"/>
          <w:sz w:val="24"/>
          <w:szCs w:val="24"/>
        </w:rPr>
        <w:fldChar w:fldCharType="separate"/>
      </w:r>
      <w:r>
        <w:rPr>
          <w:rFonts w:hint="eastAsia" w:ascii="宋体" w:hAnsi="宋体" w:eastAsia="宋体" w:cs="宋体"/>
          <w:kern w:val="0"/>
          <w:sz w:val="24"/>
          <w:szCs w:val="24"/>
          <w:lang w:val="zh-CN"/>
        </w:rPr>
        <w:t>附图</w:t>
      </w:r>
      <w:r>
        <w:rPr>
          <w:rFonts w:hint="eastAsia" w:ascii="宋体" w:hAnsi="宋体" w:eastAsia="宋体" w:cs="宋体"/>
          <w:kern w:val="0"/>
          <w:sz w:val="24"/>
          <w:szCs w:val="24"/>
          <w:lang w:val="en-US" w:eastAsia="zh-CN"/>
        </w:rPr>
        <w:t>5</w:t>
      </w:r>
      <w:r>
        <w:rPr>
          <w:rFonts w:hint="eastAsia" w:ascii="宋体" w:hAnsi="宋体" w:eastAsia="宋体" w:cs="宋体"/>
          <w:kern w:val="0"/>
          <w:sz w:val="24"/>
          <w:szCs w:val="24"/>
          <w:lang w:val="zh-CN"/>
        </w:rPr>
        <w:t xml:space="preserve">  公司应急物资分布及排气筒位置分布图</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_Toc1983 \h </w:instrText>
      </w:r>
      <w:r>
        <w:rPr>
          <w:rFonts w:hint="eastAsia" w:ascii="宋体" w:hAnsi="宋体" w:eastAsia="宋体" w:cs="宋体"/>
          <w:sz w:val="24"/>
          <w:szCs w:val="24"/>
        </w:rPr>
        <w:fldChar w:fldCharType="separate"/>
      </w:r>
      <w:r>
        <w:rPr>
          <w:rFonts w:hint="eastAsia" w:ascii="宋体" w:hAnsi="宋体" w:eastAsia="宋体" w:cs="宋体"/>
          <w:sz w:val="24"/>
          <w:szCs w:val="24"/>
        </w:rPr>
        <w:t>102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_Toc28110 </w:instrText>
      </w:r>
      <w:r>
        <w:rPr>
          <w:rFonts w:hint="eastAsia" w:ascii="宋体" w:hAnsi="宋体" w:eastAsia="宋体" w:cs="宋体"/>
          <w:sz w:val="24"/>
          <w:szCs w:val="24"/>
        </w:rPr>
        <w:fldChar w:fldCharType="separate"/>
      </w:r>
      <w:r>
        <w:rPr>
          <w:rFonts w:hint="eastAsia" w:ascii="宋体" w:hAnsi="宋体" w:eastAsia="宋体" w:cs="宋体"/>
          <w:kern w:val="0"/>
          <w:sz w:val="24"/>
          <w:szCs w:val="24"/>
          <w:lang w:val="zh-CN"/>
        </w:rPr>
        <w:t>附图</w:t>
      </w:r>
      <w:r>
        <w:rPr>
          <w:rFonts w:hint="eastAsia" w:ascii="宋体" w:hAnsi="宋体" w:eastAsia="宋体" w:cs="宋体"/>
          <w:kern w:val="0"/>
          <w:sz w:val="24"/>
          <w:szCs w:val="24"/>
          <w:lang w:val="en-US" w:eastAsia="zh-CN"/>
        </w:rPr>
        <w:t>6</w:t>
      </w:r>
      <w:r>
        <w:rPr>
          <w:rFonts w:hint="eastAsia" w:ascii="宋体" w:hAnsi="宋体" w:eastAsia="宋体" w:cs="宋体"/>
          <w:kern w:val="0"/>
          <w:sz w:val="24"/>
          <w:szCs w:val="24"/>
          <w:lang w:val="zh-CN"/>
        </w:rPr>
        <w:t xml:space="preserve">  公司四至图</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_Toc28110 \h </w:instrText>
      </w:r>
      <w:r>
        <w:rPr>
          <w:rFonts w:hint="eastAsia" w:ascii="宋体" w:hAnsi="宋体" w:eastAsia="宋体" w:cs="宋体"/>
          <w:sz w:val="24"/>
          <w:szCs w:val="24"/>
        </w:rPr>
        <w:fldChar w:fldCharType="separate"/>
      </w:r>
      <w:r>
        <w:rPr>
          <w:rFonts w:hint="eastAsia" w:ascii="宋体" w:hAnsi="宋体" w:eastAsia="宋体" w:cs="宋体"/>
          <w:sz w:val="24"/>
          <w:szCs w:val="24"/>
        </w:rPr>
        <w:t>103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5"/>
        <w:keepNext w:val="0"/>
        <w:keepLines w:val="0"/>
        <w:pageBreakBefore w:val="0"/>
        <w:widowControl w:val="0"/>
        <w:tabs>
          <w:tab w:val="right" w:leader="dot" w:pos="831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_Toc6128 </w:instrText>
      </w:r>
      <w:r>
        <w:rPr>
          <w:rFonts w:hint="eastAsia" w:ascii="宋体" w:hAnsi="宋体" w:eastAsia="宋体" w:cs="宋体"/>
          <w:sz w:val="24"/>
          <w:szCs w:val="24"/>
        </w:rPr>
        <w:fldChar w:fldCharType="separate"/>
      </w:r>
      <w:r>
        <w:rPr>
          <w:rFonts w:hint="eastAsia" w:ascii="宋体" w:hAnsi="宋体" w:eastAsia="宋体" w:cs="宋体"/>
          <w:kern w:val="0"/>
          <w:sz w:val="24"/>
          <w:szCs w:val="24"/>
          <w:lang w:val="zh-CN"/>
        </w:rPr>
        <w:t>附图</w:t>
      </w:r>
      <w:r>
        <w:rPr>
          <w:rFonts w:hint="eastAsia" w:ascii="宋体" w:hAnsi="宋体" w:eastAsia="宋体" w:cs="宋体"/>
          <w:kern w:val="0"/>
          <w:sz w:val="24"/>
          <w:szCs w:val="24"/>
          <w:lang w:val="en-US" w:eastAsia="zh-CN"/>
        </w:rPr>
        <w:t>7</w:t>
      </w:r>
      <w:r>
        <w:rPr>
          <w:rFonts w:hint="eastAsia" w:ascii="宋体" w:hAnsi="宋体" w:eastAsia="宋体" w:cs="宋体"/>
          <w:kern w:val="0"/>
          <w:sz w:val="24"/>
          <w:szCs w:val="24"/>
          <w:lang w:val="zh-CN"/>
        </w:rPr>
        <w:t xml:space="preserve">  公司周边水系图</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_Toc6128 \h </w:instrText>
      </w:r>
      <w:r>
        <w:rPr>
          <w:rFonts w:hint="eastAsia" w:ascii="宋体" w:hAnsi="宋体" w:eastAsia="宋体" w:cs="宋体"/>
          <w:sz w:val="24"/>
          <w:szCs w:val="24"/>
        </w:rPr>
        <w:fldChar w:fldCharType="separate"/>
      </w:r>
      <w:r>
        <w:rPr>
          <w:rFonts w:hint="eastAsia" w:ascii="宋体" w:hAnsi="宋体" w:eastAsia="宋体" w:cs="宋体"/>
          <w:sz w:val="24"/>
          <w:szCs w:val="24"/>
        </w:rPr>
        <w:t>103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_Toc26894 </w:instrText>
      </w:r>
      <w:r>
        <w:rPr>
          <w:rFonts w:hint="eastAsia" w:ascii="宋体" w:hAnsi="宋体" w:eastAsia="宋体" w:cs="宋体"/>
          <w:sz w:val="24"/>
          <w:szCs w:val="24"/>
        </w:rPr>
        <w:fldChar w:fldCharType="separate"/>
      </w:r>
      <w:r>
        <w:rPr>
          <w:rFonts w:hint="eastAsia" w:ascii="宋体" w:hAnsi="宋体" w:eastAsia="宋体" w:cs="宋体"/>
          <w:sz w:val="24"/>
          <w:szCs w:val="24"/>
        </w:rPr>
        <w:t>四、环评批复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_Toc26894 \h </w:instrText>
      </w:r>
      <w:r>
        <w:rPr>
          <w:rFonts w:hint="eastAsia" w:ascii="宋体" w:hAnsi="宋体" w:eastAsia="宋体" w:cs="宋体"/>
          <w:sz w:val="24"/>
          <w:szCs w:val="24"/>
        </w:rPr>
        <w:fldChar w:fldCharType="separate"/>
      </w:r>
      <w:r>
        <w:rPr>
          <w:rFonts w:hint="eastAsia" w:ascii="宋体" w:hAnsi="宋体" w:eastAsia="宋体" w:cs="宋体"/>
          <w:sz w:val="24"/>
          <w:szCs w:val="24"/>
        </w:rPr>
        <w:t>104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_Toc6614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五</w:t>
      </w:r>
      <w:r>
        <w:rPr>
          <w:rFonts w:hint="eastAsia" w:ascii="宋体" w:hAnsi="宋体" w:eastAsia="宋体" w:cs="宋体"/>
          <w:sz w:val="24"/>
          <w:szCs w:val="24"/>
        </w:rPr>
        <w:t>、排污许可证</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_Toc6614 \h </w:instrText>
      </w:r>
      <w:r>
        <w:rPr>
          <w:rFonts w:hint="eastAsia" w:ascii="宋体" w:hAnsi="宋体" w:eastAsia="宋体" w:cs="宋体"/>
          <w:sz w:val="24"/>
          <w:szCs w:val="24"/>
        </w:rPr>
        <w:fldChar w:fldCharType="separate"/>
      </w:r>
      <w:r>
        <w:rPr>
          <w:rFonts w:hint="eastAsia" w:ascii="宋体" w:hAnsi="宋体" w:eastAsia="宋体" w:cs="宋体"/>
          <w:sz w:val="24"/>
          <w:szCs w:val="24"/>
        </w:rPr>
        <w:t>111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_Toc8970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六</w:t>
      </w:r>
      <w:r>
        <w:rPr>
          <w:rFonts w:hint="eastAsia" w:ascii="宋体" w:hAnsi="宋体" w:eastAsia="宋体" w:cs="宋体"/>
          <w:sz w:val="24"/>
          <w:szCs w:val="24"/>
        </w:rPr>
        <w:t>、危废合同</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_Toc8970 \h </w:instrText>
      </w:r>
      <w:r>
        <w:rPr>
          <w:rFonts w:hint="eastAsia" w:ascii="宋体" w:hAnsi="宋体" w:eastAsia="宋体" w:cs="宋体"/>
          <w:sz w:val="24"/>
          <w:szCs w:val="24"/>
        </w:rPr>
        <w:fldChar w:fldCharType="separate"/>
      </w:r>
      <w:r>
        <w:rPr>
          <w:rFonts w:hint="eastAsia" w:ascii="宋体" w:hAnsi="宋体" w:eastAsia="宋体" w:cs="宋体"/>
          <w:sz w:val="24"/>
          <w:szCs w:val="24"/>
        </w:rPr>
        <w:t>112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_Toc23800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七</w:t>
      </w:r>
      <w:r>
        <w:rPr>
          <w:rFonts w:hint="eastAsia" w:ascii="宋体" w:hAnsi="宋体" w:eastAsia="宋体" w:cs="宋体"/>
          <w:sz w:val="24"/>
          <w:szCs w:val="24"/>
        </w:rPr>
        <w:t>、原应急预案备案表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_Toc23800 \h </w:instrText>
      </w:r>
      <w:r>
        <w:rPr>
          <w:rFonts w:hint="eastAsia" w:ascii="宋体" w:hAnsi="宋体" w:eastAsia="宋体" w:cs="宋体"/>
          <w:sz w:val="24"/>
          <w:szCs w:val="24"/>
        </w:rPr>
        <w:fldChar w:fldCharType="separate"/>
      </w:r>
      <w:r>
        <w:rPr>
          <w:rFonts w:hint="eastAsia" w:ascii="宋体" w:hAnsi="宋体" w:eastAsia="宋体" w:cs="宋体"/>
          <w:sz w:val="24"/>
          <w:szCs w:val="24"/>
        </w:rPr>
        <w:t>119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_Toc30204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八</w:t>
      </w:r>
      <w:r>
        <w:rPr>
          <w:rFonts w:hint="eastAsia" w:ascii="宋体" w:hAnsi="宋体" w:eastAsia="宋体" w:cs="宋体"/>
          <w:sz w:val="24"/>
          <w:szCs w:val="24"/>
        </w:rPr>
        <w:t>、</w:t>
      </w:r>
      <w:r>
        <w:rPr>
          <w:rFonts w:hint="eastAsia" w:ascii="宋体" w:hAnsi="宋体" w:eastAsia="宋体" w:cs="宋体"/>
          <w:sz w:val="24"/>
          <w:szCs w:val="24"/>
          <w:lang w:val="en-US" w:eastAsia="zh-CN"/>
        </w:rPr>
        <w:t>演练资料</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_Toc30204 \h </w:instrText>
      </w:r>
      <w:r>
        <w:rPr>
          <w:rFonts w:hint="eastAsia" w:ascii="宋体" w:hAnsi="宋体" w:eastAsia="宋体" w:cs="宋体"/>
          <w:sz w:val="24"/>
          <w:szCs w:val="24"/>
        </w:rPr>
        <w:fldChar w:fldCharType="separate"/>
      </w:r>
      <w:r>
        <w:rPr>
          <w:rFonts w:hint="eastAsia" w:ascii="宋体" w:hAnsi="宋体" w:eastAsia="宋体" w:cs="宋体"/>
          <w:sz w:val="24"/>
          <w:szCs w:val="24"/>
        </w:rPr>
        <w:t>121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26"/>
        <w:keepNext w:val="0"/>
        <w:keepLines w:val="0"/>
        <w:pageBreakBefore w:val="0"/>
        <w:widowControl w:val="0"/>
        <w:tabs>
          <w:tab w:val="right" w:leader="dot" w:pos="8312"/>
          <w:tab w:val="clear" w:pos="8302"/>
        </w:tabs>
        <w:kinsoku/>
        <w:wordWrap/>
        <w:overflowPunct/>
        <w:topLinePunct w:val="0"/>
        <w:autoSpaceDE/>
        <w:autoSpaceDN/>
        <w:bidi w:val="0"/>
        <w:adjustRightInd w:val="0"/>
        <w:snapToGrid w:val="0"/>
        <w:spacing w:before="157" w:beforeLines="50" w:line="288" w:lineRule="auto"/>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_Toc16436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九</w:t>
      </w:r>
      <w:r>
        <w:rPr>
          <w:rFonts w:hint="eastAsia" w:ascii="宋体" w:hAnsi="宋体" w:eastAsia="宋体" w:cs="宋体"/>
          <w:sz w:val="24"/>
          <w:szCs w:val="24"/>
        </w:rPr>
        <w:t>、</w:t>
      </w:r>
      <w:r>
        <w:rPr>
          <w:rFonts w:hint="eastAsia" w:ascii="宋体" w:hAnsi="宋体" w:eastAsia="宋体" w:cs="宋体"/>
          <w:sz w:val="24"/>
          <w:szCs w:val="24"/>
          <w:lang w:val="en-US" w:eastAsia="zh-CN"/>
        </w:rPr>
        <w:t>应急监测协议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_Toc16436 \h </w:instrText>
      </w:r>
      <w:r>
        <w:rPr>
          <w:rFonts w:hint="eastAsia" w:ascii="宋体" w:hAnsi="宋体" w:eastAsia="宋体" w:cs="宋体"/>
          <w:sz w:val="24"/>
          <w:szCs w:val="24"/>
        </w:rPr>
        <w:fldChar w:fldCharType="separate"/>
      </w:r>
      <w:r>
        <w:rPr>
          <w:rFonts w:hint="eastAsia" w:ascii="宋体" w:hAnsi="宋体" w:eastAsia="宋体" w:cs="宋体"/>
          <w:sz w:val="24"/>
          <w:szCs w:val="24"/>
        </w:rPr>
        <w:t>122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keepNext w:val="0"/>
        <w:keepLines w:val="0"/>
        <w:pageBreakBefore w:val="0"/>
        <w:widowControl w:val="0"/>
        <w:kinsoku/>
        <w:wordWrap/>
        <w:overflowPunct/>
        <w:topLinePunct w:val="0"/>
        <w:autoSpaceDE/>
        <w:autoSpaceDN/>
        <w:bidi w:val="0"/>
        <w:adjustRightInd w:val="0"/>
        <w:snapToGrid w:val="0"/>
        <w:spacing w:before="157" w:beforeLines="50" w:line="288" w:lineRule="auto"/>
        <w:ind w:left="0" w:leftChars="0"/>
        <w:jc w:val="left"/>
        <w:textAlignment w:val="auto"/>
        <w:rPr>
          <w:rFonts w:hint="eastAsia" w:ascii="宋体" w:hAnsi="宋体" w:eastAsia="宋体" w:cs="宋体"/>
          <w:szCs w:val="24"/>
        </w:rPr>
      </w:pPr>
      <w:r>
        <w:rPr>
          <w:rFonts w:hint="eastAsia" w:ascii="宋体" w:hAnsi="宋体" w:eastAsia="宋体" w:cs="宋体"/>
          <w:sz w:val="24"/>
          <w:szCs w:val="24"/>
        </w:rPr>
        <w:fldChar w:fldCharType="end"/>
      </w:r>
      <w:bookmarkStart w:id="2" w:name="_Toc397507790"/>
    </w:p>
    <w:p>
      <w:pPr>
        <w:bidi w:val="0"/>
        <w:rPr>
          <w:rFonts w:ascii="Times New Roman" w:hAnsi="Times New Roman" w:eastAsia="宋体" w:cs="Times New Roman"/>
          <w:kern w:val="2"/>
          <w:sz w:val="21"/>
          <w:szCs w:val="24"/>
          <w:lang w:val="en-US" w:eastAsia="zh-CN" w:bidi="ar-SA"/>
        </w:rPr>
      </w:pPr>
    </w:p>
    <w:p>
      <w:pPr>
        <w:bidi w:val="0"/>
        <w:rPr>
          <w:lang w:val="en-US" w:eastAsia="zh-CN"/>
        </w:rPr>
      </w:pPr>
    </w:p>
    <w:p>
      <w:pPr>
        <w:bidi w:val="0"/>
        <w:rPr>
          <w:lang w:val="en-US" w:eastAsia="zh-CN"/>
        </w:rPr>
      </w:pPr>
    </w:p>
    <w:p>
      <w:pPr>
        <w:tabs>
          <w:tab w:val="left" w:pos="3201"/>
        </w:tabs>
        <w:bidi w:val="0"/>
        <w:jc w:val="left"/>
        <w:rPr>
          <w:lang w:val="en-US" w:eastAsia="zh-CN"/>
        </w:rPr>
        <w:sectPr>
          <w:footerReference r:id="rId9" w:type="default"/>
          <w:pgSz w:w="11906" w:h="16838"/>
          <w:pgMar w:top="1440" w:right="1797" w:bottom="1440" w:left="1797" w:header="851" w:footer="992" w:gutter="0"/>
          <w:pgNumType w:fmt="upperRoman" w:start="1"/>
          <w:cols w:space="720" w:num="1"/>
          <w:docGrid w:linePitch="312" w:charSpace="0"/>
        </w:sectPr>
      </w:pPr>
      <w:r>
        <w:rPr>
          <w:rFonts w:hint="eastAsia"/>
          <w:lang w:val="en-US" w:eastAsia="zh-CN"/>
        </w:rPr>
        <w:tab/>
      </w:r>
    </w:p>
    <w:p>
      <w:pPr>
        <w:spacing w:before="157" w:beforeLines="50" w:after="157" w:afterLines="50" w:line="360" w:lineRule="auto"/>
        <w:jc w:val="center"/>
        <w:outlineLvl w:val="0"/>
        <w:rPr>
          <w:b/>
          <w:bCs/>
          <w:sz w:val="44"/>
          <w:szCs w:val="44"/>
        </w:rPr>
      </w:pPr>
      <w:bookmarkStart w:id="3" w:name="_Toc30529"/>
      <w:r>
        <w:rPr>
          <w:rFonts w:hint="eastAsia"/>
          <w:b/>
          <w:bCs/>
          <w:sz w:val="44"/>
          <w:szCs w:val="44"/>
        </w:rPr>
        <w:t>综合应急预案</w:t>
      </w:r>
      <w:bookmarkEnd w:id="3"/>
    </w:p>
    <w:p>
      <w:pPr>
        <w:spacing w:before="157" w:beforeLines="50" w:after="157" w:afterLines="50" w:line="360" w:lineRule="auto"/>
        <w:jc w:val="center"/>
        <w:outlineLvl w:val="0"/>
        <w:rPr>
          <w:b/>
          <w:sz w:val="36"/>
          <w:szCs w:val="36"/>
        </w:rPr>
      </w:pPr>
      <w:bookmarkStart w:id="4" w:name="_Toc5417"/>
      <w:r>
        <w:rPr>
          <w:b/>
          <w:sz w:val="36"/>
          <w:szCs w:val="36"/>
        </w:rPr>
        <w:t>1 总则</w:t>
      </w:r>
      <w:bookmarkEnd w:id="2"/>
      <w:bookmarkEnd w:id="4"/>
    </w:p>
    <w:p>
      <w:pPr>
        <w:spacing w:before="120" w:beforeLines="50" w:line="360" w:lineRule="auto"/>
        <w:outlineLvl w:val="1"/>
        <w:rPr>
          <w:b/>
          <w:sz w:val="30"/>
          <w:szCs w:val="30"/>
        </w:rPr>
      </w:pPr>
      <w:bookmarkStart w:id="5" w:name="_Toc397507791"/>
      <w:bookmarkStart w:id="6" w:name="_Toc5783"/>
      <w:r>
        <w:rPr>
          <w:b/>
          <w:sz w:val="30"/>
          <w:szCs w:val="30"/>
        </w:rPr>
        <w:t>1.1编制目的</w:t>
      </w:r>
      <w:bookmarkEnd w:id="5"/>
      <w:r>
        <w:rPr>
          <w:b/>
          <w:sz w:val="30"/>
          <w:szCs w:val="30"/>
        </w:rPr>
        <w:t>和背景</w:t>
      </w:r>
      <w:bookmarkEnd w:id="6"/>
    </w:p>
    <w:p>
      <w:pPr>
        <w:spacing w:before="120" w:beforeLines="50" w:line="360" w:lineRule="auto"/>
        <w:outlineLvl w:val="2"/>
        <w:rPr>
          <w:b/>
          <w:sz w:val="28"/>
          <w:szCs w:val="28"/>
        </w:rPr>
      </w:pPr>
      <w:bookmarkStart w:id="7" w:name="_Toc3021"/>
      <w:r>
        <w:rPr>
          <w:b/>
          <w:sz w:val="28"/>
          <w:szCs w:val="28"/>
        </w:rPr>
        <w:t>1.1.1编制背景</w:t>
      </w:r>
      <w:bookmarkEnd w:id="7"/>
    </w:p>
    <w:p>
      <w:pPr>
        <w:spacing w:before="120" w:beforeLines="50" w:line="360" w:lineRule="auto"/>
        <w:ind w:firstLine="480" w:firstLineChars="200"/>
        <w:rPr>
          <w:rFonts w:eastAsia="仿宋_GB2312"/>
          <w:sz w:val="24"/>
        </w:rPr>
      </w:pPr>
      <w:r>
        <w:rPr>
          <w:rFonts w:eastAsia="仿宋_GB2312"/>
          <w:sz w:val="24"/>
        </w:rPr>
        <w:t>依据《中华人民共和国突发事件应对法》、《突发环境事件应急预案暂行管理办法》、广东省环保厅《2016年全省环境应急管理工作要点》，</w:t>
      </w:r>
      <w:r>
        <w:rPr>
          <w:rFonts w:hint="eastAsia" w:eastAsia="仿宋_GB2312"/>
          <w:sz w:val="24"/>
          <w:lang w:eastAsia="zh-CN"/>
        </w:rPr>
        <w:t>翁源县中源发展有限公司</w:t>
      </w:r>
      <w:r>
        <w:rPr>
          <w:rFonts w:eastAsia="仿宋_GB2312"/>
          <w:sz w:val="24"/>
        </w:rPr>
        <w:t>（以下简称本公司）组织专业人员编制《突发环境事件应急预案》，保证企业、社会及人民生命财产的安全，防止突发性事故发生，并能在事故发生后迅速有效地控制处理。</w:t>
      </w:r>
    </w:p>
    <w:p>
      <w:pPr>
        <w:spacing w:before="120" w:beforeLines="50" w:line="360" w:lineRule="auto"/>
        <w:ind w:firstLine="480" w:firstLineChars="200"/>
        <w:rPr>
          <w:rFonts w:eastAsia="仿宋_GB2312"/>
          <w:sz w:val="24"/>
        </w:rPr>
      </w:pPr>
      <w:r>
        <w:rPr>
          <w:rFonts w:hint="eastAsia" w:eastAsia="仿宋_GB2312"/>
          <w:sz w:val="24"/>
          <w:lang w:eastAsia="zh-CN"/>
        </w:rPr>
        <w:t>翁源县中源发展有限公司</w:t>
      </w:r>
      <w:r>
        <w:rPr>
          <w:rFonts w:eastAsia="仿宋_GB2312"/>
          <w:sz w:val="24"/>
        </w:rPr>
        <w:t>现已与韶关市</w:t>
      </w:r>
      <w:r>
        <w:rPr>
          <w:rFonts w:hint="eastAsia" w:eastAsia="仿宋_GB2312"/>
          <w:sz w:val="24"/>
        </w:rPr>
        <w:t>生态环境局翁源分局</w:t>
      </w:r>
      <w:r>
        <w:rPr>
          <w:rFonts w:eastAsia="仿宋_GB2312"/>
          <w:sz w:val="24"/>
        </w:rPr>
        <w:t>负责突发环境事件应急反应的机构建立了紧密的合作，并且以后也将继续保持，以确保本预案与各级政府的事故应急预案，行动和要求匹配。</w:t>
      </w:r>
    </w:p>
    <w:p>
      <w:pPr>
        <w:spacing w:before="120" w:beforeLines="50" w:line="360" w:lineRule="auto"/>
        <w:outlineLvl w:val="2"/>
        <w:rPr>
          <w:b/>
          <w:sz w:val="28"/>
          <w:szCs w:val="28"/>
        </w:rPr>
      </w:pPr>
      <w:bookmarkStart w:id="8" w:name="_Toc24288"/>
      <w:bookmarkStart w:id="9" w:name="_Toc446429659"/>
      <w:bookmarkStart w:id="10" w:name="_Toc401395950"/>
      <w:r>
        <w:rPr>
          <w:b/>
          <w:sz w:val="28"/>
          <w:szCs w:val="28"/>
        </w:rPr>
        <w:t>1.1.2编制目的和指导思想</w:t>
      </w:r>
      <w:bookmarkEnd w:id="8"/>
      <w:bookmarkEnd w:id="9"/>
      <w:bookmarkEnd w:id="10"/>
    </w:p>
    <w:p>
      <w:pPr>
        <w:spacing w:before="120" w:beforeLines="50" w:line="360" w:lineRule="auto"/>
        <w:ind w:firstLine="480" w:firstLineChars="200"/>
        <w:rPr>
          <w:rFonts w:eastAsia="仿宋_GB2312"/>
          <w:sz w:val="24"/>
        </w:rPr>
      </w:pPr>
      <w:r>
        <w:rPr>
          <w:rFonts w:eastAsia="仿宋_GB2312"/>
          <w:sz w:val="24"/>
        </w:rPr>
        <w:t>为了有效应对突发环境事件，建立健全突发环境事件应急机制，提高本公司应对突发环境事件的预防、预警和应急处置能力，控制、减少和消除突发环境污染事件的风险和危害，降低公司管理和公司内企业生产经营中的环境风险，将环境污染事件控制在最小范围内，努力将突发环境事故对人员、财产、环境、社会造成的损失降至最小程度，最大限度地保障人民群众健康和财产安全，维护社会稳定，促进经济社会持续、健康、快速发展。根据公司的实际情况，本着“快速反应、当机立断，自救为主、外援为辅，统一指挥、分工负责”的原则，特制定本预案。</w:t>
      </w:r>
    </w:p>
    <w:p>
      <w:pPr>
        <w:spacing w:before="120" w:beforeLines="50" w:line="360" w:lineRule="auto"/>
        <w:ind w:firstLine="480" w:firstLineChars="200"/>
        <w:rPr>
          <w:rFonts w:eastAsia="仿宋_GB2312"/>
          <w:sz w:val="24"/>
        </w:rPr>
      </w:pPr>
      <w:r>
        <w:rPr>
          <w:rFonts w:eastAsia="仿宋_GB2312"/>
          <w:sz w:val="24"/>
        </w:rPr>
        <w:t>应急预案的指导思想：体现以人为本，一旦发生突发事故，能以最快的速度，最快的效能，有序的实施救援，最大限度地减少对人身财产及对环境的影响，维护社会稳定，保护生态环境。</w:t>
      </w:r>
    </w:p>
    <w:p>
      <w:pPr>
        <w:pStyle w:val="2"/>
      </w:pPr>
    </w:p>
    <w:p>
      <w:pPr>
        <w:spacing w:before="120" w:beforeLines="50" w:line="360" w:lineRule="auto"/>
        <w:outlineLvl w:val="1"/>
        <w:rPr>
          <w:b/>
          <w:sz w:val="30"/>
          <w:szCs w:val="30"/>
        </w:rPr>
      </w:pPr>
      <w:bookmarkStart w:id="11" w:name="_Toc12276"/>
      <w:r>
        <w:rPr>
          <w:b/>
          <w:sz w:val="30"/>
          <w:szCs w:val="30"/>
        </w:rPr>
        <w:t>1.2编制依据</w:t>
      </w:r>
      <w:bookmarkEnd w:id="11"/>
    </w:p>
    <w:p>
      <w:pPr>
        <w:spacing w:before="120" w:beforeLines="50" w:line="360" w:lineRule="auto"/>
        <w:ind w:firstLine="480" w:firstLineChars="200"/>
        <w:rPr>
          <w:rFonts w:eastAsia="仿宋_GB2312"/>
          <w:sz w:val="24"/>
        </w:rPr>
      </w:pPr>
      <w:r>
        <w:rPr>
          <w:rFonts w:eastAsia="仿宋_GB2312"/>
          <w:sz w:val="24"/>
        </w:rPr>
        <w:t>《</w:t>
      </w:r>
      <w:r>
        <w:rPr>
          <w:rFonts w:hint="eastAsia" w:eastAsia="仿宋_GB2312"/>
          <w:sz w:val="24"/>
          <w:lang w:eastAsia="zh-CN"/>
        </w:rPr>
        <w:t>翁源县中源发展有限公司</w:t>
      </w:r>
      <w:r>
        <w:rPr>
          <w:rFonts w:eastAsia="仿宋_GB2312"/>
          <w:sz w:val="24"/>
        </w:rPr>
        <w:t>突发环境事件应急预案》的编制工作，严格按照国家、省、市各级政府下达的相关法律、法规、标准以及其他相关政策、文件进行。</w:t>
      </w:r>
    </w:p>
    <w:p>
      <w:pPr>
        <w:spacing w:before="120" w:beforeLines="50" w:line="360" w:lineRule="auto"/>
        <w:outlineLvl w:val="2"/>
        <w:rPr>
          <w:b/>
          <w:sz w:val="28"/>
          <w:szCs w:val="28"/>
        </w:rPr>
      </w:pPr>
      <w:bookmarkStart w:id="12" w:name="_Toc30333"/>
      <w:r>
        <w:rPr>
          <w:b/>
          <w:sz w:val="28"/>
          <w:szCs w:val="28"/>
        </w:rPr>
        <w:t>1.</w:t>
      </w:r>
      <w:r>
        <w:t xml:space="preserve"> </w:t>
      </w:r>
      <w:r>
        <w:rPr>
          <w:b/>
          <w:sz w:val="28"/>
          <w:szCs w:val="28"/>
        </w:rPr>
        <w:t>2.1 法律法规与技术规范</w:t>
      </w:r>
      <w:bookmarkEnd w:id="12"/>
    </w:p>
    <w:p>
      <w:pPr>
        <w:spacing w:before="120" w:beforeLines="50" w:line="360" w:lineRule="auto"/>
        <w:ind w:firstLine="480" w:firstLineChars="200"/>
        <w:rPr>
          <w:rFonts w:eastAsia="仿宋_GB2312"/>
          <w:sz w:val="24"/>
        </w:rPr>
      </w:pPr>
      <w:r>
        <w:rPr>
          <w:rFonts w:eastAsia="仿宋_GB2312"/>
          <w:sz w:val="24"/>
        </w:rPr>
        <w:t>(1)《中华人民共和国环境保护法》（2014年4月24日修订，2015年1月1日实施）；</w:t>
      </w:r>
    </w:p>
    <w:p>
      <w:pPr>
        <w:spacing w:before="120" w:beforeLines="50" w:line="360" w:lineRule="auto"/>
        <w:ind w:firstLine="480" w:firstLineChars="200"/>
        <w:rPr>
          <w:rFonts w:eastAsia="仿宋_GB2312"/>
          <w:sz w:val="24"/>
        </w:rPr>
      </w:pPr>
      <w:r>
        <w:rPr>
          <w:rFonts w:eastAsia="仿宋_GB2312"/>
          <w:sz w:val="24"/>
        </w:rPr>
        <w:t>(2)《中华人民共和国突发事件应对法》（中华人民共和国主席令第69号，2007）；</w:t>
      </w:r>
    </w:p>
    <w:p>
      <w:pPr>
        <w:spacing w:before="120" w:beforeLines="50" w:line="360" w:lineRule="auto"/>
        <w:ind w:firstLine="480" w:firstLineChars="200"/>
        <w:rPr>
          <w:rFonts w:eastAsia="仿宋_GB2312"/>
          <w:sz w:val="24"/>
        </w:rPr>
      </w:pPr>
      <w:r>
        <w:rPr>
          <w:rFonts w:eastAsia="仿宋_GB2312"/>
          <w:sz w:val="24"/>
        </w:rPr>
        <w:t>(3)《中华人民共和国消防法》(</w:t>
      </w:r>
      <w:r>
        <w:rPr>
          <w:rFonts w:hint="eastAsia" w:eastAsia="仿宋_GB2312"/>
          <w:sz w:val="24"/>
        </w:rPr>
        <w:t>2019年4月23日修订</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(4)《中华人民共和国水污染防治法》(自2018年1月1日起施行)；</w:t>
      </w:r>
    </w:p>
    <w:p>
      <w:pPr>
        <w:spacing w:before="120" w:beforeLines="50" w:line="360" w:lineRule="auto"/>
        <w:ind w:firstLine="480" w:firstLineChars="200"/>
        <w:rPr>
          <w:rFonts w:eastAsia="仿宋_GB2312"/>
          <w:sz w:val="24"/>
        </w:rPr>
      </w:pPr>
      <w:r>
        <w:rPr>
          <w:rFonts w:eastAsia="仿宋_GB2312"/>
          <w:sz w:val="24"/>
        </w:rPr>
        <w:t>(5)《中华人民共和国</w:t>
      </w:r>
      <w:r>
        <w:rPr>
          <w:rFonts w:eastAsia="仿宋_GB2312"/>
          <w:bCs/>
          <w:sz w:val="24"/>
        </w:rPr>
        <w:t>大气污染防治法</w:t>
      </w:r>
      <w:r>
        <w:rPr>
          <w:rFonts w:eastAsia="仿宋_GB2312"/>
          <w:sz w:val="24"/>
        </w:rPr>
        <w:t>》(主席令第</w:t>
      </w:r>
      <w:r>
        <w:rPr>
          <w:rFonts w:hint="eastAsia" w:eastAsia="仿宋_GB2312"/>
          <w:sz w:val="24"/>
        </w:rPr>
        <w:t>十六</w:t>
      </w:r>
      <w:r>
        <w:rPr>
          <w:rFonts w:eastAsia="仿宋_GB2312"/>
          <w:sz w:val="24"/>
        </w:rPr>
        <w:t>号，自201</w:t>
      </w:r>
      <w:r>
        <w:rPr>
          <w:rFonts w:hint="eastAsia" w:eastAsia="仿宋_GB2312"/>
          <w:sz w:val="24"/>
        </w:rPr>
        <w:t>8</w:t>
      </w:r>
      <w:r>
        <w:rPr>
          <w:rFonts w:eastAsia="仿宋_GB2312"/>
          <w:sz w:val="24"/>
        </w:rPr>
        <w:t>年1</w:t>
      </w:r>
      <w:r>
        <w:rPr>
          <w:rFonts w:hint="eastAsia" w:eastAsia="仿宋_GB2312"/>
          <w:sz w:val="24"/>
        </w:rPr>
        <w:t>0</w:t>
      </w:r>
      <w:r>
        <w:rPr>
          <w:rFonts w:eastAsia="仿宋_GB2312"/>
          <w:sz w:val="24"/>
        </w:rPr>
        <w:t>月</w:t>
      </w:r>
      <w:r>
        <w:rPr>
          <w:rFonts w:hint="eastAsia" w:eastAsia="仿宋_GB2312"/>
          <w:sz w:val="24"/>
        </w:rPr>
        <w:t>26</w:t>
      </w:r>
      <w:r>
        <w:rPr>
          <w:rFonts w:eastAsia="仿宋_GB2312"/>
          <w:sz w:val="24"/>
        </w:rPr>
        <w:t>日起施行)；</w:t>
      </w:r>
    </w:p>
    <w:p>
      <w:pPr>
        <w:spacing w:before="120" w:beforeLines="50" w:line="360" w:lineRule="auto"/>
        <w:ind w:firstLine="480" w:firstLineChars="200"/>
        <w:rPr>
          <w:rFonts w:eastAsia="仿宋_GB2312"/>
          <w:sz w:val="24"/>
        </w:rPr>
      </w:pPr>
      <w:r>
        <w:rPr>
          <w:rFonts w:eastAsia="仿宋_GB2312"/>
          <w:sz w:val="24"/>
        </w:rPr>
        <w:t>(6)《中华人民共和国</w:t>
      </w:r>
      <w:r>
        <w:rPr>
          <w:rFonts w:eastAsia="仿宋_GB2312"/>
          <w:bCs/>
          <w:sz w:val="24"/>
        </w:rPr>
        <w:t>固体废物污染环境防治法</w:t>
      </w:r>
      <w:r>
        <w:rPr>
          <w:rFonts w:eastAsia="仿宋_GB2312"/>
          <w:sz w:val="24"/>
        </w:rPr>
        <w:t>》</w:t>
      </w:r>
      <w:r>
        <w:rPr>
          <w:rFonts w:hint="eastAsia" w:eastAsia="仿宋_GB2312"/>
          <w:sz w:val="24"/>
        </w:rPr>
        <w:t>（2020年9月1日起施行）</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(7)《</w:t>
      </w:r>
      <w:r>
        <w:rPr>
          <w:rFonts w:hint="eastAsia" w:eastAsia="仿宋_GB2312"/>
          <w:sz w:val="24"/>
        </w:rPr>
        <w:t>关于进一步加强环境影响评价管理防范环境风险的通知</w:t>
      </w:r>
      <w:r>
        <w:rPr>
          <w:rFonts w:eastAsia="仿宋_GB2312"/>
          <w:sz w:val="24"/>
        </w:rPr>
        <w:t>》（环发〔20</w:t>
      </w:r>
      <w:r>
        <w:rPr>
          <w:rFonts w:hint="eastAsia" w:eastAsia="仿宋_GB2312"/>
          <w:sz w:val="24"/>
        </w:rPr>
        <w:t>12</w:t>
      </w:r>
      <w:r>
        <w:rPr>
          <w:rFonts w:eastAsia="仿宋_GB2312"/>
          <w:sz w:val="24"/>
        </w:rPr>
        <w:t>〕</w:t>
      </w:r>
      <w:r>
        <w:rPr>
          <w:rFonts w:hint="eastAsia" w:eastAsia="仿宋_GB2312"/>
          <w:sz w:val="24"/>
        </w:rPr>
        <w:t>77</w:t>
      </w:r>
      <w:r>
        <w:rPr>
          <w:rFonts w:eastAsia="仿宋_GB2312"/>
          <w:sz w:val="24"/>
        </w:rPr>
        <w:t>号）；</w:t>
      </w:r>
    </w:p>
    <w:p>
      <w:pPr>
        <w:spacing w:before="120" w:beforeLines="50" w:line="360" w:lineRule="auto"/>
        <w:ind w:firstLine="480" w:firstLineChars="200"/>
        <w:rPr>
          <w:rFonts w:eastAsia="仿宋_GB2312"/>
          <w:sz w:val="24"/>
        </w:rPr>
      </w:pPr>
      <w:r>
        <w:rPr>
          <w:rFonts w:eastAsia="仿宋_GB2312"/>
          <w:sz w:val="24"/>
        </w:rPr>
        <w:t>(8)《</w:t>
      </w:r>
      <w:r>
        <w:rPr>
          <w:rFonts w:hint="eastAsia" w:eastAsia="仿宋_GB2312"/>
          <w:sz w:val="24"/>
        </w:rPr>
        <w:t>危险废物转移联单管理办法</w:t>
      </w:r>
      <w:r>
        <w:rPr>
          <w:rFonts w:eastAsia="仿宋_GB2312"/>
          <w:sz w:val="24"/>
        </w:rPr>
        <w:t>》（</w:t>
      </w:r>
      <w:r>
        <w:rPr>
          <w:rFonts w:hint="eastAsia" w:eastAsia="仿宋_GB2312"/>
          <w:sz w:val="24"/>
        </w:rPr>
        <w:t>1999年10月1日起施行</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(9)《国家危险废物名录》（</w:t>
      </w:r>
      <w:r>
        <w:rPr>
          <w:rFonts w:hint="eastAsia" w:eastAsia="仿宋_GB2312"/>
          <w:sz w:val="24"/>
        </w:rPr>
        <w:t>2021年版</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(10)《国家突发环境事件应急预案》（国办函[2014]119号）；</w:t>
      </w:r>
    </w:p>
    <w:p>
      <w:pPr>
        <w:spacing w:before="120" w:beforeLines="50" w:line="360" w:lineRule="auto"/>
        <w:ind w:firstLine="480" w:firstLineChars="200"/>
        <w:rPr>
          <w:rFonts w:eastAsia="仿宋_GB2312"/>
          <w:sz w:val="24"/>
        </w:rPr>
      </w:pPr>
      <w:r>
        <w:rPr>
          <w:rFonts w:eastAsia="仿宋_GB2312"/>
          <w:sz w:val="24"/>
        </w:rPr>
        <w:t>(11)《剧毒化学品名录》（</w:t>
      </w:r>
      <w:r>
        <w:rPr>
          <w:rFonts w:hint="eastAsia" w:eastAsia="仿宋_GB2312"/>
          <w:sz w:val="24"/>
        </w:rPr>
        <w:t>2015年版</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(12)《危险化学品重大危险源辨识》（GB18218-2018）；</w:t>
      </w:r>
    </w:p>
    <w:p>
      <w:pPr>
        <w:spacing w:before="120" w:beforeLines="50" w:line="360" w:lineRule="auto"/>
        <w:ind w:firstLine="480" w:firstLineChars="200"/>
        <w:rPr>
          <w:rFonts w:eastAsia="仿宋_GB2312"/>
          <w:sz w:val="24"/>
        </w:rPr>
      </w:pPr>
      <w:r>
        <w:rPr>
          <w:rFonts w:eastAsia="仿宋_GB2312"/>
          <w:sz w:val="24"/>
        </w:rPr>
        <w:t>(13)</w:t>
      </w:r>
      <w:r>
        <w:t xml:space="preserve"> </w:t>
      </w:r>
      <w:r>
        <w:rPr>
          <w:rFonts w:eastAsia="仿宋_GB2312"/>
          <w:sz w:val="24"/>
        </w:rPr>
        <w:t>《企业突发环境事件风险分级方法》（HJ941-2018）；</w:t>
      </w:r>
    </w:p>
    <w:p>
      <w:pPr>
        <w:spacing w:before="120" w:beforeLines="50" w:line="360" w:lineRule="auto"/>
        <w:ind w:firstLine="480" w:firstLineChars="200"/>
        <w:rPr>
          <w:rFonts w:eastAsia="仿宋_GB2312"/>
          <w:sz w:val="24"/>
        </w:rPr>
      </w:pPr>
      <w:r>
        <w:rPr>
          <w:rFonts w:eastAsia="仿宋_GB2312"/>
          <w:sz w:val="24"/>
        </w:rPr>
        <w:t>(14)《企业事业单位突发环境事件应急预案备案管理办法（试行）》（环发[2015]4号；</w:t>
      </w:r>
    </w:p>
    <w:p>
      <w:pPr>
        <w:spacing w:before="120" w:beforeLines="50" w:line="360" w:lineRule="auto"/>
        <w:ind w:firstLine="480" w:firstLineChars="200"/>
        <w:rPr>
          <w:rFonts w:eastAsia="仿宋_GB2312"/>
          <w:sz w:val="24"/>
        </w:rPr>
      </w:pPr>
      <w:r>
        <w:rPr>
          <w:rFonts w:eastAsia="仿宋_GB2312"/>
          <w:sz w:val="24"/>
        </w:rPr>
        <w:t>(15)《突发环境事件应急管理办法》（环境保护部令第34号</w:t>
      </w:r>
      <w:r>
        <w:rPr>
          <w:rFonts w:hint="eastAsia" w:eastAsia="仿宋_GB2312"/>
          <w:sz w:val="24"/>
        </w:rPr>
        <w:t>，2015年6月5日起施行</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(16)《突发环境事件调查处理办法》（环境保护部令第32号）；</w:t>
      </w:r>
    </w:p>
    <w:p>
      <w:pPr>
        <w:spacing w:before="120" w:beforeLines="50" w:line="360" w:lineRule="auto"/>
        <w:ind w:firstLine="480" w:firstLineChars="200"/>
        <w:rPr>
          <w:rFonts w:eastAsia="仿宋_GB2312"/>
          <w:sz w:val="24"/>
        </w:rPr>
      </w:pPr>
      <w:r>
        <w:rPr>
          <w:rFonts w:eastAsia="仿宋_GB2312"/>
          <w:sz w:val="24"/>
        </w:rPr>
        <w:t>(</w:t>
      </w:r>
      <w:r>
        <w:rPr>
          <w:rFonts w:hint="eastAsia" w:eastAsia="仿宋_GB2312"/>
          <w:sz w:val="24"/>
        </w:rPr>
        <w:t>17</w:t>
      </w:r>
      <w:r>
        <w:rPr>
          <w:rFonts w:eastAsia="仿宋_GB2312"/>
          <w:sz w:val="24"/>
        </w:rPr>
        <w:t>)《危险废物贮存污染控制标准》（</w:t>
      </w:r>
      <w:r>
        <w:rPr>
          <w:rFonts w:hint="eastAsia" w:eastAsia="仿宋_GB2312"/>
          <w:sz w:val="24"/>
        </w:rPr>
        <w:t>2013年修订</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w:t>
      </w:r>
      <w:r>
        <w:rPr>
          <w:rFonts w:hint="eastAsia" w:eastAsia="仿宋_GB2312"/>
          <w:sz w:val="24"/>
        </w:rPr>
        <w:t>18</w:t>
      </w:r>
      <w:r>
        <w:rPr>
          <w:rFonts w:eastAsia="仿宋_GB2312"/>
          <w:sz w:val="24"/>
        </w:rPr>
        <w:t>)《突发环境事件应急监测技术规范》（HJ589-2010）；</w:t>
      </w:r>
    </w:p>
    <w:p>
      <w:pPr>
        <w:spacing w:before="120" w:beforeLines="50" w:line="360" w:lineRule="auto"/>
        <w:ind w:firstLine="480" w:firstLineChars="200"/>
        <w:rPr>
          <w:rFonts w:eastAsia="仿宋_GB2312"/>
          <w:sz w:val="24"/>
        </w:rPr>
      </w:pPr>
      <w:r>
        <w:rPr>
          <w:rFonts w:eastAsia="仿宋_GB2312"/>
          <w:sz w:val="24"/>
        </w:rPr>
        <w:t>(</w:t>
      </w:r>
      <w:r>
        <w:rPr>
          <w:rFonts w:hint="eastAsia" w:eastAsia="仿宋_GB2312"/>
          <w:sz w:val="24"/>
        </w:rPr>
        <w:t>19</w:t>
      </w:r>
      <w:r>
        <w:rPr>
          <w:rFonts w:eastAsia="仿宋_GB2312"/>
          <w:sz w:val="24"/>
        </w:rPr>
        <w:t>)《地表水环境质量标准》（GB3838-2002）；</w:t>
      </w:r>
    </w:p>
    <w:p>
      <w:pPr>
        <w:spacing w:before="120" w:beforeLines="50" w:line="360" w:lineRule="auto"/>
        <w:ind w:firstLine="480" w:firstLineChars="200"/>
        <w:rPr>
          <w:rFonts w:eastAsia="仿宋_GB2312"/>
          <w:sz w:val="24"/>
        </w:rPr>
      </w:pPr>
      <w:r>
        <w:rPr>
          <w:rFonts w:eastAsia="仿宋_GB2312"/>
          <w:sz w:val="24"/>
        </w:rPr>
        <w:t>(2</w:t>
      </w:r>
      <w:r>
        <w:rPr>
          <w:rFonts w:hint="eastAsia" w:eastAsia="仿宋_GB2312"/>
          <w:sz w:val="24"/>
        </w:rPr>
        <w:t>0</w:t>
      </w:r>
      <w:r>
        <w:rPr>
          <w:rFonts w:eastAsia="仿宋_GB2312"/>
          <w:sz w:val="24"/>
        </w:rPr>
        <w:t>)《环境空气质量标准》（GB3095-2012</w:t>
      </w:r>
      <w:r>
        <w:rPr>
          <w:rFonts w:hint="eastAsia" w:eastAsia="仿宋_GB2312"/>
          <w:sz w:val="24"/>
        </w:rPr>
        <w:t>修改单</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(2</w:t>
      </w:r>
      <w:r>
        <w:rPr>
          <w:rFonts w:hint="eastAsia" w:eastAsia="仿宋_GB2312"/>
          <w:sz w:val="24"/>
        </w:rPr>
        <w:t>1</w:t>
      </w:r>
      <w:r>
        <w:rPr>
          <w:rFonts w:eastAsia="仿宋_GB2312"/>
          <w:sz w:val="24"/>
        </w:rPr>
        <w:t>) 广东省《水污染物排放限值》（DB44/26-2001）；</w:t>
      </w:r>
    </w:p>
    <w:p>
      <w:pPr>
        <w:spacing w:before="120" w:beforeLines="50" w:line="360" w:lineRule="auto"/>
        <w:ind w:firstLine="480" w:firstLineChars="200"/>
        <w:rPr>
          <w:rFonts w:eastAsia="仿宋_GB2312"/>
          <w:sz w:val="24"/>
        </w:rPr>
      </w:pPr>
      <w:r>
        <w:rPr>
          <w:rFonts w:eastAsia="仿宋_GB2312"/>
          <w:sz w:val="24"/>
        </w:rPr>
        <w:t>(2</w:t>
      </w:r>
      <w:r>
        <w:rPr>
          <w:rFonts w:hint="eastAsia" w:eastAsia="仿宋_GB2312"/>
          <w:sz w:val="24"/>
        </w:rPr>
        <w:t>2</w:t>
      </w:r>
      <w:r>
        <w:rPr>
          <w:rFonts w:eastAsia="仿宋_GB2312"/>
          <w:sz w:val="24"/>
        </w:rPr>
        <w:t>)《广东省固体废弃物污染环境防治条例》（</w:t>
      </w:r>
      <w:r>
        <w:rPr>
          <w:rFonts w:hint="eastAsia" w:eastAsia="仿宋_GB2312"/>
          <w:sz w:val="24"/>
        </w:rPr>
        <w:t>2019年3月1日起施行</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(2</w:t>
      </w:r>
      <w:r>
        <w:rPr>
          <w:rFonts w:hint="eastAsia" w:eastAsia="仿宋_GB2312"/>
          <w:sz w:val="24"/>
        </w:rPr>
        <w:t>3</w:t>
      </w:r>
      <w:r>
        <w:rPr>
          <w:rFonts w:eastAsia="仿宋_GB2312"/>
          <w:sz w:val="24"/>
        </w:rPr>
        <w:t>)《</w:t>
      </w:r>
      <w:r>
        <w:rPr>
          <w:rFonts w:hint="eastAsia" w:eastAsia="仿宋_GB2312"/>
          <w:sz w:val="24"/>
        </w:rPr>
        <w:t xml:space="preserve">广东省人民政府关于印发2016年广东省突发事件应急管理专家组工作计划的通知 </w:t>
      </w:r>
      <w:r>
        <w:rPr>
          <w:rFonts w:eastAsia="仿宋_GB2312"/>
          <w:sz w:val="24"/>
        </w:rPr>
        <w:t>》（粤府函〔201</w:t>
      </w:r>
      <w:r>
        <w:rPr>
          <w:rFonts w:hint="eastAsia" w:eastAsia="仿宋_GB2312"/>
          <w:sz w:val="24"/>
        </w:rPr>
        <w:t>6</w:t>
      </w:r>
      <w:r>
        <w:rPr>
          <w:rFonts w:eastAsia="仿宋_GB2312"/>
          <w:sz w:val="24"/>
        </w:rPr>
        <w:t>〕</w:t>
      </w:r>
      <w:r>
        <w:rPr>
          <w:rFonts w:hint="eastAsia" w:eastAsia="仿宋_GB2312"/>
          <w:sz w:val="24"/>
        </w:rPr>
        <w:t>94</w:t>
      </w:r>
      <w:r>
        <w:rPr>
          <w:rFonts w:eastAsia="仿宋_GB2312"/>
          <w:sz w:val="24"/>
        </w:rPr>
        <w:t>号）；</w:t>
      </w:r>
    </w:p>
    <w:p>
      <w:pPr>
        <w:spacing w:before="120" w:beforeLines="50" w:line="360" w:lineRule="auto"/>
        <w:ind w:firstLine="480" w:firstLineChars="200"/>
        <w:rPr>
          <w:rFonts w:eastAsia="仿宋_GB2312"/>
          <w:bCs/>
          <w:sz w:val="24"/>
        </w:rPr>
      </w:pPr>
      <w:r>
        <w:rPr>
          <w:rFonts w:eastAsia="仿宋_GB2312"/>
          <w:sz w:val="24"/>
        </w:rPr>
        <w:t>(2</w:t>
      </w:r>
      <w:r>
        <w:rPr>
          <w:rFonts w:hint="eastAsia" w:eastAsia="仿宋_GB2312"/>
          <w:sz w:val="24"/>
        </w:rPr>
        <w:t>4</w:t>
      </w:r>
      <w:r>
        <w:rPr>
          <w:rFonts w:eastAsia="仿宋_GB2312"/>
          <w:sz w:val="24"/>
        </w:rPr>
        <w:t xml:space="preserve">) </w:t>
      </w:r>
      <w:r>
        <w:rPr>
          <w:rFonts w:eastAsia="仿宋_GB2312"/>
          <w:bCs/>
          <w:sz w:val="24"/>
        </w:rPr>
        <w:t>转发省政府办公厅</w:t>
      </w:r>
      <w:r>
        <w:rPr>
          <w:rFonts w:eastAsia="仿宋_GB2312"/>
          <w:sz w:val="24"/>
        </w:rPr>
        <w:t>《</w:t>
      </w:r>
      <w:r>
        <w:rPr>
          <w:rFonts w:eastAsia="仿宋_GB2312"/>
          <w:bCs/>
          <w:sz w:val="24"/>
        </w:rPr>
        <w:t>印发广东省突发事件应急预案管理办法</w:t>
      </w:r>
      <w:r>
        <w:rPr>
          <w:rFonts w:eastAsia="仿宋_GB2312"/>
          <w:sz w:val="24"/>
        </w:rPr>
        <w:t>》</w:t>
      </w:r>
      <w:r>
        <w:rPr>
          <w:rFonts w:eastAsia="仿宋_GB2312"/>
          <w:bCs/>
          <w:sz w:val="24"/>
        </w:rPr>
        <w:t>的通知（韶府办2008年8月28日）</w:t>
      </w:r>
      <w:r>
        <w:rPr>
          <w:rFonts w:hint="eastAsia" w:eastAsia="仿宋_GB2312"/>
          <w:bCs/>
          <w:sz w:val="24"/>
        </w:rPr>
        <w:t>；</w:t>
      </w:r>
    </w:p>
    <w:p>
      <w:pPr>
        <w:spacing w:before="120" w:beforeLines="50" w:line="360" w:lineRule="auto"/>
        <w:ind w:firstLine="480" w:firstLineChars="200"/>
        <w:rPr>
          <w:rFonts w:eastAsia="仿宋_GB2312"/>
          <w:sz w:val="24"/>
        </w:rPr>
      </w:pPr>
      <w:r>
        <w:rPr>
          <w:rFonts w:eastAsia="仿宋_GB2312"/>
          <w:sz w:val="24"/>
        </w:rPr>
        <w:t>(2</w:t>
      </w:r>
      <w:r>
        <w:rPr>
          <w:rFonts w:hint="eastAsia" w:eastAsia="仿宋_GB2312"/>
          <w:sz w:val="24"/>
        </w:rPr>
        <w:t>5</w:t>
      </w:r>
      <w:r>
        <w:rPr>
          <w:rFonts w:eastAsia="仿宋_GB2312"/>
          <w:sz w:val="24"/>
        </w:rPr>
        <w:t>)《</w:t>
      </w:r>
      <w:r>
        <w:rPr>
          <w:rFonts w:hint="eastAsia" w:eastAsia="仿宋_GB2312"/>
          <w:sz w:val="24"/>
        </w:rPr>
        <w:t>企业事业单位突发环境事件应急预案评审工作指南（试行）</w:t>
      </w:r>
      <w:r>
        <w:rPr>
          <w:rFonts w:eastAsia="仿宋_GB2312"/>
          <w:sz w:val="24"/>
        </w:rPr>
        <w:t>》（</w:t>
      </w:r>
      <w:r>
        <w:rPr>
          <w:rFonts w:hint="eastAsia" w:eastAsia="仿宋_GB2312"/>
          <w:sz w:val="24"/>
        </w:rPr>
        <w:t>环办应急</w:t>
      </w:r>
      <w:r>
        <w:rPr>
          <w:rFonts w:eastAsia="仿宋_GB2312"/>
          <w:sz w:val="24"/>
        </w:rPr>
        <w:t xml:space="preserve"> [201</w:t>
      </w:r>
      <w:r>
        <w:rPr>
          <w:rFonts w:hint="eastAsia" w:eastAsia="仿宋_GB2312"/>
          <w:sz w:val="24"/>
        </w:rPr>
        <w:t>8</w:t>
      </w:r>
      <w:r>
        <w:rPr>
          <w:rFonts w:eastAsia="仿宋_GB2312"/>
          <w:sz w:val="24"/>
        </w:rPr>
        <w:t>]</w:t>
      </w:r>
      <w:r>
        <w:rPr>
          <w:rFonts w:hint="eastAsia" w:eastAsia="仿宋_GB2312"/>
          <w:sz w:val="24"/>
        </w:rPr>
        <w:t>8</w:t>
      </w:r>
      <w:r>
        <w:rPr>
          <w:rFonts w:eastAsia="仿宋_GB2312"/>
          <w:sz w:val="24"/>
        </w:rPr>
        <w:t>号）；</w:t>
      </w:r>
    </w:p>
    <w:p>
      <w:pPr>
        <w:pStyle w:val="2"/>
        <w:spacing w:line="360" w:lineRule="auto"/>
        <w:ind w:firstLine="480" w:firstLineChars="200"/>
        <w:rPr>
          <w:rFonts w:ascii="Times New Roman" w:eastAsia="仿宋_GB2312" w:cs="Times New Roman"/>
          <w:color w:val="auto"/>
          <w:kern w:val="2"/>
        </w:rPr>
      </w:pPr>
      <w:r>
        <w:rPr>
          <w:rFonts w:hint="eastAsia" w:ascii="Times New Roman" w:eastAsia="仿宋_GB2312" w:cs="Times New Roman"/>
          <w:color w:val="auto"/>
          <w:kern w:val="2"/>
        </w:rPr>
        <w:t>(26)《广东省企业事业单位突发环境事件应急预案编制指南（</w:t>
      </w:r>
      <w:r>
        <w:rPr>
          <w:rFonts w:ascii="Times New Roman" w:eastAsia="仿宋_GB2312" w:cs="Times New Roman"/>
          <w:color w:val="auto"/>
          <w:kern w:val="2"/>
        </w:rPr>
        <w:t>试行</w:t>
      </w:r>
      <w:r>
        <w:rPr>
          <w:rFonts w:hint="eastAsia" w:ascii="Times New Roman" w:eastAsia="仿宋_GB2312" w:cs="Times New Roman"/>
          <w:color w:val="auto"/>
          <w:kern w:val="2"/>
        </w:rPr>
        <w:t>）》粤环办〔</w:t>
      </w:r>
      <w:r>
        <w:rPr>
          <w:rFonts w:ascii="Times New Roman" w:eastAsia="仿宋_GB2312" w:cs="Times New Roman"/>
          <w:color w:val="auto"/>
          <w:kern w:val="2"/>
        </w:rPr>
        <w:t>2020</w:t>
      </w:r>
      <w:r>
        <w:rPr>
          <w:rFonts w:hint="eastAsia" w:ascii="Times New Roman" w:eastAsia="仿宋_GB2312" w:cs="Times New Roman"/>
          <w:color w:val="auto"/>
          <w:kern w:val="2"/>
        </w:rPr>
        <w:t>〕</w:t>
      </w:r>
      <w:r>
        <w:rPr>
          <w:rFonts w:ascii="Times New Roman" w:eastAsia="仿宋_GB2312" w:cs="Times New Roman"/>
          <w:color w:val="auto"/>
          <w:kern w:val="2"/>
        </w:rPr>
        <w:t>51</w:t>
      </w:r>
      <w:r>
        <w:rPr>
          <w:rFonts w:hint="eastAsia" w:ascii="Times New Roman" w:eastAsia="仿宋_GB2312" w:cs="Times New Roman"/>
          <w:color w:val="auto"/>
          <w:kern w:val="2"/>
        </w:rPr>
        <w:t>号；</w:t>
      </w:r>
    </w:p>
    <w:p>
      <w:pPr>
        <w:spacing w:before="120" w:beforeLines="50" w:line="360" w:lineRule="auto"/>
        <w:ind w:firstLine="480" w:firstLineChars="200"/>
        <w:rPr>
          <w:rFonts w:eastAsia="仿宋_GB2312"/>
          <w:sz w:val="24"/>
        </w:rPr>
      </w:pPr>
      <w:r>
        <w:rPr>
          <w:rFonts w:eastAsia="仿宋_GB2312"/>
          <w:sz w:val="24"/>
        </w:rPr>
        <w:t>(</w:t>
      </w:r>
      <w:r>
        <w:rPr>
          <w:rFonts w:hint="eastAsia" w:eastAsia="仿宋_GB2312"/>
          <w:sz w:val="24"/>
        </w:rPr>
        <w:t>27</w:t>
      </w:r>
      <w:r>
        <w:rPr>
          <w:rFonts w:eastAsia="仿宋_GB2312"/>
          <w:sz w:val="24"/>
        </w:rPr>
        <w:t>)《广东省突发事件应对条例》（2010年）；</w:t>
      </w:r>
    </w:p>
    <w:p>
      <w:pPr>
        <w:spacing w:before="120" w:beforeLines="50" w:line="360" w:lineRule="auto"/>
        <w:ind w:firstLine="480" w:firstLineChars="200"/>
        <w:rPr>
          <w:rFonts w:eastAsia="仿宋_GB2312"/>
          <w:sz w:val="24"/>
        </w:rPr>
      </w:pPr>
      <w:r>
        <w:rPr>
          <w:rFonts w:eastAsia="仿宋_GB2312"/>
          <w:sz w:val="24"/>
        </w:rPr>
        <w:t>(</w:t>
      </w:r>
      <w:r>
        <w:rPr>
          <w:rFonts w:hint="eastAsia" w:eastAsia="仿宋_GB2312"/>
          <w:sz w:val="24"/>
        </w:rPr>
        <w:t>28</w:t>
      </w:r>
      <w:r>
        <w:rPr>
          <w:rFonts w:eastAsia="仿宋_GB2312"/>
          <w:sz w:val="24"/>
        </w:rPr>
        <w:t>)《</w:t>
      </w:r>
      <w:r>
        <w:rPr>
          <w:rFonts w:hint="eastAsia" w:eastAsia="仿宋_GB2312"/>
          <w:sz w:val="24"/>
        </w:rPr>
        <w:t xml:space="preserve">广东省人民政府关于印发广东省突发环境事件应急预案的通知 </w:t>
      </w:r>
      <w:r>
        <w:rPr>
          <w:rFonts w:eastAsia="仿宋_GB2312"/>
          <w:sz w:val="24"/>
        </w:rPr>
        <w:t>》（</w:t>
      </w:r>
      <w:r>
        <w:rPr>
          <w:rFonts w:hint="eastAsia" w:eastAsia="仿宋_GB2312"/>
          <w:sz w:val="24"/>
        </w:rPr>
        <w:t>粤府函〔2017〕280号</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w:t>
      </w:r>
      <w:r>
        <w:rPr>
          <w:rFonts w:hint="eastAsia" w:eastAsia="仿宋_GB2312"/>
          <w:sz w:val="24"/>
        </w:rPr>
        <w:t>29</w:t>
      </w:r>
      <w:r>
        <w:rPr>
          <w:rFonts w:eastAsia="仿宋_GB2312"/>
          <w:sz w:val="24"/>
        </w:rPr>
        <w:t>)《</w:t>
      </w:r>
      <w:r>
        <w:rPr>
          <w:rFonts w:hint="eastAsia" w:eastAsia="仿宋_GB2312"/>
          <w:sz w:val="24"/>
        </w:rPr>
        <w:t xml:space="preserve">关于印发广东省环境保护厅突发环境事件应急预案的通知 </w:t>
      </w:r>
      <w:r>
        <w:rPr>
          <w:rFonts w:eastAsia="仿宋_GB2312"/>
          <w:sz w:val="24"/>
        </w:rPr>
        <w:t>》（</w:t>
      </w:r>
      <w:r>
        <w:rPr>
          <w:rFonts w:hint="eastAsia" w:eastAsia="仿宋_GB2312"/>
          <w:sz w:val="24"/>
        </w:rPr>
        <w:t>粤环办〔2017〕80号</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(3</w:t>
      </w:r>
      <w:r>
        <w:rPr>
          <w:rFonts w:hint="eastAsia" w:eastAsia="仿宋_GB2312"/>
          <w:sz w:val="24"/>
        </w:rPr>
        <w:t>0</w:t>
      </w:r>
      <w:r>
        <w:rPr>
          <w:rFonts w:eastAsia="仿宋_GB2312"/>
          <w:sz w:val="24"/>
        </w:rPr>
        <w:t>)《韶关市突发环境事件应急预案》（</w:t>
      </w:r>
      <w:r>
        <w:rPr>
          <w:rFonts w:hint="eastAsia" w:eastAsia="仿宋_GB2312"/>
          <w:sz w:val="24"/>
        </w:rPr>
        <w:t>2021年1月15日发布</w:t>
      </w:r>
      <w:r>
        <w:rPr>
          <w:rFonts w:eastAsia="仿宋_GB2312"/>
          <w:sz w:val="24"/>
        </w:rPr>
        <w:t>）</w:t>
      </w:r>
      <w:r>
        <w:rPr>
          <w:rFonts w:hint="eastAsia" w:eastAsia="仿宋_GB2312"/>
          <w:sz w:val="24"/>
        </w:rPr>
        <w:t>；</w:t>
      </w:r>
    </w:p>
    <w:p>
      <w:pPr>
        <w:spacing w:before="120" w:beforeLines="50" w:line="360" w:lineRule="auto"/>
        <w:ind w:firstLine="480" w:firstLineChars="200"/>
        <w:rPr>
          <w:rFonts w:hint="eastAsia" w:eastAsia="仿宋_GB2312"/>
          <w:sz w:val="24"/>
          <w:lang w:eastAsia="zh-CN"/>
        </w:rPr>
      </w:pPr>
      <w:r>
        <w:rPr>
          <w:rFonts w:eastAsia="仿宋_GB2312"/>
          <w:sz w:val="24"/>
        </w:rPr>
        <w:t>(3</w:t>
      </w:r>
      <w:r>
        <w:rPr>
          <w:rFonts w:hint="eastAsia" w:eastAsia="仿宋_GB2312"/>
          <w:sz w:val="24"/>
        </w:rPr>
        <w:t>1</w:t>
      </w:r>
      <w:r>
        <w:rPr>
          <w:rFonts w:eastAsia="仿宋_GB2312"/>
          <w:sz w:val="24"/>
        </w:rPr>
        <w:t>)《</w:t>
      </w:r>
      <w:r>
        <w:rPr>
          <w:rFonts w:hint="eastAsia" w:ascii="仿宋_GB2312" w:eastAsia="仿宋_GB2312"/>
          <w:sz w:val="24"/>
        </w:rPr>
        <w:t>翁源县突发环境事件应急预案</w:t>
      </w:r>
      <w:r>
        <w:rPr>
          <w:rFonts w:eastAsia="仿宋_GB2312"/>
          <w:sz w:val="24"/>
        </w:rPr>
        <w:t>》</w:t>
      </w:r>
      <w:r>
        <w:rPr>
          <w:rFonts w:hint="eastAsia" w:eastAsia="仿宋_GB2312"/>
          <w:sz w:val="24"/>
          <w:lang w:eastAsia="zh-CN"/>
        </w:rPr>
        <w:t>；</w:t>
      </w:r>
    </w:p>
    <w:p>
      <w:pPr>
        <w:spacing w:before="120" w:beforeLines="50" w:line="360" w:lineRule="auto"/>
        <w:ind w:firstLine="480" w:firstLineChars="200"/>
        <w:rPr>
          <w:rFonts w:hint="eastAsia" w:eastAsia="仿宋_GB2312"/>
          <w:sz w:val="24"/>
          <w:lang w:eastAsia="zh-CN"/>
        </w:rPr>
      </w:pPr>
      <w:r>
        <w:rPr>
          <w:rFonts w:eastAsia="仿宋_GB2312"/>
          <w:sz w:val="24"/>
        </w:rPr>
        <w:t>(3</w:t>
      </w:r>
      <w:r>
        <w:rPr>
          <w:rFonts w:hint="eastAsia" w:eastAsia="仿宋_GB2312"/>
          <w:sz w:val="24"/>
          <w:lang w:val="en-US" w:eastAsia="zh-CN"/>
        </w:rPr>
        <w:t>2</w:t>
      </w:r>
      <w:r>
        <w:rPr>
          <w:rFonts w:eastAsia="仿宋_GB2312"/>
          <w:sz w:val="24"/>
        </w:rPr>
        <w:t>)</w:t>
      </w:r>
      <w:r>
        <w:rPr>
          <w:rFonts w:hint="eastAsia" w:eastAsia="仿宋_GB2312"/>
          <w:sz w:val="24"/>
        </w:rPr>
        <w:t>《广东翁源经济开发区突发环境事件应急预案》</w:t>
      </w:r>
      <w:r>
        <w:rPr>
          <w:rFonts w:hint="eastAsia" w:eastAsia="仿宋_GB2312"/>
          <w:sz w:val="24"/>
          <w:lang w:eastAsia="zh-CN"/>
        </w:rPr>
        <w:t>。</w:t>
      </w:r>
    </w:p>
    <w:p>
      <w:pPr>
        <w:spacing w:before="120" w:beforeLines="50" w:line="360" w:lineRule="auto"/>
        <w:ind w:firstLine="480" w:firstLineChars="200"/>
        <w:rPr>
          <w:rFonts w:eastAsia="仿宋_GB2312"/>
          <w:sz w:val="24"/>
        </w:rPr>
      </w:pPr>
    </w:p>
    <w:p>
      <w:pPr>
        <w:spacing w:before="120" w:beforeLines="50" w:line="360" w:lineRule="auto"/>
        <w:outlineLvl w:val="2"/>
        <w:rPr>
          <w:b/>
          <w:sz w:val="28"/>
          <w:szCs w:val="28"/>
        </w:rPr>
      </w:pPr>
      <w:bookmarkStart w:id="13" w:name="_Toc27523"/>
      <w:r>
        <w:rPr>
          <w:b/>
          <w:sz w:val="28"/>
          <w:szCs w:val="28"/>
        </w:rPr>
        <w:t>1.2.2 项目依据</w:t>
      </w:r>
      <w:bookmarkEnd w:id="13"/>
    </w:p>
    <w:p>
      <w:pPr>
        <w:keepNext w:val="0"/>
        <w:keepLines w:val="0"/>
        <w:pageBreakBefore w:val="0"/>
        <w:widowControl w:val="0"/>
        <w:kinsoku/>
        <w:wordWrap/>
        <w:overflowPunct/>
        <w:topLinePunct w:val="0"/>
        <w:bidi w:val="0"/>
        <w:adjustRightInd w:val="0"/>
        <w:snapToGrid w:val="0"/>
        <w:spacing w:before="157" w:beforeLines="50" w:line="360" w:lineRule="auto"/>
        <w:ind w:firstLine="480"/>
        <w:textAlignment w:val="auto"/>
        <w:rPr>
          <w:rFonts w:hint="eastAsia" w:ascii="仿宋_GB2312" w:eastAsia="仿宋_GB2312"/>
          <w:sz w:val="24"/>
          <w:szCs w:val="24"/>
        </w:rPr>
      </w:pPr>
      <w:r>
        <w:rPr>
          <w:rFonts w:hint="eastAsia" w:ascii="仿宋_GB2312" w:eastAsia="仿宋_GB2312"/>
          <w:sz w:val="24"/>
          <w:szCs w:val="24"/>
        </w:rPr>
        <w:t>（1）《</w:t>
      </w:r>
      <w:r>
        <w:rPr>
          <w:rFonts w:hint="eastAsia" w:ascii="仿宋_GB2312" w:eastAsia="仿宋_GB2312"/>
          <w:sz w:val="24"/>
          <w:szCs w:val="24"/>
          <w:lang w:eastAsia="zh-CN"/>
        </w:rPr>
        <w:t>翁源县中源发展有限公司 5000t/d 熟料水泥生产线建设工程环境影响报告书</w:t>
      </w:r>
      <w:r>
        <w:rPr>
          <w:rFonts w:hint="eastAsia" w:ascii="仿宋_GB2312" w:eastAsia="仿宋_GB2312"/>
          <w:sz w:val="24"/>
          <w:szCs w:val="24"/>
        </w:rPr>
        <w:t>》及其批复；</w:t>
      </w:r>
    </w:p>
    <w:p>
      <w:pPr>
        <w:keepNext w:val="0"/>
        <w:keepLines w:val="0"/>
        <w:pageBreakBefore w:val="0"/>
        <w:widowControl w:val="0"/>
        <w:kinsoku/>
        <w:wordWrap/>
        <w:overflowPunct/>
        <w:topLinePunct w:val="0"/>
        <w:bidi w:val="0"/>
        <w:adjustRightInd w:val="0"/>
        <w:snapToGrid w:val="0"/>
        <w:spacing w:before="157" w:beforeLines="50" w:line="360" w:lineRule="auto"/>
        <w:ind w:firstLine="480"/>
        <w:textAlignment w:val="auto"/>
        <w:rPr>
          <w:rFonts w:hint="eastAsia" w:ascii="仿宋_GB2312" w:eastAsia="仿宋_GB2312"/>
          <w:sz w:val="24"/>
          <w:szCs w:val="24"/>
        </w:rPr>
      </w:pPr>
      <w:r>
        <w:rPr>
          <w:rFonts w:hint="eastAsia" w:ascii="仿宋_GB2312" w:eastAsia="仿宋_GB2312"/>
          <w:sz w:val="24"/>
          <w:szCs w:val="24"/>
        </w:rPr>
        <w:t>（2）《</w:t>
      </w:r>
      <w:r>
        <w:rPr>
          <w:rFonts w:hint="eastAsia" w:ascii="仿宋_GB2312" w:eastAsia="仿宋_GB2312"/>
          <w:sz w:val="24"/>
          <w:szCs w:val="24"/>
          <w:lang w:eastAsia="zh-CN"/>
        </w:rPr>
        <w:t>翁源县中源发展有限公司</w:t>
      </w:r>
      <w:r>
        <w:rPr>
          <w:rFonts w:hint="eastAsia" w:ascii="仿宋_GB2312" w:eastAsia="仿宋_GB2312"/>
          <w:sz w:val="24"/>
          <w:szCs w:val="24"/>
          <w:lang w:val="en-US" w:eastAsia="zh-CN"/>
        </w:rPr>
        <w:t>改扩建4000t/d石灰石及石灰石粉生产线项目环境影响报告表</w:t>
      </w:r>
      <w:r>
        <w:rPr>
          <w:rFonts w:hint="eastAsia" w:ascii="仿宋_GB2312" w:eastAsia="仿宋_GB2312"/>
          <w:sz w:val="24"/>
          <w:szCs w:val="24"/>
        </w:rPr>
        <w:t>》及其批复；</w:t>
      </w:r>
    </w:p>
    <w:p>
      <w:pPr>
        <w:pStyle w:val="2"/>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hint="default" w:eastAsia="仿宋_GB2312"/>
          <w:lang w:val="en-US" w:eastAsia="zh-CN"/>
        </w:rPr>
      </w:pPr>
      <w:r>
        <w:rPr>
          <w:rFonts w:hint="eastAsia" w:ascii="仿宋_GB2312" w:eastAsia="仿宋_GB2312"/>
          <w:sz w:val="24"/>
          <w:szCs w:val="24"/>
          <w:lang w:eastAsia="zh-CN"/>
        </w:rPr>
        <w:t>（</w:t>
      </w:r>
      <w:r>
        <w:rPr>
          <w:rFonts w:hint="eastAsia" w:ascii="仿宋_GB2312" w:eastAsia="仿宋_GB2312"/>
          <w:sz w:val="24"/>
          <w:szCs w:val="24"/>
          <w:lang w:val="en-US" w:eastAsia="zh-CN"/>
        </w:rPr>
        <w:t>3</w:t>
      </w:r>
      <w:r>
        <w:rPr>
          <w:rFonts w:hint="eastAsia" w:ascii="仿宋_GB2312" w:eastAsia="仿宋_GB2312"/>
          <w:sz w:val="24"/>
          <w:szCs w:val="24"/>
          <w:lang w:eastAsia="zh-CN"/>
        </w:rPr>
        <w:t>）</w:t>
      </w:r>
      <w:r>
        <w:rPr>
          <w:rFonts w:hint="eastAsia" w:ascii="仿宋_GB2312" w:eastAsia="仿宋_GB2312"/>
          <w:sz w:val="24"/>
          <w:szCs w:val="24"/>
        </w:rPr>
        <w:t>《</w:t>
      </w:r>
      <w:r>
        <w:rPr>
          <w:rFonts w:hint="eastAsia" w:ascii="仿宋_GB2312" w:eastAsia="仿宋_GB2312"/>
          <w:sz w:val="24"/>
          <w:szCs w:val="24"/>
          <w:lang w:eastAsia="zh-CN"/>
        </w:rPr>
        <w:t>翁源县中源发展有限公司</w:t>
      </w:r>
      <w:r>
        <w:rPr>
          <w:rFonts w:hint="eastAsia" w:ascii="仿宋_GB2312" w:eastAsia="仿宋_GB2312"/>
          <w:sz w:val="24"/>
          <w:szCs w:val="24"/>
          <w:lang w:val="en-US" w:eastAsia="zh-CN"/>
        </w:rPr>
        <w:t>突发环境事件应急预案</w:t>
      </w:r>
      <w:r>
        <w:rPr>
          <w:rFonts w:hint="eastAsia" w:ascii="仿宋_GB2312" w:eastAsia="仿宋_GB2312"/>
          <w:sz w:val="24"/>
          <w:szCs w:val="24"/>
        </w:rPr>
        <w:t>》</w:t>
      </w:r>
      <w:r>
        <w:rPr>
          <w:rFonts w:hint="eastAsia" w:ascii="仿宋_GB2312" w:eastAsia="仿宋_GB2312"/>
          <w:sz w:val="24"/>
          <w:szCs w:val="24"/>
          <w:lang w:eastAsia="zh-CN"/>
        </w:rPr>
        <w:t>）（</w:t>
      </w:r>
      <w:r>
        <w:rPr>
          <w:rFonts w:hint="eastAsia" w:ascii="仿宋_GB2312" w:eastAsia="仿宋_GB2312"/>
          <w:sz w:val="24"/>
          <w:szCs w:val="24"/>
          <w:lang w:val="en-US" w:eastAsia="zh-CN"/>
        </w:rPr>
        <w:t>2019版</w:t>
      </w:r>
      <w:r>
        <w:rPr>
          <w:rFonts w:hint="eastAsia" w:ascii="仿宋_GB2312" w:eastAsia="仿宋_GB2312"/>
          <w:sz w:val="24"/>
          <w:szCs w:val="24"/>
          <w:lang w:eastAsia="zh-CN"/>
        </w:rPr>
        <w:t>）；</w:t>
      </w:r>
    </w:p>
    <w:p>
      <w:pPr>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hint="eastAsia" w:ascii="仿宋_GB2312" w:eastAsia="仿宋_GB2312"/>
          <w:sz w:val="24"/>
          <w:szCs w:val="24"/>
          <w:lang w:val="en-US" w:eastAsia="zh-CN"/>
        </w:rPr>
      </w:pPr>
      <w:r>
        <w:rPr>
          <w:rFonts w:hint="eastAsia" w:ascii="仿宋_GB2312" w:eastAsia="仿宋_GB2312"/>
          <w:sz w:val="24"/>
          <w:szCs w:val="24"/>
        </w:rPr>
        <w:t>（</w:t>
      </w:r>
      <w:r>
        <w:rPr>
          <w:rFonts w:hint="eastAsia" w:ascii="仿宋_GB2312" w:eastAsia="仿宋_GB2312"/>
          <w:sz w:val="24"/>
          <w:szCs w:val="24"/>
          <w:lang w:val="en-US" w:eastAsia="zh-CN"/>
        </w:rPr>
        <w:t>4</w:t>
      </w:r>
      <w:r>
        <w:rPr>
          <w:rFonts w:hint="eastAsia" w:ascii="仿宋_GB2312" w:eastAsia="仿宋_GB2312"/>
          <w:sz w:val="24"/>
          <w:szCs w:val="24"/>
        </w:rPr>
        <w:t>）现场勘察资料</w:t>
      </w:r>
      <w:r>
        <w:rPr>
          <w:rFonts w:hint="eastAsia" w:ascii="仿宋_GB2312" w:eastAsia="仿宋_GB2312"/>
          <w:sz w:val="24"/>
          <w:szCs w:val="24"/>
          <w:lang w:eastAsia="zh-CN"/>
        </w:rPr>
        <w:t>。</w:t>
      </w:r>
    </w:p>
    <w:p>
      <w:pPr>
        <w:spacing w:before="120" w:beforeLines="50" w:line="360" w:lineRule="auto"/>
        <w:outlineLvl w:val="1"/>
        <w:rPr>
          <w:b/>
          <w:sz w:val="30"/>
          <w:szCs w:val="30"/>
        </w:rPr>
      </w:pPr>
      <w:bookmarkStart w:id="14" w:name="_Toc4284"/>
      <w:r>
        <w:rPr>
          <w:b/>
          <w:sz w:val="30"/>
          <w:szCs w:val="30"/>
        </w:rPr>
        <w:t>1.3适用范围</w:t>
      </w:r>
      <w:bookmarkEnd w:id="14"/>
    </w:p>
    <w:p>
      <w:pPr>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本预案适用</w:t>
      </w:r>
      <w:r>
        <w:rPr>
          <w:rFonts w:hint="eastAsia" w:ascii="仿宋_GB2312" w:hAnsi="仿宋_GB2312" w:eastAsia="仿宋_GB2312" w:cs="仿宋_GB2312"/>
          <w:sz w:val="24"/>
          <w:szCs w:val="24"/>
          <w:lang w:eastAsia="zh-CN"/>
        </w:rPr>
        <w:t>翁源县中源发展有限公司</w:t>
      </w:r>
      <w:r>
        <w:rPr>
          <w:rFonts w:hint="eastAsia" w:ascii="仿宋_GB2312" w:hAnsi="仿宋_GB2312" w:eastAsia="仿宋_GB2312" w:cs="仿宋_GB2312"/>
          <w:sz w:val="24"/>
          <w:szCs w:val="24"/>
        </w:rPr>
        <w:t>危险化学品生产、使用、储存等过 程中发生的和可能发生的突发环境事件的预防预警、应急救援处置工作。超出本应急预案应急能力，则与上级政府主管部门发布的其他应急预案衔接，当上级预案启动后，本预案作为辅助执行。具体包括：</w:t>
      </w:r>
    </w:p>
    <w:p>
      <w:pPr>
        <w:pStyle w:val="2"/>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（1）由各种自然或人为因素（如雷电天气、电路故障、违规作业等）引起的火灾、爆炸事故，导致财产损失、环境污染以及人员健康危害；</w:t>
      </w:r>
    </w:p>
    <w:p>
      <w:pPr>
        <w:pStyle w:val="2"/>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（2）由各种自然或人为因素（如管道、设备、容器破损、操作不当、极端天气等）导致的环境风险物质泄漏（主要为化学品及危险废物），造成环境污染和人员健康危害；</w:t>
      </w:r>
    </w:p>
    <w:p>
      <w:pPr>
        <w:pStyle w:val="2"/>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污染治理设施（主要为废水收集设施及废气处理设施、固废暂存设施）由各种自然或人为因素（如极端天气、管道、设备、容器破损、系统故障、操作不当等）运转不正常造成污染物泄漏或事故排放，造成环境污染等情况。</w:t>
      </w:r>
    </w:p>
    <w:p>
      <w:pPr>
        <w:spacing w:before="120" w:beforeLines="50" w:line="360" w:lineRule="auto"/>
        <w:outlineLvl w:val="1"/>
        <w:rPr>
          <w:b/>
          <w:sz w:val="30"/>
          <w:szCs w:val="30"/>
        </w:rPr>
      </w:pPr>
      <w:bookmarkStart w:id="15" w:name="_Toc14754"/>
      <w:r>
        <w:rPr>
          <w:b/>
          <w:sz w:val="30"/>
          <w:szCs w:val="30"/>
        </w:rPr>
        <w:t>1.</w:t>
      </w:r>
      <w:r>
        <w:rPr>
          <w:rFonts w:hint="eastAsia"/>
          <w:b/>
          <w:sz w:val="30"/>
          <w:szCs w:val="30"/>
        </w:rPr>
        <w:t>4</w:t>
      </w:r>
      <w:r>
        <w:rPr>
          <w:b/>
          <w:sz w:val="30"/>
          <w:szCs w:val="30"/>
        </w:rPr>
        <w:t>突发环境事件的分级</w:t>
      </w:r>
      <w:bookmarkEnd w:id="15"/>
    </w:p>
    <w:p>
      <w:pPr>
        <w:spacing w:before="120" w:beforeLines="50" w:line="360" w:lineRule="auto"/>
        <w:ind w:firstLine="480" w:firstLineChars="200"/>
        <w:rPr>
          <w:rFonts w:eastAsia="仿宋_GB2312"/>
          <w:sz w:val="24"/>
        </w:rPr>
      </w:pPr>
      <w:r>
        <w:rPr>
          <w:rFonts w:eastAsia="仿宋_GB2312"/>
          <w:sz w:val="24"/>
        </w:rPr>
        <w:t>按照事件灾难可控性、后果的严重性、影响范围和紧急程度，本公司突发环境事件从低到高依次分为三级。</w:t>
      </w:r>
    </w:p>
    <w:p>
      <w:pPr>
        <w:pStyle w:val="65"/>
        <w:numPr>
          <w:ilvl w:val="0"/>
          <w:numId w:val="1"/>
        </w:numPr>
        <w:spacing w:before="120" w:beforeLines="50" w:line="360" w:lineRule="auto"/>
        <w:ind w:firstLineChars="0"/>
        <w:rPr>
          <w:rFonts w:eastAsia="仿宋_GB2312"/>
          <w:sz w:val="24"/>
        </w:rPr>
      </w:pPr>
      <w:r>
        <w:rPr>
          <w:rFonts w:hint="eastAsia" w:eastAsia="仿宋_GB2312"/>
          <w:sz w:val="24"/>
        </w:rPr>
        <w:t>车间</w:t>
      </w:r>
      <w:r>
        <w:rPr>
          <w:rFonts w:eastAsia="仿宋_GB2312"/>
          <w:sz w:val="24"/>
        </w:rPr>
        <w:t>级（三级）</w:t>
      </w:r>
    </w:p>
    <w:p>
      <w:pPr>
        <w:spacing w:before="120" w:beforeLines="50" w:line="360" w:lineRule="auto"/>
        <w:ind w:firstLine="480" w:firstLineChars="200"/>
        <w:rPr>
          <w:rFonts w:eastAsia="仿宋_GB2312"/>
          <w:sz w:val="24"/>
        </w:rPr>
      </w:pPr>
      <w:r>
        <w:rPr>
          <w:rFonts w:hint="eastAsia" w:eastAsia="仿宋_GB2312"/>
          <w:sz w:val="24"/>
        </w:rPr>
        <w:t>车间</w:t>
      </w:r>
      <w:r>
        <w:rPr>
          <w:rFonts w:eastAsia="仿宋_GB2312"/>
          <w:sz w:val="24"/>
        </w:rPr>
        <w:t>级环境事件属于一般突发环境事件，事件发生的初期，或事件后果的严重性和影响范围处于发生事故企业可控状态。</w:t>
      </w:r>
      <w:r>
        <w:rPr>
          <w:rFonts w:hint="eastAsia" w:eastAsia="仿宋_GB2312"/>
          <w:sz w:val="24"/>
        </w:rPr>
        <w:t>发生以下事 件为车间级突环境件：</w:t>
      </w:r>
    </w:p>
    <w:p>
      <w:pPr>
        <w:spacing w:before="120" w:beforeLines="50" w:line="360" w:lineRule="auto"/>
        <w:ind w:firstLine="480" w:firstLineChars="200"/>
        <w:rPr>
          <w:rFonts w:eastAsia="仿宋_GB2312"/>
          <w:sz w:val="24"/>
        </w:rPr>
      </w:pPr>
      <w:r>
        <w:rPr>
          <w:rFonts w:hint="eastAsia" w:eastAsia="仿宋_GB2312"/>
          <w:sz w:val="24"/>
        </w:rPr>
        <w:t>①车间、仓库或储罐化学品发生泄漏，但泄漏液并未排到车间或仓库外，且并未下渗的；</w:t>
      </w:r>
    </w:p>
    <w:p>
      <w:pPr>
        <w:spacing w:before="120" w:beforeLines="50" w:line="360" w:lineRule="auto"/>
        <w:ind w:firstLine="480" w:firstLineChars="200"/>
        <w:rPr>
          <w:rFonts w:eastAsia="仿宋_GB2312"/>
          <w:sz w:val="24"/>
        </w:rPr>
      </w:pPr>
      <w:r>
        <w:rPr>
          <w:rFonts w:hint="eastAsia" w:eastAsia="仿宋_GB2312"/>
          <w:sz w:val="24"/>
        </w:rPr>
        <w:t>②车间原料输送管道发生破损事故，但能及时修补并未对车间外环境造成影响的；</w:t>
      </w:r>
    </w:p>
    <w:p>
      <w:pPr>
        <w:spacing w:before="120" w:beforeLines="50" w:line="360" w:lineRule="auto"/>
        <w:ind w:firstLine="480" w:firstLineChars="200"/>
        <w:rPr>
          <w:rFonts w:eastAsia="仿宋_GB2312"/>
          <w:sz w:val="24"/>
        </w:rPr>
      </w:pPr>
      <w:r>
        <w:rPr>
          <w:rFonts w:hint="eastAsia" w:eastAsia="仿宋_GB2312"/>
          <w:sz w:val="24"/>
        </w:rPr>
        <w:t>注：以上事故的界定前提是在事故中并未发生人员伤亡。</w:t>
      </w:r>
    </w:p>
    <w:p>
      <w:pPr>
        <w:pStyle w:val="65"/>
        <w:numPr>
          <w:ilvl w:val="0"/>
          <w:numId w:val="1"/>
        </w:numPr>
        <w:spacing w:before="120" w:beforeLines="50" w:line="360" w:lineRule="auto"/>
        <w:ind w:firstLineChars="0"/>
        <w:rPr>
          <w:rFonts w:eastAsia="仿宋"/>
          <w:sz w:val="28"/>
          <w:szCs w:val="28"/>
        </w:rPr>
      </w:pPr>
      <w:r>
        <w:rPr>
          <w:rFonts w:hint="eastAsia" w:eastAsia="仿宋_GB2312"/>
          <w:sz w:val="24"/>
        </w:rPr>
        <w:t>厂区级</w:t>
      </w:r>
      <w:r>
        <w:rPr>
          <w:rFonts w:eastAsia="仿宋_GB2312"/>
          <w:sz w:val="24"/>
        </w:rPr>
        <w:t>（二级）</w:t>
      </w:r>
    </w:p>
    <w:p>
      <w:pPr>
        <w:spacing w:before="120" w:beforeLines="50" w:line="360" w:lineRule="auto"/>
        <w:ind w:firstLine="480" w:firstLineChars="200"/>
        <w:rPr>
          <w:rFonts w:eastAsia="仿宋_GB2312"/>
          <w:sz w:val="24"/>
        </w:rPr>
      </w:pPr>
      <w:r>
        <w:rPr>
          <w:rFonts w:hint="eastAsia" w:eastAsia="仿宋_GB2312"/>
          <w:sz w:val="24"/>
        </w:rPr>
        <w:t>厂区级环境事件属于较大突发环境事件，事件后果严重性或影响范围超出事件现场的控制能力，但还在公司的控制范围内，未对外部环境造成污染。发生以 下事件为</w:t>
      </w:r>
      <w:r>
        <w:rPr>
          <w:rFonts w:hint="eastAsia" w:eastAsia="仿宋_GB2312"/>
          <w:sz w:val="24"/>
          <w:lang w:val="en-US" w:eastAsia="zh-CN"/>
        </w:rPr>
        <w:t>厂区</w:t>
      </w:r>
      <w:r>
        <w:rPr>
          <w:rFonts w:hint="eastAsia" w:eastAsia="仿宋_GB2312"/>
          <w:sz w:val="24"/>
        </w:rPr>
        <w:t>级突发环境：</w:t>
      </w:r>
    </w:p>
    <w:p>
      <w:pPr>
        <w:spacing w:before="120" w:beforeLines="50" w:line="360" w:lineRule="auto"/>
        <w:ind w:firstLine="480" w:firstLineChars="200"/>
        <w:rPr>
          <w:rFonts w:eastAsia="仿宋_GB2312"/>
          <w:sz w:val="24"/>
        </w:rPr>
      </w:pPr>
      <w:r>
        <w:rPr>
          <w:rFonts w:hint="eastAsia" w:eastAsia="仿宋_GB2312"/>
          <w:sz w:val="24"/>
        </w:rPr>
        <w:t>①车间或仓库发生化学品泄漏事故，导致泄漏液流出车间、仓库的；</w:t>
      </w:r>
    </w:p>
    <w:p>
      <w:pPr>
        <w:spacing w:before="120" w:beforeLines="50" w:line="360" w:lineRule="auto"/>
        <w:ind w:firstLine="480" w:firstLineChars="200"/>
        <w:rPr>
          <w:rFonts w:eastAsia="仿宋_GB2312"/>
          <w:sz w:val="24"/>
        </w:rPr>
      </w:pPr>
      <w:r>
        <w:rPr>
          <w:rFonts w:hint="eastAsia" w:eastAsia="仿宋_GB2312"/>
          <w:sz w:val="24"/>
        </w:rPr>
        <w:t>②化学品等在厂区范围内运输过程中发生倾倒事故，但泄漏液并未排除场外 或未下渗的；</w:t>
      </w:r>
    </w:p>
    <w:p>
      <w:pPr>
        <w:spacing w:before="120" w:beforeLines="50" w:line="360" w:lineRule="auto"/>
        <w:ind w:firstLine="480" w:firstLineChars="200"/>
        <w:rPr>
          <w:rFonts w:eastAsia="仿宋_GB2312"/>
          <w:sz w:val="24"/>
        </w:rPr>
      </w:pPr>
      <w:r>
        <w:rPr>
          <w:rFonts w:hint="eastAsia" w:eastAsia="仿宋_GB2312"/>
          <w:sz w:val="24"/>
        </w:rPr>
        <w:t>③因公司生产装置的设备、管道阀门泵失灵或故障，导致化学品泄漏，但泄液并未下渗的；</w:t>
      </w:r>
    </w:p>
    <w:p>
      <w:pPr>
        <w:spacing w:before="120" w:beforeLines="50" w:line="360" w:lineRule="auto"/>
        <w:ind w:firstLine="480" w:firstLineChars="200"/>
        <w:rPr>
          <w:rFonts w:eastAsia="仿宋_GB2312"/>
          <w:sz w:val="24"/>
        </w:rPr>
      </w:pPr>
      <w:r>
        <w:rPr>
          <w:rFonts w:hint="eastAsia" w:eastAsia="仿宋_GB2312"/>
          <w:sz w:val="24"/>
        </w:rPr>
        <w:t>④因公司发生小型火灾事故而造成环境污染，但能及时有效控制在厂区范围 内，未对厂外环境造成影响的；</w:t>
      </w:r>
    </w:p>
    <w:p>
      <w:pPr>
        <w:spacing w:before="120" w:beforeLines="50" w:line="360" w:lineRule="auto"/>
        <w:ind w:firstLine="480" w:firstLineChars="200"/>
        <w:rPr>
          <w:rFonts w:eastAsia="仿宋_GB2312"/>
          <w:sz w:val="24"/>
        </w:rPr>
      </w:pPr>
      <w:r>
        <w:rPr>
          <w:rFonts w:hint="eastAsia" w:eastAsia="仿宋_GB2312"/>
          <w:sz w:val="24"/>
        </w:rPr>
        <w:t>注：以上事故的界定前提是在事故中并未发生人员伤亡。</w:t>
      </w:r>
    </w:p>
    <w:p>
      <w:pPr>
        <w:pStyle w:val="65"/>
        <w:numPr>
          <w:ilvl w:val="0"/>
          <w:numId w:val="1"/>
        </w:numPr>
        <w:spacing w:before="120" w:beforeLines="50" w:line="360" w:lineRule="auto"/>
        <w:ind w:firstLineChars="0"/>
        <w:rPr>
          <w:rFonts w:eastAsia="仿宋_GB2312"/>
          <w:sz w:val="24"/>
        </w:rPr>
      </w:pPr>
      <w:r>
        <w:rPr>
          <w:rFonts w:eastAsia="仿宋_GB2312"/>
          <w:sz w:val="24"/>
        </w:rPr>
        <w:t>社会级（一级）</w:t>
      </w:r>
    </w:p>
    <w:p>
      <w:pPr>
        <w:spacing w:before="120" w:beforeLines="50" w:line="360" w:lineRule="auto"/>
        <w:ind w:firstLine="480" w:firstLineChars="200"/>
        <w:rPr>
          <w:rFonts w:eastAsia="仿宋_GB2312"/>
          <w:sz w:val="24"/>
        </w:rPr>
      </w:pPr>
      <w:r>
        <w:rPr>
          <w:rFonts w:hint="eastAsia" w:eastAsia="仿宋_GB2312"/>
          <w:sz w:val="24"/>
        </w:rPr>
        <w:t>社会级环境事件属于重大突发环境事件，环境污染事故超出了本公司的控制能力，需要扩大应急，启动地方政府突发环境应急预案。</w:t>
      </w:r>
    </w:p>
    <w:p>
      <w:pPr>
        <w:spacing w:before="120" w:beforeLines="50" w:line="360" w:lineRule="auto"/>
        <w:ind w:firstLine="480" w:firstLineChars="200"/>
        <w:rPr>
          <w:rFonts w:eastAsia="仿宋_GB2312"/>
          <w:sz w:val="24"/>
        </w:rPr>
      </w:pPr>
      <w:r>
        <w:rPr>
          <w:rFonts w:hint="eastAsia" w:eastAsia="仿宋_GB2312"/>
          <w:sz w:val="24"/>
        </w:rPr>
        <w:t>①化学品的较大泄漏事故，处理不慎或发现及时导致泄漏液排出厂外造成环境污染的；</w:t>
      </w:r>
    </w:p>
    <w:p>
      <w:pPr>
        <w:spacing w:before="120" w:beforeLines="50" w:line="360" w:lineRule="auto"/>
        <w:ind w:firstLine="480" w:firstLineChars="200"/>
        <w:rPr>
          <w:rFonts w:eastAsia="仿宋_GB2312"/>
          <w:sz w:val="24"/>
        </w:rPr>
      </w:pPr>
      <w:r>
        <w:rPr>
          <w:rFonts w:hint="eastAsia" w:eastAsia="仿宋_GB2312"/>
          <w:sz w:val="24"/>
        </w:rPr>
        <w:t>②化学品在厂区范围内运输过程中发生倾倒事故，处理不当导致泄漏液排出 厂外的；</w:t>
      </w:r>
    </w:p>
    <w:p>
      <w:pPr>
        <w:spacing w:before="120" w:beforeLines="50" w:line="360" w:lineRule="auto"/>
        <w:ind w:firstLine="480" w:firstLineChars="200"/>
        <w:rPr>
          <w:rFonts w:eastAsia="仿宋_GB2312"/>
          <w:sz w:val="24"/>
        </w:rPr>
      </w:pPr>
      <w:r>
        <w:rPr>
          <w:rFonts w:hint="eastAsia" w:eastAsia="仿宋_GB2312"/>
          <w:sz w:val="24"/>
        </w:rPr>
        <w:t>③公司发生火灾爆炸事故产含化学品的消防废水四处流溢，排出厂外对外界环境造成污染的；</w:t>
      </w:r>
    </w:p>
    <w:p>
      <w:pPr>
        <w:pStyle w:val="2"/>
        <w:spacing w:line="360" w:lineRule="auto"/>
        <w:ind w:firstLine="480" w:firstLineChars="200"/>
        <w:rPr>
          <w:rFonts w:eastAsia="仿宋_GB2312"/>
        </w:rPr>
      </w:pPr>
      <w:r>
        <w:rPr>
          <w:rFonts w:hint="eastAsia" w:eastAsia="仿宋_GB2312"/>
        </w:rPr>
        <w:t>④自然灾害（如地震、洪涝台风等）造成的环境污染事故。</w:t>
      </w:r>
    </w:p>
    <w:p>
      <w:pPr>
        <w:adjustRightInd w:val="0"/>
        <w:snapToGrid w:val="0"/>
        <w:spacing w:before="120" w:beforeLines="50" w:line="360" w:lineRule="auto"/>
        <w:outlineLvl w:val="1"/>
        <w:rPr>
          <w:b/>
          <w:sz w:val="30"/>
          <w:szCs w:val="30"/>
        </w:rPr>
      </w:pPr>
      <w:bookmarkStart w:id="16" w:name="_Toc17647"/>
      <w:r>
        <w:rPr>
          <w:b/>
          <w:sz w:val="30"/>
          <w:szCs w:val="30"/>
        </w:rPr>
        <w:t>1.</w:t>
      </w:r>
      <w:r>
        <w:rPr>
          <w:rFonts w:hint="eastAsia"/>
          <w:b/>
          <w:sz w:val="30"/>
          <w:szCs w:val="30"/>
        </w:rPr>
        <w:t>5工作原则</w:t>
      </w:r>
      <w:bookmarkEnd w:id="16"/>
    </w:p>
    <w:p>
      <w:pPr>
        <w:spacing w:before="120" w:beforeLines="50" w:line="360" w:lineRule="auto"/>
        <w:ind w:firstLine="480" w:firstLineChars="200"/>
        <w:rPr>
          <w:rFonts w:eastAsia="仿宋_GB2312"/>
          <w:sz w:val="24"/>
        </w:rPr>
      </w:pPr>
      <w:r>
        <w:rPr>
          <w:rFonts w:hint="eastAsia" w:eastAsia="仿宋_GB2312"/>
          <w:sz w:val="24"/>
        </w:rPr>
        <w:t>（1）救人第一，以人为本</w:t>
      </w:r>
    </w:p>
    <w:p>
      <w:pPr>
        <w:spacing w:before="120" w:beforeLines="50" w:line="360" w:lineRule="auto"/>
        <w:ind w:firstLine="480" w:firstLineChars="200"/>
        <w:rPr>
          <w:rFonts w:eastAsia="仿宋_GB2312"/>
          <w:sz w:val="24"/>
        </w:rPr>
      </w:pPr>
      <w:r>
        <w:rPr>
          <w:rFonts w:hint="eastAsia" w:eastAsia="仿宋_GB2312"/>
          <w:sz w:val="24"/>
        </w:rPr>
        <w:t>在人员生命、健康受到威胁的时候，要本着“救人第一”的原则，最大程度地保障企业人员和周边群众健康和生命安全。</w:t>
      </w:r>
    </w:p>
    <w:p>
      <w:pPr>
        <w:spacing w:before="120" w:beforeLines="50" w:line="360" w:lineRule="auto"/>
        <w:ind w:firstLine="480" w:firstLineChars="200"/>
        <w:rPr>
          <w:rFonts w:eastAsia="仿宋_GB2312"/>
          <w:sz w:val="24"/>
        </w:rPr>
      </w:pPr>
      <w:r>
        <w:rPr>
          <w:rFonts w:hint="eastAsia" w:eastAsia="仿宋_GB2312"/>
          <w:sz w:val="24"/>
        </w:rPr>
        <w:t>（2）统一领导，分类管理，分级响应</w:t>
      </w:r>
    </w:p>
    <w:p>
      <w:pPr>
        <w:spacing w:before="120" w:beforeLines="50" w:line="360" w:lineRule="auto"/>
        <w:ind w:firstLine="480" w:firstLineChars="200"/>
        <w:rPr>
          <w:rFonts w:eastAsia="仿宋_GB2312"/>
          <w:sz w:val="24"/>
        </w:rPr>
      </w:pPr>
      <w:r>
        <w:rPr>
          <w:rFonts w:hint="eastAsia" w:eastAsia="仿宋_GB2312"/>
          <w:sz w:val="24"/>
        </w:rPr>
        <w:t>加强企业各部门之间协同与合作，提高快速反应能力。针对不同风险源所造成的的环境污染的特点，实行分类管理，充分发挥部门专业优势，使采取的措施与突发环境事造成的危害范围和社会影响相适应。</w:t>
      </w:r>
    </w:p>
    <w:p>
      <w:pPr>
        <w:spacing w:before="120" w:beforeLines="50" w:line="360" w:lineRule="auto"/>
        <w:ind w:firstLine="480" w:firstLineChars="200"/>
        <w:rPr>
          <w:rFonts w:eastAsia="仿宋_GB2312"/>
          <w:sz w:val="24"/>
        </w:rPr>
      </w:pPr>
      <w:r>
        <w:rPr>
          <w:rFonts w:hint="eastAsia" w:eastAsia="仿宋_GB2312"/>
          <w:sz w:val="24"/>
        </w:rPr>
        <w:t>（3）环境优先，先期处置，防止危害扩大</w:t>
      </w:r>
    </w:p>
    <w:p>
      <w:pPr>
        <w:spacing w:before="120" w:beforeLines="50" w:line="360" w:lineRule="auto"/>
        <w:ind w:firstLine="480" w:firstLineChars="200"/>
        <w:rPr>
          <w:rFonts w:eastAsia="仿宋_GB2312"/>
          <w:sz w:val="24"/>
        </w:rPr>
      </w:pPr>
      <w:r>
        <w:rPr>
          <w:rFonts w:hint="eastAsia" w:eastAsia="仿宋_GB2312"/>
          <w:sz w:val="24"/>
        </w:rPr>
        <w:t>发生突发环境事件之后，要救环境优先于救财物，迅速有效采取先期处置，尽量消除或减轻突发环境事件的影响。</w:t>
      </w:r>
    </w:p>
    <w:p>
      <w:pPr>
        <w:spacing w:before="120" w:beforeLines="50" w:line="360" w:lineRule="auto"/>
        <w:ind w:firstLine="480" w:firstLineChars="200"/>
        <w:rPr>
          <w:rFonts w:eastAsia="仿宋_GB2312"/>
          <w:sz w:val="24"/>
        </w:rPr>
      </w:pPr>
      <w:r>
        <w:rPr>
          <w:rFonts w:hint="eastAsia" w:eastAsia="仿宋_GB2312"/>
          <w:sz w:val="24"/>
        </w:rPr>
        <w:t>（4）平战结合，快速响应，科学应急。</w:t>
      </w:r>
    </w:p>
    <w:p>
      <w:pPr>
        <w:spacing w:before="120" w:beforeLines="50" w:line="360" w:lineRule="auto"/>
        <w:ind w:firstLine="480" w:firstLineChars="200"/>
        <w:rPr>
          <w:rFonts w:eastAsia="仿宋_GB2312"/>
          <w:sz w:val="24"/>
        </w:rPr>
      </w:pPr>
      <w:r>
        <w:rPr>
          <w:rFonts w:hint="eastAsia" w:eastAsia="仿宋_GB2312"/>
          <w:sz w:val="24"/>
        </w:rPr>
        <w:t>积极做好应对突发环境事件的思想准备、物资准备、技术准备、工作准备，加强培训演练，充分利用有专业环境应急救援力量。</w:t>
      </w:r>
    </w:p>
    <w:p>
      <w:pPr>
        <w:spacing w:before="120" w:beforeLines="50" w:line="360" w:lineRule="auto"/>
        <w:outlineLvl w:val="1"/>
        <w:rPr>
          <w:b/>
          <w:sz w:val="30"/>
          <w:szCs w:val="30"/>
        </w:rPr>
      </w:pPr>
      <w:bookmarkStart w:id="17" w:name="_Toc25081"/>
      <w:r>
        <w:rPr>
          <w:b/>
          <w:sz w:val="30"/>
          <w:szCs w:val="30"/>
        </w:rPr>
        <w:t>1.</w:t>
      </w:r>
      <w:r>
        <w:rPr>
          <w:rFonts w:hint="eastAsia"/>
          <w:b/>
          <w:sz w:val="30"/>
          <w:szCs w:val="30"/>
        </w:rPr>
        <w:t>6</w:t>
      </w:r>
      <w:r>
        <w:rPr>
          <w:b/>
          <w:sz w:val="30"/>
          <w:szCs w:val="30"/>
        </w:rPr>
        <w:t>应急</w:t>
      </w:r>
      <w:r>
        <w:rPr>
          <w:rFonts w:hint="eastAsia"/>
          <w:b/>
          <w:sz w:val="30"/>
          <w:szCs w:val="30"/>
        </w:rPr>
        <w:t>预案体系</w:t>
      </w:r>
      <w:bookmarkEnd w:id="17"/>
    </w:p>
    <w:p>
      <w:pPr>
        <w:spacing w:before="120" w:beforeLines="50" w:line="360" w:lineRule="auto"/>
        <w:ind w:firstLine="480" w:firstLineChars="200"/>
        <w:rPr>
          <w:rFonts w:eastAsia="仿宋_GB2312"/>
          <w:sz w:val="24"/>
        </w:rPr>
      </w:pPr>
      <w:r>
        <w:rPr>
          <w:rFonts w:eastAsia="仿宋_GB2312"/>
          <w:sz w:val="24"/>
        </w:rPr>
        <w:t>本应急预案为</w:t>
      </w:r>
      <w:r>
        <w:rPr>
          <w:rFonts w:hint="eastAsia" w:eastAsia="仿宋_GB2312"/>
          <w:sz w:val="24"/>
          <w:lang w:eastAsia="zh-CN"/>
        </w:rPr>
        <w:t>翁源县中源发展有限公司</w:t>
      </w:r>
      <w:r>
        <w:rPr>
          <w:rFonts w:eastAsia="仿宋_GB2312"/>
          <w:sz w:val="24"/>
        </w:rPr>
        <w:t>突发环境事件应急预案，针对易发生突发环境事件的环节分别制定现场处置方案。本公司应急预案充分考虑与</w:t>
      </w:r>
      <w:r>
        <w:rPr>
          <w:rFonts w:hint="eastAsia" w:eastAsia="仿宋_GB2312"/>
          <w:sz w:val="24"/>
        </w:rPr>
        <w:t>翁源县</w:t>
      </w:r>
      <w:r>
        <w:rPr>
          <w:rFonts w:eastAsia="仿宋_GB2312"/>
          <w:sz w:val="24"/>
        </w:rPr>
        <w:t>突发环境事件应急预案衔接。</w:t>
      </w:r>
    </w:p>
    <w:p>
      <w:pPr>
        <w:spacing w:line="360" w:lineRule="auto"/>
        <w:ind w:firstLine="480" w:firstLineChars="200"/>
        <w:rPr>
          <w:rFonts w:eastAsia="仿宋_GB2312"/>
          <w:sz w:val="24"/>
        </w:rPr>
      </w:pPr>
      <w:r>
        <w:rPr>
          <w:rFonts w:hint="eastAsia" w:eastAsia="仿宋_GB2312"/>
          <w:sz w:val="24"/>
          <w:lang w:eastAsia="zh-CN"/>
        </w:rPr>
        <w:t>翁源县中源发展有限公司</w:t>
      </w:r>
      <w:r>
        <w:rPr>
          <w:rFonts w:hint="eastAsia" w:eastAsia="仿宋_GB2312"/>
          <w:sz w:val="24"/>
        </w:rPr>
        <w:t>突发环境应急预案与</w:t>
      </w:r>
      <w:r>
        <w:rPr>
          <w:rFonts w:hint="eastAsia" w:eastAsia="仿宋_GB2312"/>
          <w:sz w:val="24"/>
          <w:lang w:eastAsia="zh-CN"/>
        </w:rPr>
        <w:t>翁源县中源发展有限公司</w:t>
      </w:r>
      <w:r>
        <w:rPr>
          <w:rFonts w:hint="eastAsia" w:eastAsia="仿宋_GB2312"/>
          <w:sz w:val="24"/>
        </w:rPr>
        <w:t>生产安全事故应急预案相衔接，发生火灾等安全事故会产生废气、消防废水，根据事故大小确定是否启用公司突发环境时间应急预案。</w:t>
      </w:r>
    </w:p>
    <w:p>
      <w:pPr>
        <w:spacing w:line="360" w:lineRule="auto"/>
        <w:ind w:firstLine="480" w:firstLineChars="200"/>
        <w:rPr>
          <w:rFonts w:hint="eastAsia" w:eastAsia="仿宋_GB2312"/>
          <w:sz w:val="24"/>
        </w:rPr>
      </w:pPr>
      <w:r>
        <w:rPr>
          <w:rFonts w:hint="eastAsia" w:eastAsia="仿宋_GB2312"/>
          <w:sz w:val="24"/>
        </w:rPr>
        <w:t>本公司应急预案属于《广东翁源经济开发区突发环境事件应急预案》及《</w:t>
      </w:r>
      <w:r>
        <w:rPr>
          <w:rFonts w:hint="eastAsia" w:eastAsia="仿宋_GB2312"/>
          <w:sz w:val="24"/>
          <w:highlight w:val="none"/>
        </w:rPr>
        <w:t>翁源县</w:t>
      </w:r>
      <w:r>
        <w:rPr>
          <w:rFonts w:hint="eastAsia" w:eastAsia="仿宋_GB2312"/>
          <w:sz w:val="24"/>
        </w:rPr>
        <w:t>突发环境事件应急预案》构成体系的组成部分，是其在企业层面上的具体体现。本公司与广东翁源经济开发区、韶关市生态环境局翁源分局等部门之间建立了应急联动机制，在这些外部单位介入公司突发事件应急处置时，各应急组织单位将听从调配，并按照要求和能力配置应急救援人员、队伍、装备、物资等，提供应急所需的用品，与外部相关部门共享区域应急资源，提高共同应对突发环境事件的能力和水平。突发环境事件应急预案体系见图1-1。</w:t>
      </w:r>
    </w:p>
    <w:p>
      <w:pPr>
        <w:pStyle w:val="2"/>
        <w:rPr>
          <w:rFonts w:hint="eastAsia" w:eastAsia="仿宋_GB2312"/>
          <w:sz w:val="24"/>
        </w:rPr>
      </w:pPr>
      <w:r>
        <mc:AlternateContent>
          <mc:Choice Requires="wpc">
            <w:drawing>
              <wp:inline distT="0" distB="0" distL="0" distR="0">
                <wp:extent cx="5350510" cy="3138170"/>
                <wp:effectExtent l="0" t="0" r="13970" b="92075"/>
                <wp:docPr id="87" name="画布 28"/>
                <wp:cNvGraphicFramePr/>
                <a:graphic xmlns:a="http://schemas.openxmlformats.org/drawingml/2006/main">
                  <a:graphicData uri="http://schemas.microsoft.com/office/word/2010/wordprocessingCanvas">
                    <wpc:wpc>
                      <wpc:bg>
                        <a:noFill/>
                      </wpc:bg>
                      <wpc:whole/>
                      <wps:wsp>
                        <wps:cNvPr id="145" name="直线 8"/>
                        <wps:cNvCnPr>
                          <a:endCxn id="72" idx="0"/>
                        </wps:cNvCnPr>
                        <wps:spPr bwMode="auto">
                          <a:xfrm>
                            <a:off x="2513330" y="2277745"/>
                            <a:ext cx="2540" cy="578485"/>
                          </a:xfrm>
                          <a:prstGeom prst="line">
                            <a:avLst/>
                          </a:prstGeom>
                          <a:noFill/>
                          <a:ln w="9525">
                            <a:solidFill>
                              <a:srgbClr val="000000"/>
                            </a:solidFill>
                            <a:round/>
                            <a:tailEnd type="triangle" w="med" len="med"/>
                          </a:ln>
                        </wps:spPr>
                        <wps:bodyPr/>
                      </wps:wsp>
                      <wps:wsp>
                        <wps:cNvPr id="146" name="文本框 553"/>
                        <wps:cNvSpPr txBox="1">
                          <a:spLocks noChangeArrowheads="1"/>
                        </wps:cNvSpPr>
                        <wps:spPr bwMode="auto">
                          <a:xfrm>
                            <a:off x="1993265" y="2856230"/>
                            <a:ext cx="1045210" cy="281940"/>
                          </a:xfrm>
                          <a:prstGeom prst="rect">
                            <a:avLst/>
                          </a:prstGeom>
                          <a:solidFill>
                            <a:srgbClr val="FFFFFF"/>
                          </a:solidFill>
                          <a:ln w="19050">
                            <a:solidFill>
                              <a:srgbClr val="000000"/>
                            </a:solidFill>
                            <a:miter lim="800000"/>
                          </a:ln>
                          <a:effectLst>
                            <a:outerShdw dist="107763" dir="2700000" algn="ctr" rotWithShape="0">
                              <a:srgbClr val="808080">
                                <a:alpha val="50000"/>
                              </a:srgbClr>
                            </a:outerShdw>
                          </a:effectLst>
                        </wps:spPr>
                        <wps:txbx>
                          <w:txbxContent>
                            <w:p>
                              <w:pPr>
                                <w:jc w:val="center"/>
                                <w:rPr>
                                  <w:rFonts w:hint="default" w:eastAsia="宋体"/>
                                  <w:sz w:val="18"/>
                                  <w:szCs w:val="18"/>
                                  <w:lang w:val="en-US" w:eastAsia="zh-CN"/>
                                </w:rPr>
                              </w:pPr>
                              <w:r>
                                <w:rPr>
                                  <w:rFonts w:hint="eastAsia"/>
                                  <w:sz w:val="18"/>
                                  <w:szCs w:val="18"/>
                                  <w:lang w:val="en-US" w:eastAsia="zh-CN"/>
                                </w:rPr>
                                <w:t>综合预案</w:t>
                              </w:r>
                            </w:p>
                          </w:txbxContent>
                        </wps:txbx>
                        <wps:bodyPr rot="0" vert="horz" wrap="square" lIns="91440" tIns="45720" rIns="91440" bIns="45720" anchor="t" anchorCtr="0" upright="1">
                          <a:noAutofit/>
                        </wps:bodyPr>
                      </wps:wsp>
                      <wps:wsp>
                        <wps:cNvPr id="147" name="文本框 924"/>
                        <wps:cNvSpPr txBox="1">
                          <a:spLocks noChangeArrowheads="1"/>
                        </wps:cNvSpPr>
                        <wps:spPr bwMode="auto">
                          <a:xfrm>
                            <a:off x="1789430" y="1790065"/>
                            <a:ext cx="1605915" cy="532130"/>
                          </a:xfrm>
                          <a:prstGeom prst="rect">
                            <a:avLst/>
                          </a:prstGeom>
                          <a:solidFill>
                            <a:srgbClr val="FFFFFF"/>
                          </a:solidFill>
                          <a:ln w="19050">
                            <a:solidFill>
                              <a:srgbClr val="000000"/>
                            </a:solidFill>
                            <a:miter lim="800000"/>
                          </a:ln>
                          <a:effectLst>
                            <a:outerShdw dist="107763" dir="2700000" algn="ctr" rotWithShape="0">
                              <a:srgbClr val="808080">
                                <a:alpha val="50000"/>
                              </a:srgbClr>
                            </a:outerShdw>
                          </a:effectLst>
                        </wps:spPr>
                        <wps:txbx>
                          <w:txbxContent>
                            <w:p>
                              <w:pPr>
                                <w:jc w:val="center"/>
                                <w:rPr>
                                  <w:rFonts w:hint="eastAsia"/>
                                  <w:sz w:val="18"/>
                                  <w:szCs w:val="18"/>
                                  <w:lang w:eastAsia="zh-CN"/>
                                </w:rPr>
                              </w:pPr>
                              <w:r>
                                <w:rPr>
                                  <w:rFonts w:hint="eastAsia"/>
                                  <w:sz w:val="18"/>
                                  <w:szCs w:val="18"/>
                                  <w:lang w:eastAsia="zh-CN"/>
                                </w:rPr>
                                <w:t>翁源县中源发展有限公司</w:t>
                              </w:r>
                            </w:p>
                            <w:p>
                              <w:pPr>
                                <w:jc w:val="center"/>
                                <w:rPr>
                                  <w:sz w:val="18"/>
                                  <w:szCs w:val="18"/>
                                </w:rPr>
                              </w:pPr>
                              <w:r>
                                <w:rPr>
                                  <w:rFonts w:hint="eastAsia"/>
                                  <w:sz w:val="18"/>
                                  <w:szCs w:val="18"/>
                                </w:rPr>
                                <w:t>突发环境事件应急预案</w:t>
                              </w:r>
                            </w:p>
                          </w:txbxContent>
                        </wps:txbx>
                        <wps:bodyPr rot="0" vert="horz" wrap="square" lIns="91440" tIns="45720" rIns="91440" bIns="45720" anchor="t" anchorCtr="0" upright="1">
                          <a:noAutofit/>
                        </wps:bodyPr>
                      </wps:wsp>
                      <wps:wsp>
                        <wps:cNvPr id="148" name="直线 8"/>
                        <wps:cNvCnPr/>
                        <wps:spPr bwMode="auto">
                          <a:xfrm>
                            <a:off x="2512508" y="1484733"/>
                            <a:ext cx="700" cy="297506"/>
                          </a:xfrm>
                          <a:prstGeom prst="line">
                            <a:avLst/>
                          </a:prstGeom>
                          <a:noFill/>
                          <a:ln w="9525">
                            <a:solidFill>
                              <a:srgbClr val="000000"/>
                            </a:solidFill>
                            <a:round/>
                            <a:headEnd type="triangle"/>
                            <a:tailEnd type="none" w="med" len="med"/>
                          </a:ln>
                        </wps:spPr>
                        <wps:bodyPr/>
                      </wps:wsp>
                      <wps:wsp>
                        <wps:cNvPr id="149" name="直线 8"/>
                        <wps:cNvCnPr/>
                        <wps:spPr bwMode="auto">
                          <a:xfrm flipH="1">
                            <a:off x="3395944" y="1891279"/>
                            <a:ext cx="248538" cy="0"/>
                          </a:xfrm>
                          <a:prstGeom prst="line">
                            <a:avLst/>
                          </a:prstGeom>
                          <a:noFill/>
                          <a:ln w="9525">
                            <a:solidFill>
                              <a:srgbClr val="000000"/>
                            </a:solidFill>
                            <a:round/>
                            <a:headEnd type="triangle"/>
                            <a:tailEnd type="none" w="med" len="med"/>
                          </a:ln>
                        </wps:spPr>
                        <wps:bodyPr/>
                      </wps:wsp>
                      <wps:wsp>
                        <wps:cNvPr id="150" name="文本框 924"/>
                        <wps:cNvSpPr txBox="1">
                          <a:spLocks noChangeArrowheads="1"/>
                        </wps:cNvSpPr>
                        <wps:spPr bwMode="auto">
                          <a:xfrm>
                            <a:off x="1789628" y="1049606"/>
                            <a:ext cx="1606226" cy="435214"/>
                          </a:xfrm>
                          <a:prstGeom prst="rect">
                            <a:avLst/>
                          </a:prstGeom>
                          <a:solidFill>
                            <a:srgbClr val="FFFFFF"/>
                          </a:solidFill>
                          <a:ln w="19050">
                            <a:solidFill>
                              <a:srgbClr val="000000"/>
                            </a:solidFill>
                            <a:miter lim="800000"/>
                          </a:ln>
                          <a:effectLst>
                            <a:outerShdw dist="107763" dir="2700000" algn="ctr" rotWithShape="0">
                              <a:srgbClr val="808080">
                                <a:alpha val="50000"/>
                              </a:srgbClr>
                            </a:outerShdw>
                          </a:effectLst>
                        </wps:spPr>
                        <wps:txbx>
                          <w:txbxContent>
                            <w:p>
                              <w:pPr>
                                <w:jc w:val="center"/>
                                <w:rPr>
                                  <w:rFonts w:hint="eastAsia"/>
                                  <w:sz w:val="18"/>
                                  <w:szCs w:val="18"/>
                                </w:rPr>
                              </w:pPr>
                              <w:r>
                                <w:rPr>
                                  <w:rFonts w:hint="eastAsia"/>
                                  <w:sz w:val="18"/>
                                  <w:szCs w:val="18"/>
                                </w:rPr>
                                <w:t>广东翁源经济开发区</w:t>
                              </w:r>
                            </w:p>
                            <w:p>
                              <w:pPr>
                                <w:jc w:val="center"/>
                                <w:rPr>
                                  <w:sz w:val="18"/>
                                  <w:szCs w:val="18"/>
                                </w:rPr>
                              </w:pPr>
                              <w:r>
                                <w:rPr>
                                  <w:rFonts w:hint="eastAsia"/>
                                  <w:sz w:val="18"/>
                                  <w:szCs w:val="18"/>
                                </w:rPr>
                                <w:t>突发环境事件应急预案</w:t>
                              </w:r>
                            </w:p>
                          </w:txbxContent>
                        </wps:txbx>
                        <wps:bodyPr rot="0" vert="horz" wrap="square" lIns="91440" tIns="45720" rIns="91440" bIns="45720" anchor="t" anchorCtr="0" upright="1">
                          <a:noAutofit/>
                        </wps:bodyPr>
                      </wps:wsp>
                      <wps:wsp>
                        <wps:cNvPr id="151" name="文本框 924"/>
                        <wps:cNvSpPr txBox="1">
                          <a:spLocks noChangeArrowheads="1"/>
                        </wps:cNvSpPr>
                        <wps:spPr bwMode="auto">
                          <a:xfrm>
                            <a:off x="1765300" y="320275"/>
                            <a:ext cx="1630045" cy="434975"/>
                          </a:xfrm>
                          <a:prstGeom prst="rect">
                            <a:avLst/>
                          </a:prstGeom>
                          <a:solidFill>
                            <a:srgbClr val="FFFFFF"/>
                          </a:solidFill>
                          <a:ln w="19050">
                            <a:solidFill>
                              <a:srgbClr val="000000"/>
                            </a:solidFill>
                            <a:miter lim="800000"/>
                          </a:ln>
                          <a:effectLst>
                            <a:outerShdw dist="107763" dir="2700000" algn="ctr" rotWithShape="0">
                              <a:srgbClr val="808080">
                                <a:alpha val="50000"/>
                              </a:srgbClr>
                            </a:outerShdw>
                          </a:effectLst>
                        </wps:spPr>
                        <wps:txbx>
                          <w:txbxContent>
                            <w:p>
                              <w:pPr>
                                <w:jc w:val="center"/>
                                <w:rPr>
                                  <w:rFonts w:hint="eastAsia"/>
                                  <w:sz w:val="18"/>
                                  <w:szCs w:val="18"/>
                                </w:rPr>
                              </w:pPr>
                              <w:r>
                                <w:rPr>
                                  <w:rFonts w:hint="eastAsia"/>
                                  <w:sz w:val="18"/>
                                  <w:szCs w:val="18"/>
                                </w:rPr>
                                <w:t>翁源县</w:t>
                              </w:r>
                            </w:p>
                            <w:p>
                              <w:pPr>
                                <w:jc w:val="center"/>
                                <w:rPr>
                                  <w:sz w:val="18"/>
                                  <w:szCs w:val="18"/>
                                </w:rPr>
                              </w:pPr>
                              <w:r>
                                <w:rPr>
                                  <w:rFonts w:hint="eastAsia"/>
                                  <w:sz w:val="18"/>
                                  <w:szCs w:val="18"/>
                                </w:rPr>
                                <w:t>突发环境事件应急预案</w:t>
                              </w:r>
                            </w:p>
                            <w:p>
                              <w:pPr>
                                <w:jc w:val="center"/>
                                <w:rPr>
                                  <w:sz w:val="18"/>
                                  <w:szCs w:val="18"/>
                                </w:rPr>
                              </w:pPr>
                            </w:p>
                          </w:txbxContent>
                        </wps:txbx>
                        <wps:bodyPr rot="0" vert="horz" wrap="square" lIns="91440" tIns="45720" rIns="91440" bIns="45720" anchor="t" anchorCtr="0" upright="1">
                          <a:noAutofit/>
                        </wps:bodyPr>
                      </wps:wsp>
                      <wps:wsp>
                        <wps:cNvPr id="152" name="直线 8"/>
                        <wps:cNvCnPr/>
                        <wps:spPr bwMode="auto">
                          <a:xfrm>
                            <a:off x="2521252" y="752186"/>
                            <a:ext cx="700" cy="297506"/>
                          </a:xfrm>
                          <a:prstGeom prst="line">
                            <a:avLst/>
                          </a:prstGeom>
                          <a:noFill/>
                          <a:ln w="9525">
                            <a:solidFill>
                              <a:srgbClr val="000000"/>
                            </a:solidFill>
                            <a:round/>
                            <a:headEnd type="triangle"/>
                            <a:tailEnd type="none" w="med" len="med"/>
                          </a:ln>
                        </wps:spPr>
                        <wps:bodyPr/>
                      </wps:wsp>
                      <wps:wsp>
                        <wps:cNvPr id="153" name="文本框 924"/>
                        <wps:cNvSpPr txBox="1">
                          <a:spLocks noChangeArrowheads="1"/>
                        </wps:cNvSpPr>
                        <wps:spPr bwMode="auto">
                          <a:xfrm>
                            <a:off x="3644265" y="1782445"/>
                            <a:ext cx="1608455" cy="531495"/>
                          </a:xfrm>
                          <a:prstGeom prst="rect">
                            <a:avLst/>
                          </a:prstGeom>
                          <a:solidFill>
                            <a:srgbClr val="FFFFFF"/>
                          </a:solidFill>
                          <a:ln w="19050">
                            <a:solidFill>
                              <a:srgbClr val="000000"/>
                            </a:solidFill>
                            <a:miter lim="800000"/>
                          </a:ln>
                          <a:effectLst>
                            <a:outerShdw dist="107763" dir="2700000" algn="ctr" rotWithShape="0">
                              <a:srgbClr val="808080">
                                <a:alpha val="50000"/>
                              </a:srgbClr>
                            </a:outerShdw>
                          </a:effectLst>
                        </wps:spPr>
                        <wps:txbx>
                          <w:txbxContent>
                            <w:p>
                              <w:pPr>
                                <w:jc w:val="center"/>
                                <w:rPr>
                                  <w:rFonts w:hint="eastAsia"/>
                                  <w:sz w:val="18"/>
                                  <w:szCs w:val="18"/>
                                  <w:lang w:eastAsia="zh-CN"/>
                                </w:rPr>
                              </w:pPr>
                              <w:r>
                                <w:rPr>
                                  <w:rFonts w:hint="eastAsia"/>
                                  <w:sz w:val="18"/>
                                  <w:szCs w:val="18"/>
                                  <w:lang w:eastAsia="zh-CN"/>
                                </w:rPr>
                                <w:t>翁源县中源发展有限公司</w:t>
                              </w:r>
                            </w:p>
                            <w:p>
                              <w:pPr>
                                <w:jc w:val="center"/>
                                <w:rPr>
                                  <w:sz w:val="18"/>
                                  <w:szCs w:val="18"/>
                                </w:rPr>
                              </w:pPr>
                              <w:r>
                                <w:rPr>
                                  <w:rFonts w:hint="eastAsia"/>
                                  <w:sz w:val="18"/>
                                  <w:szCs w:val="18"/>
                                </w:rPr>
                                <w:t>生产安全事故应急预案</w:t>
                              </w:r>
                            </w:p>
                            <w:p>
                              <w:pPr>
                                <w:jc w:val="center"/>
                                <w:rPr>
                                  <w:sz w:val="18"/>
                                  <w:szCs w:val="18"/>
                                </w:rPr>
                              </w:pPr>
                            </w:p>
                          </w:txbxContent>
                        </wps:txbx>
                        <wps:bodyPr rot="0" vert="horz" wrap="square" lIns="91440" tIns="45720" rIns="91440" bIns="45720" anchor="t" anchorCtr="0" upright="1">
                          <a:noAutofit/>
                        </wps:bodyPr>
                      </wps:wsp>
                      <wps:wsp>
                        <wps:cNvPr id="154" name="直线 8"/>
                        <wps:cNvCnPr/>
                        <wps:spPr bwMode="auto">
                          <a:xfrm flipH="1">
                            <a:off x="3395881" y="2104329"/>
                            <a:ext cx="248538" cy="0"/>
                          </a:xfrm>
                          <a:prstGeom prst="line">
                            <a:avLst/>
                          </a:prstGeom>
                          <a:noFill/>
                          <a:ln w="9525">
                            <a:solidFill>
                              <a:srgbClr val="000000"/>
                            </a:solidFill>
                            <a:round/>
                            <a:headEnd type="none"/>
                            <a:tailEnd type="triangle" w="med" len="med"/>
                          </a:ln>
                        </wps:spPr>
                        <wps:bodyPr/>
                      </wps:wsp>
                      <wps:wsp>
                        <wps:cNvPr id="155" name="直线 8"/>
                        <wps:cNvCnPr/>
                        <wps:spPr bwMode="auto">
                          <a:xfrm flipH="1">
                            <a:off x="1541305" y="1893522"/>
                            <a:ext cx="248538" cy="0"/>
                          </a:xfrm>
                          <a:prstGeom prst="line">
                            <a:avLst/>
                          </a:prstGeom>
                          <a:noFill/>
                          <a:ln w="9525">
                            <a:solidFill>
                              <a:srgbClr val="000000"/>
                            </a:solidFill>
                            <a:round/>
                            <a:headEnd type="triangle"/>
                            <a:tailEnd type="none" w="med" len="med"/>
                          </a:ln>
                        </wps:spPr>
                        <wps:bodyPr/>
                      </wps:wsp>
                      <wps:wsp>
                        <wps:cNvPr id="156" name="直线 8"/>
                        <wps:cNvCnPr/>
                        <wps:spPr bwMode="auto">
                          <a:xfrm flipH="1">
                            <a:off x="1541242" y="2106572"/>
                            <a:ext cx="248538" cy="0"/>
                          </a:xfrm>
                          <a:prstGeom prst="line">
                            <a:avLst/>
                          </a:prstGeom>
                          <a:noFill/>
                          <a:ln w="9525">
                            <a:solidFill>
                              <a:srgbClr val="000000"/>
                            </a:solidFill>
                            <a:round/>
                            <a:headEnd type="none"/>
                            <a:tailEnd type="triangle" w="med" len="med"/>
                          </a:ln>
                        </wps:spPr>
                        <wps:bodyPr/>
                      </wps:wsp>
                      <wps:wsp>
                        <wps:cNvPr id="157" name="文本框 924"/>
                        <wps:cNvSpPr txBox="1">
                          <a:spLocks noChangeArrowheads="1"/>
                        </wps:cNvSpPr>
                        <wps:spPr bwMode="auto">
                          <a:xfrm>
                            <a:off x="71562" y="1781925"/>
                            <a:ext cx="1469547" cy="435214"/>
                          </a:xfrm>
                          <a:prstGeom prst="rect">
                            <a:avLst/>
                          </a:prstGeom>
                          <a:solidFill>
                            <a:srgbClr val="FFFFFF"/>
                          </a:solidFill>
                          <a:ln w="19050">
                            <a:solidFill>
                              <a:srgbClr val="000000"/>
                            </a:solidFill>
                            <a:miter lim="800000"/>
                          </a:ln>
                          <a:effectLst>
                            <a:outerShdw dist="107763" dir="2700000" algn="ctr" rotWithShape="0">
                              <a:srgbClr val="808080">
                                <a:alpha val="50000"/>
                              </a:srgbClr>
                            </a:outerShdw>
                          </a:effectLst>
                        </wps:spPr>
                        <wps:txbx>
                          <w:txbxContent>
                            <w:p>
                              <w:pPr>
                                <w:jc w:val="center"/>
                                <w:rPr>
                                  <w:rFonts w:hint="eastAsia"/>
                                  <w:sz w:val="18"/>
                                  <w:szCs w:val="18"/>
                                </w:rPr>
                              </w:pPr>
                              <w:r>
                                <w:rPr>
                                  <w:rFonts w:hint="eastAsia"/>
                                  <w:sz w:val="18"/>
                                  <w:szCs w:val="18"/>
                                </w:rPr>
                                <w:t>周边企业</w:t>
                              </w:r>
                            </w:p>
                            <w:p>
                              <w:pPr>
                                <w:jc w:val="center"/>
                                <w:rPr>
                                  <w:sz w:val="18"/>
                                  <w:szCs w:val="18"/>
                                </w:rPr>
                              </w:pPr>
                              <w:r>
                                <w:rPr>
                                  <w:rFonts w:hint="eastAsia"/>
                                  <w:sz w:val="18"/>
                                  <w:szCs w:val="18"/>
                                </w:rPr>
                                <w:t>突发环境事件应急预案</w:t>
                              </w:r>
                            </w:p>
                            <w:p>
                              <w:pPr>
                                <w:jc w:val="center"/>
                                <w:rPr>
                                  <w:sz w:val="18"/>
                                  <w:szCs w:val="18"/>
                                </w:rPr>
                              </w:pPr>
                            </w:p>
                          </w:txbxContent>
                        </wps:txbx>
                        <wps:bodyPr rot="0" vert="horz" wrap="square" lIns="91440" tIns="45720" rIns="91440" bIns="45720" anchor="t" anchorCtr="0" upright="1">
                          <a:noAutofit/>
                        </wps:bodyPr>
                      </wps:wsp>
                      <wps:wsp>
                        <wps:cNvPr id="158" name="文本框 553"/>
                        <wps:cNvSpPr txBox="1">
                          <a:spLocks noChangeArrowheads="1"/>
                        </wps:cNvSpPr>
                        <wps:spPr bwMode="auto">
                          <a:xfrm>
                            <a:off x="673735" y="2856230"/>
                            <a:ext cx="1067435" cy="281940"/>
                          </a:xfrm>
                          <a:prstGeom prst="rect">
                            <a:avLst/>
                          </a:prstGeom>
                          <a:solidFill>
                            <a:srgbClr val="FFFFFF"/>
                          </a:solidFill>
                          <a:ln w="19050">
                            <a:solidFill>
                              <a:srgbClr val="000000"/>
                            </a:solidFill>
                            <a:miter lim="800000"/>
                          </a:ln>
                          <a:effectLst>
                            <a:outerShdw dist="107763" dir="2700000" algn="ctr" rotWithShape="0">
                              <a:srgbClr val="808080">
                                <a:alpha val="50000"/>
                              </a:srgbClr>
                            </a:outerShdw>
                          </a:effectLst>
                        </wps:spPr>
                        <wps:txbx>
                          <w:txbxContent>
                            <w:p>
                              <w:pPr>
                                <w:jc w:val="center"/>
                                <w:rPr>
                                  <w:rFonts w:hint="eastAsia" w:eastAsia="宋体"/>
                                  <w:sz w:val="18"/>
                                  <w:szCs w:val="18"/>
                                  <w:lang w:eastAsia="zh-CN"/>
                                </w:rPr>
                              </w:pPr>
                              <w:r>
                                <w:rPr>
                                  <w:rFonts w:hint="eastAsia"/>
                                  <w:sz w:val="18"/>
                                  <w:szCs w:val="18"/>
                                  <w:lang w:eastAsia="zh-CN"/>
                                </w:rPr>
                                <w:t>应急处置卡片</w:t>
                              </w:r>
                            </w:p>
                          </w:txbxContent>
                        </wps:txbx>
                        <wps:bodyPr rot="0" vert="horz" wrap="square" lIns="91440" tIns="45720" rIns="91440" bIns="45720" anchor="t" anchorCtr="0" upright="1">
                          <a:noAutofit/>
                        </wps:bodyPr>
                      </wps:wsp>
                      <wps:wsp>
                        <wps:cNvPr id="159" name="直线 8"/>
                        <wps:cNvCnPr/>
                        <wps:spPr bwMode="auto">
                          <a:xfrm flipH="1">
                            <a:off x="1270000" y="2567305"/>
                            <a:ext cx="2473960" cy="1905"/>
                          </a:xfrm>
                          <a:prstGeom prst="line">
                            <a:avLst/>
                          </a:prstGeom>
                          <a:noFill/>
                          <a:ln w="9525">
                            <a:solidFill>
                              <a:srgbClr val="000000"/>
                            </a:solidFill>
                            <a:round/>
                            <a:headEnd type="none"/>
                            <a:tailEnd type="none" w="med" len="med"/>
                          </a:ln>
                        </wps:spPr>
                        <wps:bodyPr/>
                      </wps:wsp>
                      <wps:wsp>
                        <wps:cNvPr id="160" name="直线 8"/>
                        <wps:cNvCnPr/>
                        <wps:spPr bwMode="auto">
                          <a:xfrm>
                            <a:off x="1278890" y="2574925"/>
                            <a:ext cx="635" cy="297815"/>
                          </a:xfrm>
                          <a:prstGeom prst="line">
                            <a:avLst/>
                          </a:prstGeom>
                          <a:noFill/>
                          <a:ln w="9525">
                            <a:solidFill>
                              <a:srgbClr val="000000"/>
                            </a:solidFill>
                            <a:round/>
                            <a:tailEnd type="triangle" w="med" len="med"/>
                          </a:ln>
                        </wps:spPr>
                        <wps:bodyPr/>
                      </wps:wsp>
                      <wps:wsp>
                        <wps:cNvPr id="161" name="直线 8"/>
                        <wps:cNvCnPr/>
                        <wps:spPr bwMode="auto">
                          <a:xfrm>
                            <a:off x="3743960" y="2567940"/>
                            <a:ext cx="635" cy="297815"/>
                          </a:xfrm>
                          <a:prstGeom prst="line">
                            <a:avLst/>
                          </a:prstGeom>
                          <a:noFill/>
                          <a:ln w="9525">
                            <a:solidFill>
                              <a:srgbClr val="000000"/>
                            </a:solidFill>
                            <a:round/>
                            <a:tailEnd type="triangle" w="med" len="med"/>
                          </a:ln>
                        </wps:spPr>
                        <wps:bodyPr/>
                      </wps:wsp>
                      <wps:wsp>
                        <wps:cNvPr id="162" name="文本框 553"/>
                        <wps:cNvSpPr txBox="1">
                          <a:spLocks noChangeArrowheads="1"/>
                        </wps:cNvSpPr>
                        <wps:spPr bwMode="auto">
                          <a:xfrm>
                            <a:off x="3295650" y="2849245"/>
                            <a:ext cx="1045210" cy="281940"/>
                          </a:xfrm>
                          <a:prstGeom prst="rect">
                            <a:avLst/>
                          </a:prstGeom>
                          <a:solidFill>
                            <a:srgbClr val="FFFFFF"/>
                          </a:solidFill>
                          <a:ln w="19050">
                            <a:solidFill>
                              <a:srgbClr val="000000"/>
                            </a:solidFill>
                            <a:miter lim="800000"/>
                          </a:ln>
                          <a:effectLst>
                            <a:outerShdw dist="107763" dir="2700000" algn="ctr" rotWithShape="0">
                              <a:srgbClr val="808080">
                                <a:alpha val="50000"/>
                              </a:srgbClr>
                            </a:outerShdw>
                          </a:effectLst>
                        </wps:spPr>
                        <wps:txbx>
                          <w:txbxContent>
                            <w:p>
                              <w:pPr>
                                <w:jc w:val="center"/>
                                <w:rPr>
                                  <w:rFonts w:hint="default" w:eastAsia="宋体"/>
                                  <w:sz w:val="18"/>
                                  <w:szCs w:val="18"/>
                                  <w:lang w:val="en-US" w:eastAsia="zh-CN"/>
                                </w:rPr>
                              </w:pPr>
                              <w:r>
                                <w:rPr>
                                  <w:rFonts w:hint="eastAsia"/>
                                  <w:sz w:val="18"/>
                                  <w:szCs w:val="18"/>
                                  <w:lang w:val="en-US" w:eastAsia="zh-CN"/>
                                </w:rPr>
                                <w:t>专项预案</w:t>
                              </w:r>
                            </w:p>
                          </w:txbxContent>
                        </wps:txbx>
                        <wps:bodyPr rot="0" vert="horz" wrap="square" lIns="91440" tIns="45720" rIns="91440" bIns="45720" anchor="t" anchorCtr="0" upright="1">
                          <a:noAutofit/>
                        </wps:bodyPr>
                      </wps:wsp>
                    </wpc:wpc>
                  </a:graphicData>
                </a:graphic>
              </wp:inline>
            </w:drawing>
          </mc:Choice>
          <mc:Fallback>
            <w:pict>
              <v:group id="画布 28" o:spid="_x0000_s1026" o:spt="203" style="height:247.1pt;width:421.3pt;" coordsize="5350510,3138170" editas="canvas" o:gfxdata="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">
                <o:lock v:ext="edit" aspectratio="f"/>
                <v:shape id="画布 28" o:spid="_x0000_s1026" style="position:absolute;left:0;top:0;height:3138170;width:5350510;" filled="f" stroked="f" coordsize="21600,21600" o:gfxdata="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">
                  <v:fill on="f" focussize="0,0"/>
                  <v:stroke on="f"/>
                  <v:imagedata o:title=""/>
                  <o:lock v:ext="edit" aspectratio="f"/>
                </v:shape>
                <v:line id="直线 8" o:spid="_x0000_s1026" o:spt="20" style="position:absolute;left:2513330;top:2277745;height:578485;width:2540;" filled="f" stroked="t" coordsize="21600,21600" o:gfxdata="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KJGf1wAAAAUBAAAPAAAAAAAAAAEAIAAAACIAAABkcnMvZG93bnJldi54bWxQ&#10;SwECFAAUAAAACACHTuJA8cnJUfgBAADVAwAADgAAAAAAAAABACAAAAAmAQAAZHJzL2Uyb0RvYy54&#10;bWxQSwUGAAAAAAYABgBZAQAAkAUAAAAA&#10;">
                  <v:fill on="f" focussize="0,0"/>
                  <v:stroke color="#000000" joinstyle="round" endarrow="block"/>
                  <v:imagedata o:title=""/>
                  <o:lock v:ext="edit" aspectratio="f"/>
                </v:line>
                <v:shape id="文本框 553" o:spid="_x0000_s1026" o:spt="202" type="#_x0000_t202" style="position:absolute;left:1993265;top:2856230;height:281940;width:1045210;" fillcolor="#FFFFFF" filled="t" stroked="t" coordsize="21600,21600" o:gfxdata="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Dif&#10;IB7UAAAABQEAAA8AAAAAAAAAAQAgAAAAIgAAAGRycy9kb3ducmV2LnhtbFBLAQIUABQAAAAIAIdO&#10;4kCBNl0WmQIAAEAFAAAOAAAAAAAAAAEAIAAAACMBAABkcnMvZTJvRG9jLnhtbFBLBQYAAAAABgAG&#10;AFkBAAAuBgAAAAA=&#10;">
                  <v:fill on="t" focussize="0,0"/>
                  <v:stroke weight="1.5pt" color="#000000" miterlimit="8" joinstyle="miter"/>
                  <v:imagedata o:title=""/>
                  <o:lock v:ext="edit" aspectratio="f"/>
                  <v:shadow on="t" color="#808080" opacity="32768f" offset="6pt,6pt" origin="0f,0f" matrix="65536f,0f,0f,65536f"/>
                  <v:textbox>
                    <w:txbxContent>
                      <w:p>
                        <w:pPr>
                          <w:jc w:val="center"/>
                          <w:rPr>
                            <w:rFonts w:hint="default" w:eastAsia="宋体"/>
                            <w:sz w:val="18"/>
                            <w:szCs w:val="18"/>
                            <w:lang w:val="en-US" w:eastAsia="zh-CN"/>
                          </w:rPr>
                        </w:pPr>
                        <w:r>
                          <w:rPr>
                            <w:rFonts w:hint="eastAsia"/>
                            <w:sz w:val="18"/>
                            <w:szCs w:val="18"/>
                            <w:lang w:val="en-US" w:eastAsia="zh-CN"/>
                          </w:rPr>
                          <w:t>综合预案</w:t>
                        </w:r>
                      </w:p>
                    </w:txbxContent>
                  </v:textbox>
                </v:shape>
                <v:shape id="文本框 924" o:spid="_x0000_s1026" o:spt="202" type="#_x0000_t202" style="position:absolute;left:1789430;top:1790065;height:532130;width:1605915;" fillcolor="#FFFFFF" filled="t" stroked="t" coordsize="21600,21600" o:gfxdata="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Dif&#10;IB7UAAAABQEAAA8AAAAAAAAAAQAgAAAAIgAAAGRycy9kb3ducmV2LnhtbFBLAQIUABQAAAAIAIdO&#10;4kCC697JmQIAAEAFAAAOAAAAAAAAAAEAIAAAACMBAABkcnMvZTJvRG9jLnhtbFBLBQYAAAAABgAG&#10;AFkBAAAuBgAAAAA=&#10;">
                  <v:fill on="t" focussize="0,0"/>
                  <v:stroke weight="1.5pt" color="#000000" miterlimit="8" joinstyle="miter"/>
                  <v:imagedata o:title=""/>
                  <o:lock v:ext="edit" aspectratio="f"/>
                  <v:shadow on="t" color="#808080" opacity="32768f" offset="6pt,6pt" origin="0f,0f" matrix="65536f,0f,0f,65536f"/>
                  <v:textbox>
                    <w:txbxContent>
                      <w:p>
                        <w:pPr>
                          <w:jc w:val="center"/>
                          <w:rPr>
                            <w:rFonts w:hint="eastAsia"/>
                            <w:sz w:val="18"/>
                            <w:szCs w:val="18"/>
                            <w:lang w:eastAsia="zh-CN"/>
                          </w:rPr>
                        </w:pPr>
                        <w:r>
                          <w:rPr>
                            <w:rFonts w:hint="eastAsia"/>
                            <w:sz w:val="18"/>
                            <w:szCs w:val="18"/>
                            <w:lang w:eastAsia="zh-CN"/>
                          </w:rPr>
                          <w:t>翁源县中源发展有限公司</w:t>
                        </w:r>
                      </w:p>
                      <w:p>
                        <w:pPr>
                          <w:jc w:val="center"/>
                          <w:rPr>
                            <w:sz w:val="18"/>
                            <w:szCs w:val="18"/>
                          </w:rPr>
                        </w:pPr>
                        <w:r>
                          <w:rPr>
                            <w:rFonts w:hint="eastAsia"/>
                            <w:sz w:val="18"/>
                            <w:szCs w:val="18"/>
                          </w:rPr>
                          <w:t>突发环境事件应急预案</w:t>
                        </w:r>
                      </w:p>
                    </w:txbxContent>
                  </v:textbox>
                </v:shape>
                <v:line id="直线 8" o:spid="_x0000_s1026" o:spt="20" style="position:absolute;left:2512508;top:1484733;height:297506;width:700;" filled="f" stroked="t" coordsize="21600,21600" o:gfxdata="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hM+Zr1wAAAAUBAAAPAAAAAAAAAAEAIAAAACIAAABkcnMvZG93bnJldi54bWxQSwECFAAUAAAA&#10;CACHTuJA2sQzlu8BAADEAwAADgAAAAAAAAABACAAAAAmAQAAZHJzL2Uyb0RvYy54bWxQSwUGAAAA&#10;AAYABgBZAQAAhwUAAAAA&#10;">
                  <v:fill on="f" focussize="0,0"/>
                  <v:stroke color="#000000" joinstyle="round" startarrow="block"/>
                  <v:imagedata o:title=""/>
                  <o:lock v:ext="edit" aspectratio="f"/>
                </v:line>
                <v:line id="直线 8" o:spid="_x0000_s1026" o:spt="20" style="position:absolute;left:3395944;top:1891279;flip:x;height:0;width:248538;" filled="f" stroked="t" coordsize="21600,21600" o:gfxdata="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OxOYlvWAAAABQEAAA8AAAAAAAAAAQAgAAAAIgAAAGRycy9kb3ducmV2LnhtbFBL&#10;AQIUABQAAAAIAIdO4kC7bjTr+AEAAMwDAAAOAAAAAAAAAAEAIAAAACUBAABkcnMvZTJvRG9jLnht&#10;bFBLBQYAAAAABgAGAFkBAACPBQAAAAA=&#10;">
                  <v:fill on="f" focussize="0,0"/>
                  <v:stroke color="#000000" joinstyle="round" startarrow="block"/>
                  <v:imagedata o:title=""/>
                  <o:lock v:ext="edit" aspectratio="f"/>
                </v:line>
                <v:shape id="文本框 924" o:spid="_x0000_s1026" o:spt="202" type="#_x0000_t202" style="position:absolute;left:1789628;top:1049606;height:435214;width:1606226;" fillcolor="#FFFFFF" filled="t" stroked="t" coordsize="21600,21600" o:gfxdata="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DifIB7U&#10;AAAABQEAAA8AAAAAAAAAAQAgAAAAIgAAAGRycy9kb3ducmV2LnhtbFBLAQIUABQAAAAIAIdO4kB3&#10;JF7hlgIAAEAFAAAOAAAAAAAAAAEAIAAAACMBAABkcnMvZTJvRG9jLnhtbFBLBQYAAAAABgAGAFkB&#10;AAArBgAAAAA=&#10;">
                  <v:fill on="t" focussize="0,0"/>
                  <v:stroke weight="1.5pt" color="#000000" miterlimit="8" joinstyle="miter"/>
                  <v:imagedata o:title=""/>
                  <o:lock v:ext="edit" aspectratio="f"/>
                  <v:shadow on="t" color="#808080" opacity="32768f" offset="6pt,6pt" origin="0f,0f" matrix="65536f,0f,0f,65536f"/>
                  <v:textbox>
                    <w:txbxContent>
                      <w:p>
                        <w:pPr>
                          <w:jc w:val="center"/>
                          <w:rPr>
                            <w:rFonts w:hint="eastAsia"/>
                            <w:sz w:val="18"/>
                            <w:szCs w:val="18"/>
                          </w:rPr>
                        </w:pPr>
                        <w:r>
                          <w:rPr>
                            <w:rFonts w:hint="eastAsia"/>
                            <w:sz w:val="18"/>
                            <w:szCs w:val="18"/>
                          </w:rPr>
                          <w:t>广东翁源经济开发区</w:t>
                        </w:r>
                      </w:p>
                      <w:p>
                        <w:pPr>
                          <w:jc w:val="center"/>
                          <w:rPr>
                            <w:sz w:val="18"/>
                            <w:szCs w:val="18"/>
                          </w:rPr>
                        </w:pPr>
                        <w:r>
                          <w:rPr>
                            <w:rFonts w:hint="eastAsia"/>
                            <w:sz w:val="18"/>
                            <w:szCs w:val="18"/>
                          </w:rPr>
                          <w:t>突发环境事件应急预案</w:t>
                        </w:r>
                      </w:p>
                    </w:txbxContent>
                  </v:textbox>
                </v:shape>
                <v:shape id="文本框 924" o:spid="_x0000_s1026" o:spt="202" type="#_x0000_t202" style="position:absolute;left:1765300;top:320275;height:434975;width:1630045;" fillcolor="#FFFFFF" filled="t" stroked="t" coordsize="21600,21600" o:gfxdata="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A4&#10;nyAe1AAAAAUBAAAPAAAAAAAAAAEAIAAAACIAAABkcnMvZG93bnJldi54bWxQSwECFAAUAAAACACH&#10;TuJA6E8Xy5oCAAA/BQAADgAAAAAAAAABACAAAAAjAQAAZHJzL2Uyb0RvYy54bWxQSwUGAAAAAAYA&#10;BgBZAQAALwYAAAAA&#10;">
                  <v:fill on="t" focussize="0,0"/>
                  <v:stroke weight="1.5pt" color="#000000" miterlimit="8" joinstyle="miter"/>
                  <v:imagedata o:title=""/>
                  <o:lock v:ext="edit" aspectratio="f"/>
                  <v:shadow on="t" color="#808080" opacity="32768f" offset="6pt,6pt" origin="0f,0f" matrix="65536f,0f,0f,65536f"/>
                  <v:textbox>
                    <w:txbxContent>
                      <w:p>
                        <w:pPr>
                          <w:jc w:val="center"/>
                          <w:rPr>
                            <w:rFonts w:hint="eastAsia"/>
                            <w:sz w:val="18"/>
                            <w:szCs w:val="18"/>
                          </w:rPr>
                        </w:pPr>
                        <w:r>
                          <w:rPr>
                            <w:rFonts w:hint="eastAsia"/>
                            <w:sz w:val="18"/>
                            <w:szCs w:val="18"/>
                          </w:rPr>
                          <w:t>翁源县</w:t>
                        </w:r>
                      </w:p>
                      <w:p>
                        <w:pPr>
                          <w:jc w:val="center"/>
                          <w:rPr>
                            <w:sz w:val="18"/>
                            <w:szCs w:val="18"/>
                          </w:rPr>
                        </w:pPr>
                        <w:r>
                          <w:rPr>
                            <w:rFonts w:hint="eastAsia"/>
                            <w:sz w:val="18"/>
                            <w:szCs w:val="18"/>
                          </w:rPr>
                          <w:t>突发环境事件应急预案</w:t>
                        </w:r>
                      </w:p>
                      <w:p>
                        <w:pPr>
                          <w:jc w:val="center"/>
                          <w:rPr>
                            <w:sz w:val="18"/>
                            <w:szCs w:val="18"/>
                          </w:rPr>
                        </w:pPr>
                      </w:p>
                    </w:txbxContent>
                  </v:textbox>
                </v:shape>
                <v:line id="直线 8" o:spid="_x0000_s1026" o:spt="20" style="position:absolute;left:2521252;top:752186;height:297506;width:700;" filled="f" stroked="t" coordsize="21600,21600" o:gfxdata="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hM+Zr1wAAAAUBAAAPAAAAAAAAAAEAIAAAACIAAABkcnMvZG93bnJldi54bWxQSwECFAAUAAAA&#10;CACHTuJAwC4dLe8BAADDAwAADgAAAAAAAAABACAAAAAmAQAAZHJzL2Uyb0RvYy54bWxQSwUGAAAA&#10;AAYABgBZAQAAhwUAAAAA&#10;">
                  <v:fill on="f" focussize="0,0"/>
                  <v:stroke color="#000000" joinstyle="round" startarrow="block"/>
                  <v:imagedata o:title=""/>
                  <o:lock v:ext="edit" aspectratio="f"/>
                </v:line>
                <v:shape id="文本框 924" o:spid="_x0000_s1026" o:spt="202" type="#_x0000_t202" style="position:absolute;left:3644265;top:1782445;height:531495;width:1608455;" fillcolor="#FFFFFF" filled="t" stroked="t" coordsize="21600,21600" o:gfxdata="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">
                  <v:fill on="t" focussize="0,0"/>
                  <v:stroke weight="1.5pt" color="#000000" miterlimit="8" joinstyle="miter"/>
                  <v:imagedata o:title=""/>
                  <o:lock v:ext="edit" aspectratio="f"/>
                  <v:shadow on="t" color="#808080" opacity="32768f" offset="6pt,6pt" origin="0f,0f" matrix="65536f,0f,0f,65536f"/>
                  <v:textbox>
                    <w:txbxContent>
                      <w:p>
                        <w:pPr>
                          <w:jc w:val="center"/>
                          <w:rPr>
                            <w:rFonts w:hint="eastAsia"/>
                            <w:sz w:val="18"/>
                            <w:szCs w:val="18"/>
                            <w:lang w:eastAsia="zh-CN"/>
                          </w:rPr>
                        </w:pPr>
                        <w:r>
                          <w:rPr>
                            <w:rFonts w:hint="eastAsia"/>
                            <w:sz w:val="18"/>
                            <w:szCs w:val="18"/>
                            <w:lang w:eastAsia="zh-CN"/>
                          </w:rPr>
                          <w:t>翁源县中源发展有限公司</w:t>
                        </w:r>
                      </w:p>
                      <w:p>
                        <w:pPr>
                          <w:jc w:val="center"/>
                          <w:rPr>
                            <w:sz w:val="18"/>
                            <w:szCs w:val="18"/>
                          </w:rPr>
                        </w:pPr>
                        <w:r>
                          <w:rPr>
                            <w:rFonts w:hint="eastAsia"/>
                            <w:sz w:val="18"/>
                            <w:szCs w:val="18"/>
                          </w:rPr>
                          <w:t>生产安全事故应急预案</w:t>
                        </w:r>
                      </w:p>
                      <w:p>
                        <w:pPr>
                          <w:jc w:val="center"/>
                          <w:rPr>
                            <w:sz w:val="18"/>
                            <w:szCs w:val="18"/>
                          </w:rPr>
                        </w:pPr>
                      </w:p>
                    </w:txbxContent>
                  </v:textbox>
                </v:shape>
                <v:line id="直线 8" o:spid="_x0000_s1026" o:spt="20" style="position:absolute;left:3395881;top:2104329;flip:x;height:0;width:248538;" filled="f" stroked="t" coordsize="21600,21600" o:gfxdata="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ZABMzXAAAABQEAAA8AAAAAAAAAAQAgAAAAIgAAAGRycy9kb3ducmV2Lnht&#10;bFBLAQIUABQAAAAIAIdO4kAGpZy2+gEAAMwDAAAOAAAAAAAAAAEAIAAAACYBAABkcnMvZTJvRG9j&#10;LnhtbFBLBQYAAAAABgAGAFkBAACSBQAAAAA=&#10;">
                  <v:fill on="f" focussize="0,0"/>
                  <v:stroke color="#000000" joinstyle="round" endarrow="block"/>
                  <v:imagedata o:title=""/>
                  <o:lock v:ext="edit" aspectratio="f"/>
                </v:line>
                <v:line id="直线 8" o:spid="_x0000_s1026" o:spt="20" style="position:absolute;left:1541305;top:1893522;flip:x;height:0;width:248538;" filled="f" stroked="t" coordsize="21600,21600" o:gfxdata="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sTmJb1gAAAAUBAAAPAAAAAAAAAAEAIAAAACIAAABkcnMvZG93bnJldi54bWxQSwEC&#10;FAAUAAAACACHTuJA4Vo7kfYBAADMAwAADgAAAAAAAAABACAAAAAlAQAAZHJzL2Uyb0RvYy54bWxQ&#10;SwUGAAAAAAYABgBZAQAAjQUAAAAA&#10;">
                  <v:fill on="f" focussize="0,0"/>
                  <v:stroke color="#000000" joinstyle="round" startarrow="block"/>
                  <v:imagedata o:title=""/>
                  <o:lock v:ext="edit" aspectratio="f"/>
                </v:line>
                <v:line id="直线 8" o:spid="_x0000_s1026" o:spt="20" style="position:absolute;left:1541242;top:2106572;flip:x;height:0;width:248538;" filled="f" stroked="t" coordsize="21600,21600" o:gfxdata="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2QATM1wAAAAUBAAAPAAAAAAAAAAEAIAAAACIAAABkcnMvZG93bnJldi54bWxQ&#10;SwECFAAUAAAACACHTuJADoAfG/gBAADMAwAADgAAAAAAAAABACAAAAAmAQAAZHJzL2Uyb0RvYy54&#10;bWxQSwUGAAAAAAYABgBZAQAAkAUAAAAA&#10;">
                  <v:fill on="f" focussize="0,0"/>
                  <v:stroke color="#000000" joinstyle="round" endarrow="block"/>
                  <v:imagedata o:title=""/>
                  <o:lock v:ext="edit" aspectratio="f"/>
                </v:line>
                <v:shape id="文本框 924" o:spid="_x0000_s1026" o:spt="202" type="#_x0000_t202" style="position:absolute;left:71562;top:1781925;height:435214;width:1469547;" fillcolor="#FFFFFF" filled="t" stroked="t" coordsize="21600,21600" o:gfxdata="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A4&#10;nyAe1AAAAAUBAAAPAAAAAAAAAAEAIAAAACIAAABkcnMvZG93bnJldi54bWxQSwECFAAUAAAACACH&#10;TuJAq2SIPZoCAAA+BQAADgAAAAAAAAABACAAAAAjAQAAZHJzL2Uyb0RvYy54bWxQSwUGAAAAAAYA&#10;BgBZAQAALwYAAAAA&#10;">
                  <v:fill on="t" focussize="0,0"/>
                  <v:stroke weight="1.5pt" color="#000000" miterlimit="8" joinstyle="miter"/>
                  <v:imagedata o:title=""/>
                  <o:lock v:ext="edit" aspectratio="f"/>
                  <v:shadow on="t" color="#808080" opacity="32768f" offset="6pt,6pt" origin="0f,0f" matrix="65536f,0f,0f,65536f"/>
                  <v:textbox>
                    <w:txbxContent>
                      <w:p>
                        <w:pPr>
                          <w:jc w:val="center"/>
                          <w:rPr>
                            <w:rFonts w:hint="eastAsia"/>
                            <w:sz w:val="18"/>
                            <w:szCs w:val="18"/>
                          </w:rPr>
                        </w:pPr>
                        <w:r>
                          <w:rPr>
                            <w:rFonts w:hint="eastAsia"/>
                            <w:sz w:val="18"/>
                            <w:szCs w:val="18"/>
                          </w:rPr>
                          <w:t>周边企业</w:t>
                        </w:r>
                      </w:p>
                      <w:p>
                        <w:pPr>
                          <w:jc w:val="center"/>
                          <w:rPr>
                            <w:sz w:val="18"/>
                            <w:szCs w:val="18"/>
                          </w:rPr>
                        </w:pPr>
                        <w:r>
                          <w:rPr>
                            <w:rFonts w:hint="eastAsia"/>
                            <w:sz w:val="18"/>
                            <w:szCs w:val="18"/>
                          </w:rPr>
                          <w:t>突发环境事件应急预案</w:t>
                        </w:r>
                      </w:p>
                      <w:p>
                        <w:pPr>
                          <w:jc w:val="center"/>
                          <w:rPr>
                            <w:sz w:val="18"/>
                            <w:szCs w:val="18"/>
                          </w:rPr>
                        </w:pPr>
                      </w:p>
                    </w:txbxContent>
                  </v:textbox>
                </v:shape>
                <v:shape id="文本框 553" o:spid="_x0000_s1026" o:spt="202" type="#_x0000_t202" style="position:absolute;left:673735;top:2856230;height:281940;width:1067435;" fillcolor="#FFFFFF" filled="t" stroked="t" coordsize="21600,21600" o:gfxdata="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Dif&#10;IB7UAAAABQEAAA8AAAAAAAAAAQAgAAAAIgAAAGRycy9kb3ducmV2LnhtbFBLAQIUABQAAAAIAIdO&#10;4kDWrEBhmQIAAD8FAAAOAAAAAAAAAAEAIAAAACMBAABkcnMvZTJvRG9jLnhtbFBLBQYAAAAABgAG&#10;AFkBAAAuBgAAAAA=&#10;">
                  <v:fill on="t" focussize="0,0"/>
                  <v:stroke weight="1.5pt" color="#000000" miterlimit="8" joinstyle="miter"/>
                  <v:imagedata o:title=""/>
                  <o:lock v:ext="edit" aspectratio="f"/>
                  <v:shadow on="t" color="#808080" opacity="32768f" offset="6pt,6pt" origin="0f,0f" matrix="65536f,0f,0f,65536f"/>
                  <v:textbox>
                    <w:txbxContent>
                      <w:p>
                        <w:pPr>
                          <w:jc w:val="center"/>
                          <w:rPr>
                            <w:rFonts w:hint="eastAsia" w:eastAsia="宋体"/>
                            <w:sz w:val="18"/>
                            <w:szCs w:val="18"/>
                            <w:lang w:eastAsia="zh-CN"/>
                          </w:rPr>
                        </w:pPr>
                        <w:r>
                          <w:rPr>
                            <w:rFonts w:hint="eastAsia"/>
                            <w:sz w:val="18"/>
                            <w:szCs w:val="18"/>
                            <w:lang w:eastAsia="zh-CN"/>
                          </w:rPr>
                          <w:t>应急处置卡片</w:t>
                        </w:r>
                      </w:p>
                    </w:txbxContent>
                  </v:textbox>
                </v:shape>
                <v:line id="直线 8" o:spid="_x0000_s1026" o:spt="20" style="position:absolute;left:1270000;top:2567305;flip:x;height:1905;width:2473960;" filled="f" stroked="t" coordsize="21600,21600" o:gfxdata="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MFqPVHVAAAABQEAAA8AAAAAAAAAAQAgAAAAIgAAAGRycy9kb3ducmV2LnhtbFBLAQIUABQA&#10;AAAIAIdO4kBKbL848wEAAMwDAAAOAAAAAAAAAAEAIAAAACQBAABkcnMvZTJvRG9jLnhtbFBLBQYA&#10;AAAABgAGAFkBAACJBQAAAAA=&#10;">
                  <v:fill on="f" focussize="0,0"/>
                  <v:stroke color="#000000" joinstyle="round"/>
                  <v:imagedata o:title=""/>
                  <o:lock v:ext="edit" aspectratio="f"/>
                </v:line>
                <v:line id="直线 8" o:spid="_x0000_s1026" o:spt="20" style="position:absolute;left:1278890;top:2574925;height:297815;width:635;" filled="f" stroked="t" coordsize="21600,21600" o:gfxdata="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iiRn9cA&#10;AAAFAQAADwAAAAAAAAABACAAAAAiAAAAZHJzL2Rvd25yZXYueG1sUEsBAhQAFAAAAAgAh07iQIHb&#10;2C/nAQAArAMAAA4AAAAAAAAAAQAgAAAAJgEAAGRycy9lMm9Eb2MueG1sUEsFBgAAAAAGAAYAWQEA&#10;AH8FAAAAAA==&#10;">
                  <v:fill on="f" focussize="0,0"/>
                  <v:stroke color="#000000" joinstyle="round" endarrow="block"/>
                  <v:imagedata o:title=""/>
                  <o:lock v:ext="edit" aspectratio="f"/>
                </v:line>
                <v:line id="直线 8" o:spid="_x0000_s1026" o:spt="20" style="position:absolute;left:3743960;top:2567940;height:297815;width:635;" filled="f" stroked="t" coordsize="21600,21600" o:gfxdata="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iiRn9cA&#10;AAAFAQAADwAAAAAAAAABACAAAAAiAAAAZHJzL2Rvd25yZXYueG1sUEsBAhQAFAAAAAgAh07iQBXK&#10;NV7nAQAArAMAAA4AAAAAAAAAAQAgAAAAJgEAAGRycy9lMm9Eb2MueG1sUEsFBgAAAAAGAAYAWQEA&#10;AH8FAAAAAA==&#10;">
                  <v:fill on="f" focussize="0,0"/>
                  <v:stroke color="#000000" joinstyle="round" endarrow="block"/>
                  <v:imagedata o:title=""/>
                  <o:lock v:ext="edit" aspectratio="f"/>
                </v:line>
                <v:shape id="文本框 553" o:spid="_x0000_s1026" o:spt="202" type="#_x0000_t202" style="position:absolute;left:3295650;top:2849245;height:281940;width:1045210;" fillcolor="#FFFFFF" filled="t" stroked="t" coordsize="21600,21600" o:gfxdata="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">
                  <v:fill on="t" focussize="0,0"/>
                  <v:stroke weight="1.5pt" color="#000000" miterlimit="8" joinstyle="miter"/>
                  <v:imagedata o:title=""/>
                  <o:lock v:ext="edit" aspectratio="f"/>
                  <v:shadow on="t" color="#808080" opacity="32768f" offset="6pt,6pt" origin="0f,0f" matrix="65536f,0f,0f,65536f"/>
                  <v:textbox>
                    <w:txbxContent>
                      <w:p>
                        <w:pPr>
                          <w:jc w:val="center"/>
                          <w:rPr>
                            <w:rFonts w:hint="default" w:eastAsia="宋体"/>
                            <w:sz w:val="18"/>
                            <w:szCs w:val="18"/>
                            <w:lang w:val="en-US" w:eastAsia="zh-CN"/>
                          </w:rPr>
                        </w:pPr>
                        <w:r>
                          <w:rPr>
                            <w:rFonts w:hint="eastAsia"/>
                            <w:sz w:val="18"/>
                            <w:szCs w:val="18"/>
                            <w:lang w:val="en-US" w:eastAsia="zh-CN"/>
                          </w:rPr>
                          <w:t>专项预案</w:t>
                        </w:r>
                      </w:p>
                    </w:txbxContent>
                  </v:textbox>
                </v:shape>
                <w10:wrap type="none"/>
                <w10:anchorlock/>
              </v:group>
            </w:pict>
          </mc:Fallback>
        </mc:AlternateContent>
      </w:r>
    </w:p>
    <w:p>
      <w:pPr>
        <w:spacing w:before="157" w:beforeLines="50" w:line="360" w:lineRule="auto"/>
        <w:jc w:val="center"/>
        <w:rPr>
          <w:rFonts w:eastAsia="仿宋_GB2312"/>
          <w:sz w:val="24"/>
        </w:rPr>
      </w:pPr>
      <w:r>
        <w:rPr>
          <w:rFonts w:hint="eastAsia"/>
          <w:b/>
          <w:szCs w:val="21"/>
        </w:rPr>
        <w:t>图</w:t>
      </w:r>
      <w:r>
        <w:rPr>
          <w:b/>
          <w:szCs w:val="21"/>
        </w:rPr>
        <w:t xml:space="preserve">1-1 </w:t>
      </w:r>
      <w:r>
        <w:rPr>
          <w:rFonts w:hint="eastAsia"/>
          <w:b/>
          <w:szCs w:val="21"/>
        </w:rPr>
        <w:t>突发环境事件应急预案体系示意图</w:t>
      </w:r>
    </w:p>
    <w:p>
      <w:pPr>
        <w:spacing w:before="120" w:beforeLines="50" w:line="360" w:lineRule="auto"/>
        <w:outlineLvl w:val="1"/>
        <w:rPr>
          <w:b/>
          <w:sz w:val="30"/>
          <w:szCs w:val="30"/>
        </w:rPr>
      </w:pPr>
      <w:bookmarkStart w:id="18" w:name="_Toc6966"/>
      <w:bookmarkStart w:id="19" w:name="_Toc446429667"/>
      <w:r>
        <w:rPr>
          <w:b/>
          <w:sz w:val="30"/>
          <w:szCs w:val="30"/>
        </w:rPr>
        <w:t>1.7应急预案编制程序</w:t>
      </w:r>
      <w:bookmarkEnd w:id="18"/>
      <w:bookmarkEnd w:id="19"/>
    </w:p>
    <w:p>
      <w:pPr>
        <w:spacing w:before="120" w:beforeLines="50" w:line="360" w:lineRule="auto"/>
        <w:ind w:firstLine="480" w:firstLineChars="200"/>
        <w:rPr>
          <w:rFonts w:eastAsia="仿宋_GB2312"/>
          <w:sz w:val="24"/>
        </w:rPr>
      </w:pPr>
      <w:r>
        <w:rPr>
          <w:rFonts w:eastAsia="仿宋_GB2312"/>
          <w:sz w:val="24"/>
        </w:rPr>
        <w:t>本预案编制严格参照《突发环境事件应急预案管理暂行办法》（环发【2010】113号）的规定进行，其编制程序见图</w:t>
      </w:r>
      <w:r>
        <w:rPr>
          <w:rFonts w:hint="eastAsia" w:eastAsia="仿宋_GB2312"/>
          <w:sz w:val="24"/>
        </w:rPr>
        <w:t>1.7-1</w:t>
      </w:r>
      <w:r>
        <w:rPr>
          <w:rFonts w:eastAsia="仿宋_GB2312"/>
          <w:sz w:val="24"/>
        </w:rPr>
        <w:t>：</w:t>
      </w:r>
    </w:p>
    <w:p>
      <w:pPr>
        <w:pStyle w:val="2"/>
        <w:rPr>
          <w:rFonts w:eastAsia="仿宋_GB2312"/>
        </w:rPr>
      </w:pPr>
    </w:p>
    <w:p>
      <w:pPr>
        <w:pStyle w:val="2"/>
        <w:rPr>
          <w:rFonts w:eastAsia="仿宋_GB2312"/>
        </w:rPr>
      </w:pPr>
    </w:p>
    <w:p>
      <w:pPr>
        <w:pStyle w:val="2"/>
      </w:pPr>
    </w:p>
    <w:p>
      <w:pPr>
        <w:pStyle w:val="2"/>
        <w:jc w:val="center"/>
        <w:rPr>
          <w:rFonts w:eastAsia="仿宋_GB2312"/>
        </w:rPr>
      </w:pPr>
      <w:r>
        <w:drawing>
          <wp:inline distT="0" distB="0" distL="114300" distR="114300">
            <wp:extent cx="4366260" cy="5684520"/>
            <wp:effectExtent l="0" t="0" r="762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6"/>
                    <a:srcRect b="3866"/>
                    <a:stretch>
                      <a:fillRect/>
                    </a:stretch>
                  </pic:blipFill>
                  <pic:spPr>
                    <a:xfrm>
                      <a:off x="0" y="0"/>
                      <a:ext cx="4366260" cy="5684520"/>
                    </a:xfrm>
                    <a:prstGeom prst="rect">
                      <a:avLst/>
                    </a:prstGeom>
                    <a:noFill/>
                    <a:ln>
                      <a:noFill/>
                    </a:ln>
                  </pic:spPr>
                </pic:pic>
              </a:graphicData>
            </a:graphic>
          </wp:inline>
        </w:drawing>
      </w:r>
    </w:p>
    <w:p>
      <w:pPr>
        <w:spacing w:before="240" w:beforeLines="100" w:line="360" w:lineRule="auto"/>
        <w:ind w:left="-104" w:leftChars="-202" w:hanging="320" w:hangingChars="152"/>
        <w:jc w:val="center"/>
        <w:rPr>
          <w:sz w:val="28"/>
          <w:szCs w:val="28"/>
        </w:rPr>
      </w:pPr>
      <w:r>
        <w:rPr>
          <w:rFonts w:hint="eastAsia" w:eastAsia="仿宋_GB2312"/>
          <w:b/>
          <w:szCs w:val="21"/>
        </w:rPr>
        <w:t>图1.7-1</w:t>
      </w:r>
      <w:r>
        <w:rPr>
          <w:rFonts w:eastAsia="仿宋_GB2312"/>
          <w:b/>
          <w:szCs w:val="21"/>
        </w:rPr>
        <w:t xml:space="preserve">  </w:t>
      </w:r>
      <w:r>
        <w:rPr>
          <w:rFonts w:hint="eastAsia" w:eastAsia="仿宋_GB2312"/>
          <w:b/>
          <w:szCs w:val="21"/>
        </w:rPr>
        <w:t>环境应急预案编制程序图</w:t>
      </w:r>
    </w:p>
    <w:p>
      <w:pPr>
        <w:spacing w:before="120" w:beforeLines="50" w:after="120" w:afterLines="50"/>
        <w:ind w:firstLine="301"/>
        <w:jc w:val="center"/>
        <w:rPr>
          <w:rFonts w:eastAsia="仿宋_GB2312"/>
          <w:b/>
          <w:szCs w:val="21"/>
        </w:rPr>
      </w:pPr>
      <w:bookmarkStart w:id="20" w:name="_Toc463365757"/>
    </w:p>
    <w:bookmarkEnd w:id="20"/>
    <w:p>
      <w:pPr>
        <w:spacing w:before="120" w:beforeLines="50" w:after="120" w:afterLines="50"/>
        <w:ind w:firstLine="301"/>
        <w:jc w:val="center"/>
        <w:rPr>
          <w:rFonts w:eastAsia="仿宋_GB2312"/>
          <w:b/>
          <w:szCs w:val="21"/>
        </w:rPr>
      </w:pPr>
      <w:bookmarkStart w:id="21" w:name="_Toc446429669"/>
      <w:bookmarkStart w:id="22" w:name="_Toc401395959"/>
    </w:p>
    <w:bookmarkEnd w:id="21"/>
    <w:bookmarkEnd w:id="22"/>
    <w:p>
      <w:pPr>
        <w:spacing w:before="120" w:beforeLines="50" w:line="360" w:lineRule="auto"/>
        <w:ind w:firstLine="480" w:firstLineChars="200"/>
        <w:rPr>
          <w:rFonts w:eastAsia="仿宋_GB2312"/>
          <w:sz w:val="24"/>
        </w:rPr>
      </w:pPr>
    </w:p>
    <w:p>
      <w:pPr>
        <w:spacing w:before="120" w:beforeLines="50" w:line="360" w:lineRule="auto"/>
        <w:ind w:firstLine="480" w:firstLineChars="200"/>
        <w:rPr>
          <w:rFonts w:eastAsia="仿宋_GB2312"/>
          <w:sz w:val="24"/>
        </w:rPr>
      </w:pPr>
    </w:p>
    <w:p>
      <w:pPr>
        <w:spacing w:before="120" w:beforeLines="50" w:line="360" w:lineRule="auto"/>
        <w:ind w:firstLine="480" w:firstLineChars="200"/>
        <w:rPr>
          <w:rFonts w:eastAsia="仿宋_GB2312"/>
          <w:sz w:val="24"/>
        </w:rPr>
      </w:pPr>
    </w:p>
    <w:p>
      <w:pPr>
        <w:spacing w:before="120" w:beforeLines="50" w:line="360" w:lineRule="auto"/>
        <w:ind w:firstLine="480" w:firstLineChars="200"/>
        <w:rPr>
          <w:rFonts w:eastAsia="仿宋_GB2312"/>
          <w:sz w:val="24"/>
        </w:rPr>
      </w:pPr>
    </w:p>
    <w:p>
      <w:pPr>
        <w:spacing w:before="120" w:beforeLines="50" w:line="360" w:lineRule="auto"/>
        <w:ind w:firstLine="480" w:firstLineChars="200"/>
        <w:rPr>
          <w:rFonts w:eastAsia="仿宋_GB2312"/>
          <w:sz w:val="24"/>
        </w:rPr>
      </w:pPr>
    </w:p>
    <w:p>
      <w:pPr>
        <w:spacing w:before="120" w:beforeLines="50" w:line="360" w:lineRule="auto"/>
        <w:ind w:firstLine="480" w:firstLineChars="200"/>
        <w:rPr>
          <w:rFonts w:eastAsia="仿宋_GB2312"/>
          <w:sz w:val="24"/>
        </w:rPr>
        <w:sectPr>
          <w:headerReference r:id="rId10" w:type="default"/>
          <w:footerReference r:id="rId11" w:type="default"/>
          <w:pgSz w:w="11906" w:h="16838"/>
          <w:pgMar w:top="1440" w:right="1797" w:bottom="1440" w:left="1797" w:header="851" w:footer="992" w:gutter="0"/>
          <w:pgNumType w:fmt="decimal" w:start="1"/>
          <w:cols w:space="720" w:num="1"/>
          <w:docGrid w:linePitch="312" w:charSpace="0"/>
        </w:sectPr>
      </w:pPr>
    </w:p>
    <w:p>
      <w:pPr>
        <w:spacing w:before="157" w:beforeLines="50" w:after="157" w:afterLines="50" w:line="360" w:lineRule="auto"/>
        <w:jc w:val="center"/>
        <w:outlineLvl w:val="0"/>
        <w:rPr>
          <w:rFonts w:hint="default"/>
          <w:b/>
          <w:sz w:val="36"/>
          <w:szCs w:val="36"/>
          <w:lang w:val="en-US"/>
        </w:rPr>
      </w:pPr>
      <w:bookmarkStart w:id="23" w:name="1066184-1128024-6"/>
      <w:bookmarkEnd w:id="23"/>
      <w:r>
        <w:rPr>
          <w:b/>
          <w:sz w:val="36"/>
          <w:szCs w:val="36"/>
        </w:rPr>
        <w:t xml:space="preserve"> </w:t>
      </w:r>
      <w:bookmarkStart w:id="24" w:name="_Toc5854"/>
      <w:r>
        <w:rPr>
          <w:rFonts w:hint="eastAsia"/>
          <w:b/>
          <w:sz w:val="36"/>
          <w:szCs w:val="36"/>
          <w:lang w:val="en-US" w:eastAsia="zh-CN"/>
        </w:rPr>
        <w:t>2 基本情况</w:t>
      </w:r>
      <w:bookmarkEnd w:id="24"/>
    </w:p>
    <w:p>
      <w:pPr>
        <w:spacing w:before="120" w:beforeLines="50" w:line="360" w:lineRule="auto"/>
        <w:outlineLvl w:val="1"/>
        <w:rPr>
          <w:b/>
          <w:sz w:val="30"/>
          <w:szCs w:val="30"/>
        </w:rPr>
      </w:pPr>
      <w:bookmarkStart w:id="25" w:name="_Toc25724"/>
      <w:r>
        <w:rPr>
          <w:rFonts w:hint="eastAsia"/>
          <w:b/>
          <w:sz w:val="30"/>
          <w:szCs w:val="30"/>
        </w:rPr>
        <w:t>2</w:t>
      </w:r>
      <w:r>
        <w:rPr>
          <w:b/>
          <w:sz w:val="30"/>
          <w:szCs w:val="30"/>
        </w:rPr>
        <w:t>.1</w:t>
      </w:r>
      <w:r>
        <w:rPr>
          <w:rFonts w:hint="eastAsia"/>
          <w:b/>
          <w:sz w:val="30"/>
          <w:szCs w:val="30"/>
        </w:rPr>
        <w:t>企业基本信息</w:t>
      </w:r>
      <w:bookmarkEnd w:id="25"/>
    </w:p>
    <w:p>
      <w:pPr>
        <w:spacing w:before="120" w:beforeLines="50" w:line="360" w:lineRule="auto"/>
        <w:outlineLvl w:val="2"/>
        <w:rPr>
          <w:b/>
          <w:sz w:val="28"/>
          <w:szCs w:val="28"/>
        </w:rPr>
      </w:pPr>
      <w:bookmarkStart w:id="26" w:name="_Toc21969"/>
      <w:r>
        <w:rPr>
          <w:rFonts w:hint="eastAsia"/>
          <w:b/>
          <w:sz w:val="28"/>
          <w:szCs w:val="28"/>
        </w:rPr>
        <w:t>2</w:t>
      </w:r>
      <w:r>
        <w:rPr>
          <w:b/>
          <w:sz w:val="28"/>
          <w:szCs w:val="28"/>
        </w:rPr>
        <w:t>.1.1</w:t>
      </w:r>
      <w:r>
        <w:rPr>
          <w:rFonts w:hint="eastAsia"/>
          <w:b/>
          <w:sz w:val="28"/>
          <w:szCs w:val="28"/>
        </w:rPr>
        <w:t>位置交通</w:t>
      </w:r>
      <w:bookmarkEnd w:id="26"/>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2"/>
        <w:textAlignment w:val="auto"/>
        <w:rPr>
          <w:rFonts w:ascii="Times New Roman" w:hAnsi="Times New Roman" w:eastAsia="仿宋_GB2312"/>
          <w:sz w:val="24"/>
        </w:rPr>
      </w:pPr>
      <w:r>
        <w:rPr>
          <w:rFonts w:hint="eastAsia" w:ascii="Times New Roman" w:hAnsi="Times New Roman" w:eastAsia="仿宋_GB2312"/>
          <w:sz w:val="24"/>
          <w:lang w:val="zh-CN"/>
        </w:rPr>
        <w:t>翁源县中源发展有限公司</w:t>
      </w:r>
      <w:r>
        <w:rPr>
          <w:rFonts w:ascii="Times New Roman" w:hAnsi="Times New Roman" w:eastAsia="仿宋_GB2312"/>
          <w:sz w:val="24"/>
        </w:rPr>
        <w:t>位于</w:t>
      </w:r>
      <w:r>
        <w:rPr>
          <w:rFonts w:hint="eastAsia" w:ascii="Times New Roman" w:hAnsi="Times New Roman" w:eastAsia="仿宋_GB2312"/>
          <w:sz w:val="24"/>
          <w:lang w:eastAsia="zh-CN"/>
        </w:rPr>
        <w:t>翁源县</w:t>
      </w:r>
      <w:r>
        <w:rPr>
          <w:rFonts w:hint="eastAsia" w:eastAsia="仿宋_GB2312"/>
          <w:sz w:val="24"/>
          <w:lang w:eastAsia="zh-CN"/>
        </w:rPr>
        <w:t>铁龙镇</w:t>
      </w:r>
      <w:r>
        <w:rPr>
          <w:rFonts w:hint="eastAsia" w:ascii="Times New Roman" w:hAnsi="Times New Roman" w:eastAsia="仿宋_GB2312"/>
          <w:sz w:val="24"/>
          <w:lang w:eastAsia="zh-CN"/>
        </w:rPr>
        <w:t>龙体工区</w:t>
      </w:r>
      <w:r>
        <w:rPr>
          <w:rFonts w:hint="eastAsia" w:ascii="Times New Roman" w:hAnsi="Times New Roman" w:eastAsia="仿宋_GB2312" w:cs="Times New Roman"/>
          <w:sz w:val="24"/>
          <w:lang w:val="zh-CN"/>
        </w:rPr>
        <w:t>，中心地理坐标为北纬2</w:t>
      </w:r>
      <w:r>
        <w:rPr>
          <w:rFonts w:hint="eastAsia" w:ascii="Times New Roman" w:hAnsi="Times New Roman" w:eastAsia="仿宋_GB2312" w:cs="Times New Roman"/>
          <w:sz w:val="24"/>
          <w:lang w:val="en-US" w:eastAsia="zh-CN"/>
        </w:rPr>
        <w:t>4</w:t>
      </w:r>
      <w:r>
        <w:rPr>
          <w:rFonts w:hint="eastAsia" w:ascii="Times New Roman" w:hAnsi="Times New Roman" w:eastAsia="仿宋_GB2312" w:cs="Times New Roman"/>
          <w:sz w:val="24"/>
          <w:lang w:val="zh-CN"/>
        </w:rPr>
        <w:t>°</w:t>
      </w:r>
      <w:r>
        <w:rPr>
          <w:rFonts w:hint="eastAsia" w:ascii="Times New Roman" w:hAnsi="Times New Roman" w:eastAsia="仿宋_GB2312" w:cs="Times New Roman"/>
          <w:sz w:val="24"/>
          <w:lang w:val="en-US" w:eastAsia="zh-CN"/>
        </w:rPr>
        <w:t>30</w:t>
      </w:r>
      <w:r>
        <w:rPr>
          <w:rFonts w:hint="eastAsia" w:ascii="Times New Roman" w:hAnsi="Times New Roman" w:eastAsia="仿宋_GB2312" w:cs="Times New Roman"/>
          <w:sz w:val="24"/>
          <w:lang w:val="zh-CN"/>
        </w:rPr>
        <w:t>′</w:t>
      </w:r>
      <w:r>
        <w:rPr>
          <w:rFonts w:hint="eastAsia" w:ascii="Times New Roman" w:hAnsi="Times New Roman" w:eastAsia="仿宋_GB2312" w:cs="Times New Roman"/>
          <w:sz w:val="24"/>
          <w:lang w:val="en-US" w:eastAsia="zh-CN"/>
        </w:rPr>
        <w:t>35</w:t>
      </w:r>
      <w:r>
        <w:rPr>
          <w:rFonts w:hint="eastAsia" w:ascii="Times New Roman" w:hAnsi="Times New Roman" w:eastAsia="仿宋_GB2312" w:cs="Times New Roman"/>
          <w:sz w:val="24"/>
          <w:lang w:val="zh-CN"/>
        </w:rPr>
        <w:t>″，东经113°</w:t>
      </w:r>
      <w:r>
        <w:rPr>
          <w:rFonts w:hint="eastAsia" w:ascii="Times New Roman" w:hAnsi="Times New Roman" w:eastAsia="仿宋_GB2312" w:cs="Times New Roman"/>
          <w:sz w:val="24"/>
          <w:lang w:val="en-US" w:eastAsia="zh-CN"/>
        </w:rPr>
        <w:t>40</w:t>
      </w:r>
      <w:r>
        <w:rPr>
          <w:rFonts w:hint="eastAsia" w:ascii="Times New Roman" w:hAnsi="Times New Roman" w:eastAsia="仿宋_GB2312" w:cs="Times New Roman"/>
          <w:sz w:val="24"/>
          <w:lang w:val="zh-CN"/>
        </w:rPr>
        <w:t>'</w:t>
      </w:r>
      <w:r>
        <w:rPr>
          <w:rFonts w:hint="eastAsia" w:ascii="Times New Roman" w:hAnsi="Times New Roman" w:eastAsia="仿宋_GB2312" w:cs="Times New Roman"/>
          <w:sz w:val="24"/>
          <w:lang w:val="en-US" w:eastAsia="zh-CN"/>
        </w:rPr>
        <w:t>17</w:t>
      </w:r>
      <w:r>
        <w:rPr>
          <w:rFonts w:hint="eastAsia" w:ascii="Times New Roman" w:hAnsi="Times New Roman" w:eastAsia="仿宋_GB2312" w:cs="Times New Roman"/>
          <w:sz w:val="24"/>
          <w:lang w:val="zh-CN"/>
        </w:rPr>
        <w:t>″。公</w:t>
      </w:r>
      <w:r>
        <w:rPr>
          <w:rFonts w:ascii="Times New Roman" w:hAnsi="Times New Roman" w:eastAsia="仿宋_GB2312"/>
          <w:sz w:val="24"/>
        </w:rPr>
        <w:t>司附近有</w:t>
      </w:r>
      <w:r>
        <w:rPr>
          <w:rFonts w:hint="eastAsia" w:ascii="Times New Roman" w:hAnsi="Times New Roman" w:eastAsia="仿宋_GB2312"/>
          <w:sz w:val="24"/>
          <w:lang w:val="en-US" w:eastAsia="zh-CN"/>
        </w:rPr>
        <w:t>G106</w:t>
      </w:r>
      <w:r>
        <w:rPr>
          <w:rFonts w:hint="eastAsia" w:ascii="Times New Roman" w:hAnsi="Times New Roman" w:eastAsia="仿宋_GB2312"/>
          <w:sz w:val="24"/>
        </w:rPr>
        <w:t>等</w:t>
      </w:r>
      <w:r>
        <w:rPr>
          <w:rFonts w:ascii="Times New Roman" w:hAnsi="Times New Roman" w:eastAsia="仿宋_GB2312"/>
          <w:sz w:val="24"/>
        </w:rPr>
        <w:t>，交通十分便利。</w:t>
      </w:r>
    </w:p>
    <w:p>
      <w:pPr>
        <w:spacing w:before="120" w:beforeLines="50" w:line="360" w:lineRule="auto"/>
        <w:ind w:firstLine="480" w:firstLineChars="200"/>
        <w:rPr>
          <w:rFonts w:eastAsia="仿宋_GB2312"/>
          <w:sz w:val="24"/>
        </w:rPr>
      </w:pPr>
      <w:r>
        <w:rPr>
          <w:rFonts w:hint="eastAsia" w:eastAsia="仿宋_GB2312"/>
          <w:sz w:val="24"/>
          <w:lang w:eastAsia="zh-CN"/>
        </w:rPr>
        <w:t>翁源县中源发展有限公司</w:t>
      </w:r>
      <w:r>
        <w:rPr>
          <w:rFonts w:eastAsia="仿宋_GB2312"/>
          <w:sz w:val="24"/>
        </w:rPr>
        <w:t>地理位置见图</w:t>
      </w:r>
      <w:r>
        <w:rPr>
          <w:rFonts w:hint="eastAsia" w:eastAsia="仿宋_GB2312"/>
          <w:sz w:val="24"/>
        </w:rPr>
        <w:t>2.1</w:t>
      </w:r>
      <w:r>
        <w:rPr>
          <w:rFonts w:eastAsia="仿宋_GB2312"/>
          <w:sz w:val="24"/>
        </w:rPr>
        <w:t>-1。</w:t>
      </w:r>
    </w:p>
    <w:p>
      <w:pPr>
        <w:jc w:val="center"/>
        <w:rPr>
          <w:kern w:val="0"/>
          <w:sz w:val="24"/>
        </w:rPr>
      </w:pPr>
      <w:r>
        <w:drawing>
          <wp:inline distT="0" distB="0" distL="114300" distR="114300">
            <wp:extent cx="5274310" cy="3458210"/>
            <wp:effectExtent l="0" t="0" r="13970" b="1270"/>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pic:cNvPicPr>
                      <a:picLocks noChangeAspect="1"/>
                    </pic:cNvPicPr>
                  </pic:nvPicPr>
                  <pic:blipFill>
                    <a:blip r:embed="rId17"/>
                    <a:stretch>
                      <a:fillRect/>
                    </a:stretch>
                  </pic:blipFill>
                  <pic:spPr>
                    <a:xfrm>
                      <a:off x="0" y="0"/>
                      <a:ext cx="5274310" cy="3458210"/>
                    </a:xfrm>
                    <a:prstGeom prst="rect">
                      <a:avLst/>
                    </a:prstGeom>
                    <a:noFill/>
                    <a:ln>
                      <a:noFill/>
                    </a:ln>
                  </pic:spPr>
                </pic:pic>
              </a:graphicData>
            </a:graphic>
          </wp:inline>
        </w:drawing>
      </w:r>
    </w:p>
    <w:p>
      <w:pPr>
        <w:spacing w:before="120" w:beforeLines="50" w:line="360" w:lineRule="auto"/>
        <w:jc w:val="center"/>
        <w:rPr>
          <w:rFonts w:eastAsia="仿宋_GB2312"/>
          <w:b/>
          <w:szCs w:val="21"/>
        </w:rPr>
      </w:pPr>
      <w:r>
        <w:rPr>
          <w:rFonts w:hint="eastAsia" w:eastAsia="仿宋_GB2312"/>
          <w:b/>
          <w:szCs w:val="21"/>
        </w:rPr>
        <w:t>图2.1</w:t>
      </w:r>
      <w:r>
        <w:rPr>
          <w:rFonts w:eastAsia="仿宋_GB2312"/>
          <w:b/>
          <w:szCs w:val="21"/>
        </w:rPr>
        <w:t xml:space="preserve">-1 </w:t>
      </w:r>
      <w:r>
        <w:rPr>
          <w:rFonts w:hint="eastAsia" w:eastAsia="仿宋_GB2312"/>
          <w:b/>
          <w:szCs w:val="21"/>
          <w:lang w:eastAsia="zh-CN"/>
        </w:rPr>
        <w:t>翁源县中源发展有限公司</w:t>
      </w:r>
      <w:r>
        <w:rPr>
          <w:rFonts w:hint="eastAsia" w:eastAsia="仿宋_GB2312"/>
          <w:b/>
          <w:szCs w:val="21"/>
        </w:rPr>
        <w:t>地理位置图</w:t>
      </w:r>
    </w:p>
    <w:p>
      <w:pPr>
        <w:spacing w:before="120" w:beforeLines="50" w:line="360" w:lineRule="auto"/>
        <w:ind w:firstLine="480" w:firstLineChars="200"/>
        <w:rPr>
          <w:rFonts w:eastAsia="仿宋_GB2312"/>
          <w:sz w:val="24"/>
        </w:rPr>
      </w:pPr>
      <w:r>
        <w:rPr>
          <w:rFonts w:hint="eastAsia" w:eastAsia="仿宋_GB2312"/>
          <w:sz w:val="24"/>
        </w:rPr>
        <w:t>根据现场勘探，</w:t>
      </w:r>
      <w:r>
        <w:rPr>
          <w:rFonts w:hint="eastAsia" w:eastAsia="仿宋_GB2312"/>
          <w:sz w:val="24"/>
          <w:lang w:eastAsia="zh-CN"/>
        </w:rPr>
        <w:t>翁源县中源发展有限公司</w:t>
      </w:r>
      <w:r>
        <w:rPr>
          <w:rFonts w:hint="eastAsia" w:eastAsia="仿宋_GB2312"/>
          <w:sz w:val="24"/>
        </w:rPr>
        <w:t>东面</w:t>
      </w:r>
      <w:r>
        <w:rPr>
          <w:rFonts w:hint="eastAsia" w:eastAsia="仿宋_GB2312"/>
          <w:sz w:val="24"/>
          <w:lang w:val="en-US" w:eastAsia="zh-CN"/>
        </w:rPr>
        <w:t>为耕地，南面、西面、北面为山地</w:t>
      </w:r>
      <w:r>
        <w:rPr>
          <w:rFonts w:hint="eastAsia" w:eastAsia="仿宋_GB2312"/>
          <w:sz w:val="24"/>
        </w:rPr>
        <w:t>。</w:t>
      </w:r>
      <w:r>
        <w:rPr>
          <w:rFonts w:hint="eastAsia" w:eastAsia="仿宋_GB2312"/>
          <w:sz w:val="24"/>
          <w:lang w:eastAsia="zh-CN"/>
        </w:rPr>
        <w:t>翁源县中源发展有限公司</w:t>
      </w:r>
      <w:r>
        <w:rPr>
          <w:rFonts w:eastAsia="仿宋_GB2312"/>
          <w:sz w:val="24"/>
        </w:rPr>
        <w:t>四至图</w:t>
      </w:r>
      <w:r>
        <w:rPr>
          <w:rFonts w:hint="eastAsia" w:eastAsia="仿宋_GB2312"/>
          <w:sz w:val="24"/>
        </w:rPr>
        <w:t>2.1</w:t>
      </w:r>
      <w:r>
        <w:rPr>
          <w:rFonts w:eastAsia="仿宋_GB2312"/>
          <w:sz w:val="24"/>
        </w:rPr>
        <w:t>-2。</w:t>
      </w:r>
    </w:p>
    <w:p>
      <w:pPr>
        <w:spacing w:before="120" w:beforeLines="50" w:line="360" w:lineRule="auto"/>
        <w:rPr>
          <w:kern w:val="0"/>
          <w:sz w:val="24"/>
        </w:rPr>
      </w:pPr>
    </w:p>
    <w:p>
      <w:pPr>
        <w:spacing w:before="120" w:beforeLines="50" w:line="360" w:lineRule="auto"/>
        <w:rPr>
          <w:kern w:val="0"/>
          <w:sz w:val="24"/>
        </w:rPr>
      </w:pPr>
      <w:r>
        <w:drawing>
          <wp:inline distT="0" distB="0" distL="114300" distR="114300">
            <wp:extent cx="5275580" cy="3345815"/>
            <wp:effectExtent l="0" t="0" r="12700" b="6985"/>
            <wp:docPr id="1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
                    <pic:cNvPicPr>
                      <a:picLocks noChangeAspect="1"/>
                    </pic:cNvPicPr>
                  </pic:nvPicPr>
                  <pic:blipFill>
                    <a:blip r:embed="rId18"/>
                    <a:stretch>
                      <a:fillRect/>
                    </a:stretch>
                  </pic:blipFill>
                  <pic:spPr>
                    <a:xfrm>
                      <a:off x="0" y="0"/>
                      <a:ext cx="5275580" cy="3345815"/>
                    </a:xfrm>
                    <a:prstGeom prst="rect">
                      <a:avLst/>
                    </a:prstGeom>
                    <a:noFill/>
                    <a:ln>
                      <a:noFill/>
                    </a:ln>
                  </pic:spPr>
                </pic:pic>
              </a:graphicData>
            </a:graphic>
          </wp:inline>
        </w:drawing>
      </w:r>
    </w:p>
    <w:p>
      <w:pPr>
        <w:spacing w:before="120" w:beforeLines="50" w:line="360" w:lineRule="auto"/>
        <w:jc w:val="center"/>
        <w:rPr>
          <w:rFonts w:eastAsia="仿宋_GB2312"/>
          <w:b/>
          <w:szCs w:val="21"/>
        </w:rPr>
      </w:pPr>
      <w:r>
        <w:rPr>
          <w:rFonts w:hint="eastAsia" w:eastAsia="仿宋_GB2312"/>
          <w:b/>
          <w:szCs w:val="21"/>
        </w:rPr>
        <w:t>图2.1</w:t>
      </w:r>
      <w:r>
        <w:rPr>
          <w:rFonts w:eastAsia="仿宋_GB2312"/>
          <w:b/>
          <w:szCs w:val="21"/>
        </w:rPr>
        <w:t xml:space="preserve">-2 </w:t>
      </w:r>
      <w:r>
        <w:rPr>
          <w:rFonts w:hint="eastAsia" w:eastAsia="仿宋_GB2312"/>
          <w:b/>
          <w:szCs w:val="21"/>
          <w:lang w:eastAsia="zh-CN"/>
        </w:rPr>
        <w:t>翁源县中源发展有限公司</w:t>
      </w:r>
      <w:r>
        <w:rPr>
          <w:rFonts w:hint="eastAsia" w:eastAsia="仿宋_GB2312"/>
          <w:b/>
          <w:szCs w:val="21"/>
        </w:rPr>
        <w:t>四至图</w:t>
      </w:r>
    </w:p>
    <w:p>
      <w:pPr>
        <w:spacing w:before="120" w:beforeLines="50" w:line="360" w:lineRule="auto"/>
        <w:outlineLvl w:val="2"/>
        <w:rPr>
          <w:b/>
          <w:sz w:val="28"/>
          <w:szCs w:val="28"/>
        </w:rPr>
      </w:pPr>
      <w:bookmarkStart w:id="27" w:name="_Toc24440"/>
      <w:r>
        <w:rPr>
          <w:rFonts w:hint="eastAsia"/>
          <w:b/>
          <w:sz w:val="28"/>
          <w:szCs w:val="28"/>
        </w:rPr>
        <w:t>2</w:t>
      </w:r>
      <w:r>
        <w:rPr>
          <w:b/>
          <w:sz w:val="28"/>
          <w:szCs w:val="28"/>
        </w:rPr>
        <w:t>.</w:t>
      </w:r>
      <w:r>
        <w:rPr>
          <w:rFonts w:hint="eastAsia"/>
          <w:b/>
          <w:sz w:val="28"/>
          <w:szCs w:val="28"/>
        </w:rPr>
        <w:t>1.</w:t>
      </w:r>
      <w:r>
        <w:rPr>
          <w:b/>
          <w:sz w:val="28"/>
          <w:szCs w:val="28"/>
        </w:rPr>
        <w:t>2</w:t>
      </w:r>
      <w:r>
        <w:rPr>
          <w:rFonts w:hint="eastAsia"/>
          <w:b/>
          <w:sz w:val="28"/>
          <w:szCs w:val="28"/>
        </w:rPr>
        <w:t>公司概况</w:t>
      </w:r>
      <w:bookmarkEnd w:id="27"/>
      <w:r>
        <w:rPr>
          <w:b/>
          <w:sz w:val="28"/>
          <w:szCs w:val="28"/>
        </w:rPr>
        <w:t xml:space="preserve"> </w:t>
      </w:r>
    </w:p>
    <w:p>
      <w:pPr>
        <w:keepNext w:val="0"/>
        <w:keepLines w:val="0"/>
        <w:pageBreakBefore w:val="0"/>
        <w:widowControl w:val="0"/>
        <w:kinsoku/>
        <w:wordWrap/>
        <w:overflowPunct/>
        <w:topLinePunct w:val="0"/>
        <w:autoSpaceDE w:val="0"/>
        <w:autoSpaceDN w:val="0"/>
        <w:bidi w:val="0"/>
        <w:adjustRightInd w:val="0"/>
        <w:snapToGrid w:val="0"/>
        <w:spacing w:before="120" w:beforeLines="50" w:line="360" w:lineRule="auto"/>
        <w:ind w:firstLine="480" w:firstLineChars="200"/>
        <w:textAlignment w:val="auto"/>
        <w:rPr>
          <w:rFonts w:hint="eastAsia" w:ascii="仿宋_GB2312" w:hAnsi="仿宋_GB2312" w:eastAsia="仿宋_GB2312" w:cs="仿宋_GB2312"/>
          <w:sz w:val="24"/>
          <w:lang w:eastAsia="zh-CN"/>
        </w:rPr>
      </w:pPr>
      <w:r>
        <w:rPr>
          <w:rFonts w:hint="eastAsia" w:ascii="仿宋_GB2312" w:hAnsi="仿宋_GB2312" w:eastAsia="仿宋_GB2312" w:cs="仿宋_GB2312"/>
          <w:sz w:val="24"/>
        </w:rPr>
        <w:t>（1）企业名称：</w:t>
      </w:r>
      <w:r>
        <w:rPr>
          <w:rFonts w:hint="eastAsia" w:ascii="仿宋_GB2312" w:hAnsi="仿宋_GB2312" w:eastAsia="仿宋_GB2312" w:cs="仿宋_GB2312"/>
          <w:sz w:val="24"/>
          <w:lang w:eastAsia="zh-CN"/>
        </w:rPr>
        <w:t>翁源县中源发展有限公司</w:t>
      </w:r>
    </w:p>
    <w:p>
      <w:pPr>
        <w:keepNext w:val="0"/>
        <w:keepLines w:val="0"/>
        <w:pageBreakBefore w:val="0"/>
        <w:widowControl w:val="0"/>
        <w:kinsoku/>
        <w:wordWrap/>
        <w:overflowPunct/>
        <w:topLinePunct w:val="0"/>
        <w:autoSpaceDE w:val="0"/>
        <w:autoSpaceDN w:val="0"/>
        <w:bidi w:val="0"/>
        <w:adjustRightInd w:val="0"/>
        <w:snapToGrid w:val="0"/>
        <w:spacing w:before="120" w:beforeLines="50" w:line="360" w:lineRule="auto"/>
        <w:ind w:firstLine="480" w:firstLineChars="200"/>
        <w:textAlignment w:val="auto"/>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rPr>
        <w:t>（2）法人代表</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lang w:val="en-US" w:eastAsia="zh-CN"/>
        </w:rPr>
        <w:t>姜丰顺</w:t>
      </w:r>
    </w:p>
    <w:p>
      <w:pPr>
        <w:keepNext w:val="0"/>
        <w:keepLines w:val="0"/>
        <w:pageBreakBefore w:val="0"/>
        <w:widowControl w:val="0"/>
        <w:kinsoku/>
        <w:wordWrap/>
        <w:overflowPunct/>
        <w:topLinePunct w:val="0"/>
        <w:bidi w:val="0"/>
        <w:adjustRightInd w:val="0"/>
        <w:snapToGrid w:val="0"/>
        <w:spacing w:before="120" w:beforeLines="50" w:line="360" w:lineRule="auto"/>
        <w:ind w:firstLine="480" w:firstLineChars="200"/>
        <w:textAlignment w:val="auto"/>
        <w:rPr>
          <w:rFonts w:hint="eastAsia" w:ascii="仿宋_GB2312" w:hAnsi="仿宋_GB2312" w:eastAsia="仿宋_GB2312" w:cs="仿宋_GB2312"/>
          <w:sz w:val="24"/>
          <w:lang w:eastAsia="zh-CN"/>
        </w:rPr>
      </w:pPr>
      <w:r>
        <w:rPr>
          <w:rFonts w:hint="eastAsia" w:ascii="仿宋_GB2312" w:hAnsi="仿宋_GB2312" w:eastAsia="仿宋_GB2312" w:cs="仿宋_GB2312"/>
          <w:sz w:val="24"/>
        </w:rPr>
        <w:t>（3）项目建设地点：</w:t>
      </w:r>
      <w:r>
        <w:rPr>
          <w:rFonts w:hint="eastAsia" w:ascii="仿宋_GB2312" w:hAnsi="仿宋_GB2312" w:eastAsia="仿宋_GB2312" w:cs="仿宋_GB2312"/>
          <w:sz w:val="24"/>
          <w:lang w:eastAsia="zh-CN"/>
        </w:rPr>
        <w:t>翁源县铁龙镇龙体工区</w:t>
      </w:r>
    </w:p>
    <w:p>
      <w:pPr>
        <w:keepNext w:val="0"/>
        <w:keepLines w:val="0"/>
        <w:pageBreakBefore w:val="0"/>
        <w:widowControl w:val="0"/>
        <w:kinsoku/>
        <w:wordWrap/>
        <w:overflowPunct/>
        <w:topLinePunct w:val="0"/>
        <w:autoSpaceDE w:val="0"/>
        <w:autoSpaceDN w:val="0"/>
        <w:bidi w:val="0"/>
        <w:adjustRightInd w:val="0"/>
        <w:snapToGrid w:val="0"/>
        <w:spacing w:before="120"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（4）项目占地面积：</w:t>
      </w:r>
      <w:r>
        <w:rPr>
          <w:rFonts w:hint="eastAsia" w:ascii="仿宋_GB2312" w:hAnsi="仿宋_GB2312" w:eastAsia="仿宋_GB2312" w:cs="仿宋_GB2312"/>
          <w:sz w:val="24"/>
          <w:lang w:val="en-US" w:eastAsia="zh-CN"/>
        </w:rPr>
        <w:t>197668</w:t>
      </w:r>
      <w:r>
        <w:rPr>
          <w:rFonts w:hint="eastAsia" w:ascii="仿宋_GB2312" w:hAnsi="仿宋_GB2312" w:eastAsia="仿宋_GB2312" w:cs="仿宋_GB2312"/>
          <w:sz w:val="24"/>
        </w:rPr>
        <w:t>m</w:t>
      </w:r>
      <w:r>
        <w:rPr>
          <w:rFonts w:hint="eastAsia" w:ascii="仿宋_GB2312" w:hAnsi="仿宋_GB2312" w:eastAsia="仿宋_GB2312" w:cs="仿宋_GB2312"/>
          <w:sz w:val="24"/>
          <w:vertAlign w:val="superscript"/>
        </w:rPr>
        <w:t>2</w:t>
      </w:r>
      <w:r>
        <w:rPr>
          <w:rFonts w:hint="eastAsia" w:ascii="仿宋_GB2312" w:hAnsi="仿宋_GB2312" w:eastAsia="仿宋_GB2312" w:cs="仿宋_GB2312"/>
          <w:sz w:val="24"/>
        </w:rPr>
        <w:t>；</w:t>
      </w:r>
    </w:p>
    <w:p>
      <w:pPr>
        <w:keepNext w:val="0"/>
        <w:keepLines w:val="0"/>
        <w:pageBreakBefore w:val="0"/>
        <w:widowControl w:val="0"/>
        <w:kinsoku/>
        <w:wordWrap/>
        <w:overflowPunct/>
        <w:topLinePunct w:val="0"/>
        <w:bidi w:val="0"/>
        <w:adjustRightInd w:val="0"/>
        <w:snapToGrid w:val="0"/>
        <w:spacing w:before="120" w:beforeLines="50" w:line="360" w:lineRule="auto"/>
        <w:ind w:firstLine="480" w:firstLineChars="200"/>
        <w:textAlignment w:val="auto"/>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rPr>
        <w:t>（5）项目劳动定员及工作制度：</w:t>
      </w:r>
      <w:r>
        <w:rPr>
          <w:rFonts w:hint="eastAsia" w:ascii="仿宋_GB2312" w:hAnsi="仿宋_GB2312" w:eastAsia="仿宋_GB2312" w:cs="仿宋_GB2312"/>
          <w:sz w:val="24"/>
          <w:lang w:val="en-US" w:eastAsia="zh-CN"/>
        </w:rPr>
        <w:t>翁源县中源发展有限公司劳动定员302人，采用岗位工，实行四班三运转，工作制度为每人每周工作5天，每天工作8小时，年工作300天。</w:t>
      </w:r>
    </w:p>
    <w:p>
      <w:pPr>
        <w:keepNext w:val="0"/>
        <w:keepLines w:val="0"/>
        <w:pageBreakBefore w:val="0"/>
        <w:widowControl w:val="0"/>
        <w:kinsoku/>
        <w:wordWrap/>
        <w:overflowPunct/>
        <w:topLinePunct w:val="0"/>
        <w:bidi w:val="0"/>
        <w:adjustRightInd w:val="0"/>
        <w:snapToGrid w:val="0"/>
        <w:spacing w:before="120" w:beforeLines="50" w:line="360" w:lineRule="auto"/>
        <w:ind w:firstLine="480" w:firstLineChars="200"/>
        <w:jc w:val="both"/>
        <w:textAlignment w:val="auto"/>
        <w:rPr>
          <w:rFonts w:hint="eastAsia" w:ascii="仿宋_GB2312" w:hAnsi="仿宋_GB2312" w:eastAsia="仿宋_GB2312" w:cs="仿宋_GB2312"/>
          <w:sz w:val="24"/>
          <w:szCs w:val="24"/>
          <w:highlight w:val="yellow"/>
          <w:lang w:val="en-US" w:eastAsia="zh-CN"/>
        </w:rPr>
      </w:pPr>
      <w:r>
        <w:rPr>
          <w:rFonts w:hint="eastAsia" w:ascii="仿宋_GB2312" w:hAnsi="仿宋_GB2312" w:eastAsia="仿宋_GB2312" w:cs="仿宋_GB2312"/>
          <w:sz w:val="24"/>
        </w:rPr>
        <w:t>（6）企业概况：</w:t>
      </w:r>
      <w:r>
        <w:rPr>
          <w:rFonts w:hint="eastAsia" w:ascii="仿宋_GB2312" w:hAnsi="仿宋_GB2312" w:eastAsia="仿宋_GB2312" w:cs="仿宋_GB2312"/>
          <w:sz w:val="24"/>
          <w:szCs w:val="24"/>
          <w:lang w:eastAsia="zh-CN"/>
        </w:rPr>
        <w:t>翁源县中源发展有限公司成立于2006年，主营业务为水泥生产及销售服务， 拥有1条新型干法熟料生产线，水泥年产能超过150万吨。 翁源县中源发展有限公司于200</w:t>
      </w:r>
      <w:r>
        <w:rPr>
          <w:rFonts w:hint="eastAsia" w:ascii="仿宋_GB2312" w:hAnsi="仿宋_GB2312" w:eastAsia="仿宋_GB2312" w:cs="仿宋_GB2312"/>
          <w:sz w:val="24"/>
          <w:szCs w:val="24"/>
          <w:lang w:val="en-US" w:eastAsia="zh-CN"/>
        </w:rPr>
        <w:t>5</w:t>
      </w:r>
      <w:r>
        <w:rPr>
          <w:rFonts w:hint="eastAsia" w:ascii="仿宋_GB2312" w:hAnsi="仿宋_GB2312" w:eastAsia="仿宋_GB2312" w:cs="仿宋_GB2312"/>
          <w:sz w:val="24"/>
          <w:szCs w:val="24"/>
          <w:lang w:eastAsia="zh-CN"/>
        </w:rPr>
        <w:t>年12 月取得国家环境保护总局环评批复《关于广东省翁源县翁源县中源发展有限公司 5000 吨/日熟料水泥生产线建设工程环境影响报告书的批复》（环审[2005]1014 号），于2012年6月取得广东省环境保护厅《关于广东省翁源县中源发展有限公司 5000 吨/日熟料水泥生产线建设工程延期试生产的函》（粤环审[2012]275 号）。厂区已建设一条5000t/d新型干法水泥生产线及一套6MW纯低温余热发电机组，年发电量4329万kW·h。</w:t>
      </w:r>
      <w:r>
        <w:rPr>
          <w:rFonts w:hint="eastAsia" w:ascii="仿宋_GB2312" w:hAnsi="仿宋_GB2312" w:eastAsia="仿宋_GB2312" w:cs="仿宋_GB2312"/>
          <w:sz w:val="24"/>
          <w:szCs w:val="24"/>
          <w:lang w:val="en-US" w:eastAsia="zh-CN"/>
        </w:rPr>
        <w:t>2019年7月，公司改扩建4000t/d石灰石及石灰石粉生产线项</w:t>
      </w:r>
      <w:r>
        <w:rPr>
          <w:rFonts w:hint="eastAsia" w:ascii="仿宋_GB2312" w:hAnsi="仿宋_GB2312" w:eastAsia="仿宋_GB2312" w:cs="仿宋_GB2312"/>
          <w:sz w:val="24"/>
          <w:szCs w:val="24"/>
          <w:highlight w:val="none"/>
          <w:lang w:val="en-US" w:eastAsia="zh-CN"/>
        </w:rPr>
        <w:t>目，并于2020年2月通过验收。</w:t>
      </w:r>
    </w:p>
    <w:p>
      <w:pPr>
        <w:spacing w:before="120" w:beforeLines="50" w:line="360" w:lineRule="auto"/>
        <w:outlineLvl w:val="2"/>
        <w:rPr>
          <w:b/>
          <w:sz w:val="28"/>
          <w:szCs w:val="28"/>
        </w:rPr>
      </w:pPr>
      <w:bookmarkStart w:id="28" w:name="_Toc9467"/>
      <w:r>
        <w:rPr>
          <w:rFonts w:hint="eastAsia"/>
          <w:b/>
          <w:sz w:val="28"/>
          <w:szCs w:val="28"/>
        </w:rPr>
        <w:t>2</w:t>
      </w:r>
      <w:r>
        <w:rPr>
          <w:b/>
          <w:sz w:val="28"/>
          <w:szCs w:val="28"/>
        </w:rPr>
        <w:t>.1.3</w:t>
      </w:r>
      <w:r>
        <w:rPr>
          <w:rFonts w:hint="eastAsia"/>
          <w:b/>
          <w:sz w:val="28"/>
          <w:szCs w:val="28"/>
        </w:rPr>
        <w:t>公司项目组成</w:t>
      </w:r>
      <w:bookmarkEnd w:id="28"/>
    </w:p>
    <w:p>
      <w:pPr>
        <w:keepNext w:val="0"/>
        <w:keepLines w:val="0"/>
        <w:pageBreakBefore w:val="0"/>
        <w:widowControl w:val="0"/>
        <w:kinsoku/>
        <w:wordWrap/>
        <w:overflowPunct/>
        <w:topLinePunct w:val="0"/>
        <w:autoSpaceDE/>
        <w:autoSpaceDN/>
        <w:bidi w:val="0"/>
        <w:adjustRightInd w:val="0"/>
        <w:snapToGrid w:val="0"/>
        <w:spacing w:before="120" w:beforeLines="50" w:line="360" w:lineRule="auto"/>
        <w:ind w:firstLine="480" w:firstLineChars="200"/>
        <w:jc w:val="both"/>
        <w:textAlignment w:val="auto"/>
        <w:rPr>
          <w:rFonts w:hint="eastAsia" w:ascii="Times New Roman" w:hAnsi="Times New Roman" w:eastAsia="仿宋_GB2312" w:cs="Times New Roman"/>
          <w:sz w:val="24"/>
          <w:lang w:eastAsia="zh-CN"/>
        </w:rPr>
      </w:pPr>
      <w:r>
        <w:rPr>
          <w:rFonts w:hint="eastAsia" w:ascii="Times New Roman" w:hAnsi="Times New Roman" w:eastAsia="仿宋_GB2312" w:cs="Times New Roman"/>
          <w:sz w:val="24"/>
          <w:lang w:eastAsia="zh-CN"/>
        </w:rPr>
        <w:t>本公司公司占</w:t>
      </w:r>
      <w:r>
        <w:rPr>
          <w:rFonts w:hint="eastAsia" w:ascii="仿宋_GB2312" w:hAnsi="仿宋_GB2312" w:eastAsia="仿宋_GB2312" w:cs="仿宋_GB2312"/>
          <w:sz w:val="24"/>
          <w:szCs w:val="24"/>
          <w:lang w:eastAsia="zh-CN"/>
        </w:rPr>
        <w:t>地 197668平方米，公司的总平面布置按功能分区布置，共分</w:t>
      </w:r>
      <w:r>
        <w:rPr>
          <w:rFonts w:hint="eastAsia" w:ascii="仿宋_GB2312" w:hAnsi="仿宋_GB2312" w:eastAsia="仿宋_GB2312" w:cs="仿宋_GB2312"/>
          <w:sz w:val="24"/>
          <w:szCs w:val="24"/>
          <w:lang w:val="en-US" w:eastAsia="zh-CN"/>
        </w:rPr>
        <w:t>5</w:t>
      </w:r>
      <w:r>
        <w:rPr>
          <w:rFonts w:hint="eastAsia" w:ascii="仿宋_GB2312" w:hAnsi="仿宋_GB2312" w:eastAsia="仿宋_GB2312" w:cs="仿宋_GB2312"/>
          <w:sz w:val="24"/>
          <w:szCs w:val="24"/>
          <w:lang w:eastAsia="zh-CN"/>
        </w:rPr>
        <w:t>个区，分别为原料堆存区、熟料烧成系统、水泥粉磨及成品发运区、辅助生产、</w:t>
      </w:r>
      <w:r>
        <w:rPr>
          <w:rFonts w:hint="eastAsia" w:ascii="仿宋_GB2312" w:hAnsi="仿宋_GB2312" w:eastAsia="仿宋_GB2312" w:cs="仿宋_GB2312"/>
          <w:sz w:val="24"/>
          <w:szCs w:val="24"/>
          <w:lang w:val="en-US" w:eastAsia="zh-CN"/>
        </w:rPr>
        <w:t>石灰石及石灰石粉生产区、</w:t>
      </w:r>
      <w:r>
        <w:rPr>
          <w:rFonts w:hint="eastAsia" w:ascii="仿宋_GB2312" w:hAnsi="仿宋_GB2312" w:eastAsia="仿宋_GB2312" w:cs="仿宋_GB2312"/>
          <w:sz w:val="24"/>
          <w:szCs w:val="24"/>
          <w:lang w:eastAsia="zh-CN"/>
        </w:rPr>
        <w:t>生活区。</w:t>
      </w:r>
    </w:p>
    <w:p>
      <w:pPr>
        <w:spacing w:before="120" w:beforeLines="50" w:line="360" w:lineRule="auto"/>
        <w:outlineLvl w:val="2"/>
        <w:rPr>
          <w:b/>
          <w:sz w:val="28"/>
          <w:szCs w:val="28"/>
        </w:rPr>
      </w:pPr>
      <w:bookmarkStart w:id="29" w:name="_Toc31420"/>
      <w:r>
        <w:rPr>
          <w:rFonts w:hint="eastAsia"/>
          <w:b/>
          <w:sz w:val="28"/>
          <w:szCs w:val="28"/>
        </w:rPr>
        <w:t>2</w:t>
      </w:r>
      <w:r>
        <w:rPr>
          <w:b/>
          <w:sz w:val="28"/>
          <w:szCs w:val="28"/>
        </w:rPr>
        <w:t>.1.</w:t>
      </w:r>
      <w:r>
        <w:rPr>
          <w:rFonts w:hint="eastAsia"/>
          <w:b/>
          <w:sz w:val="28"/>
          <w:szCs w:val="28"/>
        </w:rPr>
        <w:t>4厂区平面布置图</w:t>
      </w:r>
      <w:bookmarkEnd w:id="29"/>
    </w:p>
    <w:p>
      <w:pPr>
        <w:spacing w:before="120" w:beforeLines="50" w:line="360" w:lineRule="auto"/>
        <w:ind w:firstLine="480" w:firstLineChars="200"/>
        <w:rPr>
          <w:rFonts w:eastAsia="仿宋_GB2312"/>
          <w:sz w:val="24"/>
        </w:rPr>
        <w:sectPr>
          <w:footerReference r:id="rId12" w:type="default"/>
          <w:pgSz w:w="11906" w:h="16838"/>
          <w:pgMar w:top="1440" w:right="1800" w:bottom="1440" w:left="1800" w:header="851" w:footer="992" w:gutter="0"/>
          <w:pgNumType w:fmt="decimal"/>
          <w:cols w:space="720" w:num="1"/>
          <w:docGrid w:linePitch="312" w:charSpace="0"/>
        </w:sectPr>
      </w:pPr>
      <w:r>
        <w:rPr>
          <w:rFonts w:eastAsia="仿宋_GB2312"/>
          <w:sz w:val="24"/>
        </w:rPr>
        <w:t>公司总平面布置如图</w:t>
      </w:r>
      <w:r>
        <w:rPr>
          <w:rFonts w:hint="eastAsia" w:eastAsia="仿宋_GB2312"/>
          <w:sz w:val="24"/>
        </w:rPr>
        <w:t>2.1-3</w:t>
      </w:r>
      <w:r>
        <w:rPr>
          <w:rFonts w:eastAsia="仿宋_GB2312"/>
          <w:sz w:val="24"/>
        </w:rPr>
        <w:t>所示。</w:t>
      </w:r>
    </w:p>
    <w:p>
      <w:pPr>
        <w:pStyle w:val="2"/>
        <w:jc w:val="center"/>
        <w:rPr>
          <w:rFonts w:hint="eastAsia" w:eastAsia="宋体"/>
          <w:lang w:eastAsia="zh-CN"/>
        </w:rPr>
      </w:pPr>
      <w:r>
        <w:drawing>
          <wp:inline distT="0" distB="0" distL="114300" distR="114300">
            <wp:extent cx="8402320" cy="4606925"/>
            <wp:effectExtent l="0" t="0" r="10160" b="10795"/>
            <wp:docPr id="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
                    <pic:cNvPicPr>
                      <a:picLocks noChangeAspect="1"/>
                    </pic:cNvPicPr>
                  </pic:nvPicPr>
                  <pic:blipFill>
                    <a:blip r:embed="rId19"/>
                    <a:stretch>
                      <a:fillRect/>
                    </a:stretch>
                  </pic:blipFill>
                  <pic:spPr>
                    <a:xfrm>
                      <a:off x="0" y="0"/>
                      <a:ext cx="8402320" cy="4606925"/>
                    </a:xfrm>
                    <a:prstGeom prst="rect">
                      <a:avLst/>
                    </a:prstGeom>
                    <a:noFill/>
                    <a:ln>
                      <a:noFill/>
                    </a:ln>
                  </pic:spPr>
                </pic:pic>
              </a:graphicData>
            </a:graphic>
          </wp:inline>
        </w:drawing>
      </w:r>
    </w:p>
    <w:p>
      <w:pPr>
        <w:spacing w:before="120" w:beforeLines="50" w:line="360" w:lineRule="auto"/>
        <w:jc w:val="center"/>
        <w:rPr>
          <w:b/>
          <w:sz w:val="28"/>
          <w:szCs w:val="28"/>
          <w:highlight w:val="yellow"/>
        </w:rPr>
      </w:pPr>
      <w:r>
        <w:rPr>
          <w:rFonts w:hint="eastAsia" w:eastAsia="仿宋_GB2312"/>
          <w:b/>
          <w:szCs w:val="21"/>
        </w:rPr>
        <w:t>图2.1-3</w:t>
      </w:r>
      <w:r>
        <w:rPr>
          <w:rFonts w:eastAsia="仿宋_GB2312"/>
          <w:b/>
          <w:szCs w:val="21"/>
        </w:rPr>
        <w:t xml:space="preserve">  </w:t>
      </w:r>
      <w:r>
        <w:rPr>
          <w:rFonts w:hint="eastAsia" w:eastAsia="仿宋_GB2312"/>
          <w:b/>
          <w:szCs w:val="21"/>
          <w:lang w:eastAsia="zh-CN"/>
        </w:rPr>
        <w:t>翁源县中源发展有限公司</w:t>
      </w:r>
      <w:r>
        <w:rPr>
          <w:rFonts w:hint="eastAsia" w:eastAsia="仿宋_GB2312"/>
          <w:b/>
          <w:szCs w:val="21"/>
        </w:rPr>
        <w:t>平面布置图</w:t>
      </w:r>
    </w:p>
    <w:p>
      <w:pPr>
        <w:spacing w:before="120" w:beforeLines="50" w:line="360" w:lineRule="auto"/>
        <w:outlineLvl w:val="2"/>
        <w:rPr>
          <w:b/>
          <w:sz w:val="28"/>
          <w:szCs w:val="28"/>
        </w:rPr>
        <w:sectPr>
          <w:pgSz w:w="16838" w:h="11906" w:orient="landscape"/>
          <w:pgMar w:top="1440" w:right="1800" w:bottom="1440" w:left="1800" w:header="851" w:footer="992" w:gutter="0"/>
          <w:pgNumType w:fmt="decimal"/>
          <w:cols w:space="720" w:num="1"/>
          <w:docGrid w:linePitch="312" w:charSpace="0"/>
        </w:sectPr>
      </w:pPr>
    </w:p>
    <w:p>
      <w:pPr>
        <w:spacing w:before="120" w:beforeLines="50" w:line="360" w:lineRule="auto"/>
        <w:outlineLvl w:val="2"/>
        <w:rPr>
          <w:b/>
          <w:sz w:val="28"/>
          <w:szCs w:val="28"/>
        </w:rPr>
      </w:pPr>
      <w:bookmarkStart w:id="30" w:name="_Toc23950"/>
      <w:r>
        <w:rPr>
          <w:rFonts w:hint="eastAsia"/>
          <w:b/>
          <w:sz w:val="28"/>
          <w:szCs w:val="28"/>
        </w:rPr>
        <w:t>2</w:t>
      </w:r>
      <w:r>
        <w:rPr>
          <w:b/>
          <w:sz w:val="28"/>
          <w:szCs w:val="28"/>
        </w:rPr>
        <w:t>.1.</w:t>
      </w:r>
      <w:r>
        <w:rPr>
          <w:rFonts w:hint="eastAsia"/>
          <w:b/>
          <w:sz w:val="28"/>
          <w:szCs w:val="28"/>
        </w:rPr>
        <w:t>5</w:t>
      </w:r>
      <w:r>
        <w:rPr>
          <w:b/>
          <w:sz w:val="28"/>
          <w:szCs w:val="28"/>
        </w:rPr>
        <w:t xml:space="preserve"> </w:t>
      </w:r>
      <w:r>
        <w:rPr>
          <w:rFonts w:hint="eastAsia"/>
          <w:b/>
          <w:sz w:val="28"/>
          <w:szCs w:val="28"/>
        </w:rPr>
        <w:t>主要生产设备</w:t>
      </w:r>
      <w:bookmarkEnd w:id="30"/>
    </w:p>
    <w:p>
      <w:pPr>
        <w:spacing w:before="120" w:beforeLines="50" w:line="360" w:lineRule="auto"/>
        <w:ind w:firstLine="480" w:firstLineChars="200"/>
        <w:rPr>
          <w:rFonts w:eastAsia="仿宋_GB2312"/>
          <w:sz w:val="24"/>
        </w:rPr>
      </w:pPr>
      <w:r>
        <w:rPr>
          <w:rFonts w:eastAsia="仿宋_GB2312"/>
          <w:sz w:val="24"/>
        </w:rPr>
        <w:t>公司主要生产设备见表</w:t>
      </w:r>
      <w:r>
        <w:rPr>
          <w:rFonts w:hint="eastAsia" w:eastAsia="仿宋_GB2312"/>
          <w:sz w:val="24"/>
        </w:rPr>
        <w:t>2</w:t>
      </w:r>
      <w:r>
        <w:rPr>
          <w:rFonts w:eastAsia="仿宋_GB2312"/>
          <w:sz w:val="24"/>
        </w:rPr>
        <w:t>.</w:t>
      </w:r>
      <w:r>
        <w:rPr>
          <w:rFonts w:hint="eastAsia" w:eastAsia="仿宋_GB2312"/>
          <w:sz w:val="24"/>
        </w:rPr>
        <w:t>1-</w:t>
      </w:r>
      <w:r>
        <w:rPr>
          <w:rFonts w:hint="eastAsia" w:eastAsia="仿宋_GB2312"/>
          <w:sz w:val="24"/>
          <w:lang w:val="en-US" w:eastAsia="zh-CN"/>
        </w:rPr>
        <w:t>1</w:t>
      </w:r>
      <w:r>
        <w:rPr>
          <w:rFonts w:hint="eastAsia" w:eastAsia="仿宋_GB2312"/>
          <w:sz w:val="24"/>
        </w:rPr>
        <w:t>。</w:t>
      </w:r>
    </w:p>
    <w:p>
      <w:pPr>
        <w:spacing w:before="120" w:beforeLines="50" w:line="360" w:lineRule="auto"/>
        <w:jc w:val="center"/>
        <w:rPr>
          <w:rFonts w:hint="eastAsia" w:eastAsia="仿宋_GB2312"/>
          <w:b/>
          <w:szCs w:val="21"/>
        </w:rPr>
      </w:pPr>
      <w:r>
        <w:rPr>
          <w:rFonts w:hint="eastAsia" w:eastAsia="仿宋_GB2312"/>
          <w:b/>
          <w:szCs w:val="21"/>
        </w:rPr>
        <w:t>表2.1-</w:t>
      </w:r>
      <w:r>
        <w:rPr>
          <w:rFonts w:hint="eastAsia" w:eastAsia="仿宋_GB2312"/>
          <w:b/>
          <w:szCs w:val="21"/>
          <w:lang w:val="en-US" w:eastAsia="zh-CN"/>
        </w:rPr>
        <w:t>1</w:t>
      </w:r>
      <w:r>
        <w:rPr>
          <w:rFonts w:eastAsia="仿宋_GB2312"/>
          <w:b/>
          <w:szCs w:val="21"/>
        </w:rPr>
        <w:t xml:space="preserve">  </w:t>
      </w:r>
      <w:r>
        <w:rPr>
          <w:rFonts w:hint="eastAsia" w:eastAsia="仿宋_GB2312"/>
          <w:b/>
          <w:szCs w:val="21"/>
        </w:rPr>
        <w:t>公司主要生产设备一览表</w:t>
      </w:r>
    </w:p>
    <w:tbl>
      <w:tblPr>
        <w:tblStyle w:val="98"/>
        <w:tblW w:w="5004"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771"/>
        <w:gridCol w:w="3185"/>
        <w:gridCol w:w="1253"/>
        <w:gridCol w:w="31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463" w:type="pct"/>
            <w:vAlign w:val="top"/>
          </w:tcPr>
          <w:p>
            <w:pPr>
              <w:spacing w:before="110" w:line="184" w:lineRule="auto"/>
              <w:ind w:firstLine="156"/>
              <w:rPr>
                <w:rFonts w:ascii="宋体" w:hAnsi="宋体" w:eastAsia="宋体" w:cs="宋体"/>
                <w:sz w:val="21"/>
                <w:szCs w:val="21"/>
              </w:rPr>
            </w:pPr>
            <w:r>
              <w:rPr>
                <w:rFonts w:ascii="宋体" w:hAnsi="宋体" w:eastAsia="宋体" w:cs="宋体"/>
                <w:spacing w:val="-5"/>
                <w:sz w:val="21"/>
                <w:szCs w:val="21"/>
              </w:rPr>
              <w:t>序号</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名称及编号</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6"/>
                <w:sz w:val="21"/>
                <w:szCs w:val="21"/>
              </w:rPr>
              <w:t>数量</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规格型号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0" w:line="180" w:lineRule="auto"/>
              <w:ind w:firstLine="329"/>
              <w:rPr>
                <w:rFonts w:ascii="宋体" w:hAnsi="宋体" w:eastAsia="宋体" w:cs="宋体"/>
                <w:sz w:val="21"/>
                <w:szCs w:val="21"/>
              </w:rPr>
            </w:pPr>
            <w:r>
              <w:rPr>
                <w:rFonts w:ascii="宋体" w:hAnsi="宋体" w:eastAsia="宋体" w:cs="宋体"/>
                <w:sz w:val="21"/>
                <w:szCs w:val="21"/>
              </w:rPr>
              <w:t>1</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鄂式破碎机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PE1500X1800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463" w:type="pct"/>
            <w:vAlign w:val="top"/>
          </w:tcPr>
          <w:p>
            <w:pPr>
              <w:spacing w:before="170" w:line="180" w:lineRule="auto"/>
              <w:ind w:firstLine="316"/>
              <w:rPr>
                <w:rFonts w:ascii="宋体" w:hAnsi="宋体" w:eastAsia="宋体" w:cs="宋体"/>
                <w:sz w:val="21"/>
                <w:szCs w:val="21"/>
              </w:rPr>
            </w:pPr>
            <w:r>
              <w:rPr>
                <w:rFonts w:ascii="宋体" w:hAnsi="宋体" w:eastAsia="宋体" w:cs="宋体"/>
                <w:sz w:val="21"/>
                <w:szCs w:val="21"/>
              </w:rPr>
              <w:t>2</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hint="eastAsia"/>
                <w:lang w:eastAsia="zh-CN"/>
              </w:rPr>
              <w:t>锤式破碎机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hint="eastAsia"/>
                <w:lang w:val="en-US" w:eastAsia="zh-CN"/>
              </w:rPr>
              <w:t>PCF2022，800KW</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317"/>
              <w:rPr>
                <w:rFonts w:ascii="宋体" w:hAnsi="宋体" w:eastAsia="宋体" w:cs="宋体"/>
                <w:sz w:val="21"/>
                <w:szCs w:val="21"/>
              </w:rPr>
            </w:pPr>
            <w:r>
              <w:rPr>
                <w:rFonts w:ascii="宋体" w:hAnsi="宋体" w:eastAsia="宋体" w:cs="宋体"/>
                <w:sz w:val="21"/>
                <w:szCs w:val="21"/>
              </w:rPr>
              <w:t>3</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hint="eastAsia" w:ascii="宋体" w:hAnsi="宋体" w:cs="宋体"/>
                <w:spacing w:val="-6"/>
                <w:sz w:val="21"/>
                <w:szCs w:val="21"/>
                <w:lang w:val="en-US" w:eastAsia="zh-CN"/>
              </w:rPr>
              <w:t>圆</w:t>
            </w:r>
            <w:r>
              <w:rPr>
                <w:rFonts w:ascii="宋体" w:hAnsi="宋体" w:eastAsia="宋体" w:cs="宋体"/>
                <w:spacing w:val="-6"/>
                <w:sz w:val="21"/>
                <w:szCs w:val="21"/>
              </w:rPr>
              <w:t>堆取料机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0"/>
                <w:w w:val="97"/>
                <w:sz w:val="21"/>
                <w:szCs w:val="21"/>
              </w:rPr>
              <w:t>φ80m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1" w:line="180" w:lineRule="auto"/>
              <w:ind w:firstLine="312"/>
              <w:rPr>
                <w:rFonts w:ascii="宋体" w:hAnsi="宋体" w:eastAsia="宋体" w:cs="宋体"/>
                <w:sz w:val="21"/>
                <w:szCs w:val="21"/>
              </w:rPr>
            </w:pPr>
            <w:r>
              <w:rPr>
                <w:rFonts w:ascii="宋体" w:hAnsi="宋体" w:eastAsia="宋体" w:cs="宋体"/>
                <w:sz w:val="21"/>
                <w:szCs w:val="21"/>
              </w:rPr>
              <w:t>4</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长堆</w:t>
            </w:r>
            <w:r>
              <w:rPr>
                <w:rFonts w:hint="eastAsia" w:ascii="宋体" w:hAnsi="宋体" w:cs="宋体"/>
                <w:spacing w:val="-3"/>
                <w:sz w:val="21"/>
                <w:szCs w:val="21"/>
                <w:lang w:val="en-US" w:eastAsia="zh-CN"/>
              </w:rPr>
              <w:t>取</w:t>
            </w:r>
            <w:r>
              <w:rPr>
                <w:rFonts w:ascii="宋体" w:hAnsi="宋体" w:eastAsia="宋体" w:cs="宋体"/>
                <w:spacing w:val="-3"/>
                <w:sz w:val="21"/>
                <w:szCs w:val="21"/>
              </w:rPr>
              <w:t>料机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ST300/15.5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317"/>
              <w:rPr>
                <w:rFonts w:ascii="宋体" w:hAnsi="宋体" w:eastAsia="宋体" w:cs="宋体"/>
                <w:sz w:val="21"/>
                <w:szCs w:val="21"/>
              </w:rPr>
            </w:pPr>
            <w:r>
              <w:rPr>
                <w:rFonts w:ascii="宋体" w:hAnsi="宋体" w:eastAsia="宋体" w:cs="宋体"/>
                <w:sz w:val="21"/>
                <w:szCs w:val="21"/>
              </w:rPr>
              <w:t>5</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长堆</w:t>
            </w:r>
            <w:r>
              <w:rPr>
                <w:rFonts w:hint="eastAsia" w:ascii="宋体" w:hAnsi="宋体" w:cs="宋体"/>
                <w:spacing w:val="-3"/>
                <w:sz w:val="21"/>
                <w:szCs w:val="21"/>
                <w:lang w:val="en-US" w:eastAsia="zh-CN"/>
              </w:rPr>
              <w:t>取</w:t>
            </w:r>
            <w:r>
              <w:rPr>
                <w:rFonts w:ascii="宋体" w:hAnsi="宋体" w:eastAsia="宋体" w:cs="宋体"/>
                <w:spacing w:val="-3"/>
                <w:sz w:val="21"/>
                <w:szCs w:val="21"/>
              </w:rPr>
              <w:t>料机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SSR250/26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1" w:line="180" w:lineRule="auto"/>
              <w:ind w:firstLine="315"/>
              <w:rPr>
                <w:rFonts w:ascii="宋体" w:hAnsi="宋体" w:eastAsia="宋体" w:cs="宋体"/>
                <w:sz w:val="21"/>
                <w:szCs w:val="21"/>
              </w:rPr>
            </w:pPr>
            <w:r>
              <w:rPr>
                <w:rFonts w:ascii="宋体" w:hAnsi="宋体" w:eastAsia="宋体" w:cs="宋体"/>
                <w:sz w:val="21"/>
                <w:szCs w:val="21"/>
              </w:rPr>
              <w:t>6</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原料磨机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LRM43.4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318"/>
              <w:rPr>
                <w:rFonts w:ascii="宋体" w:hAnsi="宋体" w:eastAsia="宋体" w:cs="宋体"/>
                <w:sz w:val="21"/>
                <w:szCs w:val="21"/>
              </w:rPr>
            </w:pPr>
            <w:r>
              <w:rPr>
                <w:rFonts w:ascii="宋体" w:hAnsi="宋体" w:eastAsia="宋体" w:cs="宋体"/>
                <w:sz w:val="21"/>
                <w:szCs w:val="21"/>
              </w:rPr>
              <w:t>7</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粘土质破碎机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Φ1250×1380mm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314"/>
              <w:rPr>
                <w:rFonts w:ascii="宋体" w:hAnsi="宋体" w:eastAsia="宋体" w:cs="宋体"/>
                <w:sz w:val="21"/>
                <w:szCs w:val="21"/>
              </w:rPr>
            </w:pPr>
            <w:r>
              <w:rPr>
                <w:rFonts w:ascii="宋体" w:hAnsi="宋体" w:eastAsia="宋体" w:cs="宋体"/>
                <w:sz w:val="21"/>
                <w:szCs w:val="21"/>
              </w:rPr>
              <w:t>8</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斗式提升机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NSE500x11800mm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314"/>
              <w:rPr>
                <w:rFonts w:ascii="宋体" w:hAnsi="宋体" w:eastAsia="宋体" w:cs="宋体"/>
                <w:sz w:val="21"/>
                <w:szCs w:val="21"/>
              </w:rPr>
            </w:pPr>
            <w:r>
              <w:rPr>
                <w:rFonts w:ascii="宋体" w:hAnsi="宋体" w:eastAsia="宋体" w:cs="宋体"/>
                <w:sz w:val="21"/>
                <w:szCs w:val="21"/>
              </w:rPr>
              <w:t>9</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煤粉燃烧器</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１</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0"/>
                <w:sz w:val="21"/>
                <w:szCs w:val="21"/>
              </w:rPr>
              <w:t>四通道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5" w:hRule="atLeast"/>
        </w:trPr>
        <w:tc>
          <w:tcPr>
            <w:tcW w:w="463" w:type="pct"/>
            <w:vAlign w:val="top"/>
          </w:tcPr>
          <w:p>
            <w:pPr>
              <w:spacing w:before="171" w:line="180" w:lineRule="auto"/>
              <w:ind w:firstLine="276"/>
              <w:rPr>
                <w:rFonts w:ascii="宋体" w:hAnsi="宋体" w:eastAsia="宋体" w:cs="宋体"/>
                <w:sz w:val="21"/>
                <w:szCs w:val="21"/>
              </w:rPr>
            </w:pPr>
            <w:r>
              <w:rPr>
                <w:rFonts w:ascii="宋体" w:hAnsi="宋体" w:eastAsia="宋体" w:cs="宋体"/>
                <w:spacing w:val="-10"/>
                <w:w w:val="98"/>
                <w:sz w:val="21"/>
                <w:szCs w:val="21"/>
              </w:rPr>
              <w:t>10</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罗茨鼓风机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１</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RSR300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276"/>
              <w:rPr>
                <w:rFonts w:ascii="宋体" w:hAnsi="宋体" w:eastAsia="宋体" w:cs="宋体"/>
                <w:sz w:val="21"/>
                <w:szCs w:val="21"/>
              </w:rPr>
            </w:pPr>
            <w:r>
              <w:rPr>
                <w:rFonts w:ascii="宋体" w:hAnsi="宋体" w:eastAsia="宋体" w:cs="宋体"/>
                <w:spacing w:val="-10"/>
                <w:w w:val="98"/>
                <w:sz w:val="21"/>
                <w:szCs w:val="21"/>
              </w:rPr>
              <w:t>11</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篦式冷却机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１</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TCFC5000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276"/>
              <w:rPr>
                <w:rFonts w:ascii="宋体" w:hAnsi="宋体" w:eastAsia="宋体" w:cs="宋体"/>
                <w:sz w:val="21"/>
                <w:szCs w:val="21"/>
              </w:rPr>
            </w:pPr>
            <w:r>
              <w:rPr>
                <w:rFonts w:ascii="宋体" w:hAnsi="宋体" w:eastAsia="宋体" w:cs="宋体"/>
                <w:spacing w:val="-10"/>
                <w:w w:val="98"/>
                <w:sz w:val="21"/>
                <w:szCs w:val="21"/>
              </w:rPr>
              <w:t>12</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熟料破碎机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１</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Ф1000x3300</w:t>
            </w:r>
            <w:r>
              <w:rPr>
                <w:rFonts w:ascii="宋体" w:hAnsi="宋体" w:eastAsia="宋体" w:cs="宋体"/>
                <w:spacing w:val="12"/>
                <w:sz w:val="21"/>
                <w:szCs w:val="21"/>
              </w:rPr>
              <w:t xml:space="preserve"> </w:t>
            </w:r>
            <w:r>
              <w:rPr>
                <w:rFonts w:ascii="宋体" w:hAnsi="宋体" w:eastAsia="宋体" w:cs="宋体"/>
                <w:spacing w:val="-4"/>
                <w:sz w:val="21"/>
                <w:szCs w:val="21"/>
              </w:rPr>
              <w:t>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1" w:line="180" w:lineRule="auto"/>
              <w:ind w:firstLine="276"/>
              <w:rPr>
                <w:rFonts w:ascii="宋体" w:hAnsi="宋体" w:eastAsia="宋体" w:cs="宋体"/>
                <w:sz w:val="21"/>
                <w:szCs w:val="21"/>
              </w:rPr>
            </w:pPr>
            <w:r>
              <w:rPr>
                <w:rFonts w:ascii="宋体" w:hAnsi="宋体" w:eastAsia="宋体" w:cs="宋体"/>
                <w:spacing w:val="-10"/>
                <w:w w:val="98"/>
                <w:sz w:val="21"/>
                <w:szCs w:val="21"/>
              </w:rPr>
              <w:t>13</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离心引风机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１</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Y4-73</w:t>
            </w:r>
            <w:r>
              <w:rPr>
                <w:rFonts w:ascii="宋体" w:hAnsi="宋体" w:eastAsia="宋体" w:cs="宋体"/>
                <w:spacing w:val="8"/>
                <w:sz w:val="21"/>
                <w:szCs w:val="21"/>
              </w:rPr>
              <w:t xml:space="preserve"> </w:t>
            </w:r>
            <w:r>
              <w:rPr>
                <w:rFonts w:ascii="宋体" w:hAnsi="宋体" w:eastAsia="宋体" w:cs="宋体"/>
                <w:spacing w:val="-1"/>
                <w:sz w:val="21"/>
                <w:szCs w:val="21"/>
              </w:rPr>
              <w:t>No.25.5D</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463" w:type="pct"/>
            <w:vAlign w:val="center"/>
          </w:tcPr>
          <w:p>
            <w:pPr>
              <w:spacing w:before="0" w:line="180" w:lineRule="auto"/>
              <w:ind w:firstLine="278"/>
              <w:jc w:val="both"/>
              <w:rPr>
                <w:rFonts w:ascii="宋体" w:hAnsi="宋体" w:eastAsia="宋体" w:cs="宋体"/>
                <w:sz w:val="21"/>
                <w:szCs w:val="21"/>
              </w:rPr>
            </w:pPr>
            <w:r>
              <w:rPr>
                <w:rFonts w:ascii="宋体" w:hAnsi="宋体" w:eastAsia="宋体" w:cs="宋体"/>
                <w:spacing w:val="-10"/>
                <w:w w:val="98"/>
                <w:sz w:val="21"/>
                <w:szCs w:val="21"/>
              </w:rPr>
              <w:t>14</w:t>
            </w:r>
          </w:p>
        </w:tc>
        <w:tc>
          <w:tcPr>
            <w:tcW w:w="1914"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槽式输送机</w:t>
            </w:r>
          </w:p>
        </w:tc>
        <w:tc>
          <w:tcPr>
            <w:tcW w:w="753"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１</w:t>
            </w:r>
          </w:p>
        </w:tc>
        <w:tc>
          <w:tcPr>
            <w:tcW w:w="1869"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left="778" w:right="146" w:firstLine="0"/>
              <w:jc w:val="center"/>
              <w:textAlignment w:val="auto"/>
              <w:rPr>
                <w:rFonts w:ascii="宋体" w:hAnsi="宋体" w:eastAsia="宋体" w:cs="宋体"/>
                <w:sz w:val="21"/>
                <w:szCs w:val="21"/>
              </w:rPr>
            </w:pPr>
            <w:r>
              <w:rPr>
                <w:rFonts w:ascii="宋体" w:hAnsi="宋体" w:eastAsia="宋体" w:cs="宋体"/>
                <w:spacing w:val="-1"/>
                <w:sz w:val="21"/>
                <w:szCs w:val="21"/>
              </w:rPr>
              <w:t>SCD1000x115600</w:t>
            </w:r>
            <w:r>
              <w:rPr>
                <w:rFonts w:ascii="宋体" w:hAnsi="宋体" w:eastAsia="宋体" w:cs="宋体"/>
                <w:spacing w:val="5"/>
                <w:sz w:val="21"/>
                <w:szCs w:val="21"/>
              </w:rPr>
              <w:t xml:space="preserve"> </w:t>
            </w:r>
            <w:r>
              <w:rPr>
                <w:rFonts w:ascii="宋体" w:hAnsi="宋体" w:eastAsia="宋体" w:cs="宋体"/>
                <w:spacing w:val="-2"/>
                <w:sz w:val="21"/>
                <w:szCs w:val="21"/>
              </w:rPr>
              <w:t>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276"/>
              <w:rPr>
                <w:rFonts w:ascii="宋体" w:hAnsi="宋体" w:eastAsia="宋体" w:cs="宋体"/>
                <w:sz w:val="21"/>
                <w:szCs w:val="21"/>
              </w:rPr>
            </w:pPr>
            <w:r>
              <w:rPr>
                <w:rFonts w:ascii="宋体" w:hAnsi="宋体" w:eastAsia="宋体" w:cs="宋体"/>
                <w:spacing w:val="-10"/>
                <w:w w:val="98"/>
                <w:sz w:val="21"/>
                <w:szCs w:val="21"/>
              </w:rPr>
              <w:t>15</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0"/>
                <w:sz w:val="21"/>
                <w:szCs w:val="21"/>
              </w:rPr>
              <w:t>回转窑</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１</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Φ4.8×72ｍ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76"/>
              <w:rPr>
                <w:rFonts w:ascii="宋体" w:hAnsi="宋体" w:eastAsia="宋体" w:cs="宋体"/>
                <w:sz w:val="21"/>
                <w:szCs w:val="21"/>
              </w:rPr>
            </w:pPr>
            <w:r>
              <w:rPr>
                <w:rFonts w:ascii="宋体" w:hAnsi="宋体" w:eastAsia="宋体" w:cs="宋体"/>
                <w:spacing w:val="-10"/>
                <w:w w:val="98"/>
                <w:sz w:val="21"/>
                <w:szCs w:val="21"/>
              </w:rPr>
              <w:t>16</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提升机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１</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N-TGD800-94100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3" w:line="180" w:lineRule="auto"/>
              <w:ind w:firstLine="276"/>
              <w:rPr>
                <w:rFonts w:ascii="宋体" w:hAnsi="宋体" w:eastAsia="宋体" w:cs="宋体"/>
                <w:sz w:val="21"/>
                <w:szCs w:val="21"/>
              </w:rPr>
            </w:pPr>
            <w:r>
              <w:rPr>
                <w:rFonts w:ascii="宋体" w:hAnsi="宋体" w:eastAsia="宋体" w:cs="宋体"/>
                <w:spacing w:val="-10"/>
                <w:w w:val="98"/>
                <w:sz w:val="21"/>
                <w:szCs w:val="21"/>
              </w:rPr>
              <w:t>17</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窑尾高温风机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１</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2950DI</w:t>
            </w:r>
            <w:r>
              <w:rPr>
                <w:rFonts w:ascii="宋体" w:hAnsi="宋体" w:eastAsia="宋体" w:cs="宋体"/>
                <w:spacing w:val="11"/>
                <w:sz w:val="21"/>
                <w:szCs w:val="21"/>
              </w:rPr>
              <w:t xml:space="preserve"> </w:t>
            </w:r>
            <w:r>
              <w:rPr>
                <w:rFonts w:ascii="宋体" w:hAnsi="宋体" w:eastAsia="宋体" w:cs="宋体"/>
                <w:spacing w:val="-2"/>
                <w:sz w:val="21"/>
                <w:szCs w:val="21"/>
              </w:rPr>
              <w:t>BB50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463" w:type="pct"/>
            <w:vAlign w:val="center"/>
          </w:tcPr>
          <w:p>
            <w:pPr>
              <w:spacing w:before="0" w:line="180" w:lineRule="auto"/>
              <w:ind w:firstLine="278"/>
              <w:jc w:val="both"/>
              <w:rPr>
                <w:rFonts w:ascii="宋体" w:hAnsi="宋体" w:eastAsia="宋体" w:cs="宋体"/>
                <w:sz w:val="21"/>
                <w:szCs w:val="21"/>
              </w:rPr>
            </w:pPr>
            <w:r>
              <w:rPr>
                <w:rFonts w:ascii="宋体" w:hAnsi="宋体" w:eastAsia="宋体" w:cs="宋体"/>
                <w:spacing w:val="-10"/>
                <w:w w:val="98"/>
                <w:sz w:val="21"/>
                <w:szCs w:val="21"/>
              </w:rPr>
              <w:t>18</w:t>
            </w:r>
          </w:p>
        </w:tc>
        <w:tc>
          <w:tcPr>
            <w:tcW w:w="1914"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MFB</w:t>
            </w:r>
            <w:r>
              <w:rPr>
                <w:rFonts w:ascii="宋体" w:hAnsi="宋体" w:eastAsia="宋体" w:cs="宋体"/>
                <w:spacing w:val="-42"/>
                <w:sz w:val="21"/>
                <w:szCs w:val="21"/>
              </w:rPr>
              <w:t xml:space="preserve"> </w:t>
            </w:r>
            <w:r>
              <w:rPr>
                <w:rFonts w:ascii="宋体" w:hAnsi="宋体" w:eastAsia="宋体" w:cs="宋体"/>
                <w:spacing w:val="-2"/>
                <w:sz w:val="21"/>
                <w:szCs w:val="21"/>
              </w:rPr>
              <w:t>风扫煤磨</w:t>
            </w:r>
          </w:p>
        </w:tc>
        <w:tc>
          <w:tcPr>
            <w:tcW w:w="753"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right="16"/>
              <w:jc w:val="center"/>
              <w:textAlignment w:val="auto"/>
              <w:rPr>
                <w:rFonts w:ascii="宋体" w:hAnsi="宋体" w:eastAsia="宋体" w:cs="宋体"/>
                <w:sz w:val="21"/>
                <w:szCs w:val="21"/>
              </w:rPr>
            </w:pPr>
            <w:r>
              <w:rPr>
                <w:rFonts w:ascii="宋体" w:hAnsi="宋体" w:eastAsia="宋体" w:cs="宋体"/>
                <w:spacing w:val="-7"/>
                <w:sz w:val="21"/>
                <w:szCs w:val="21"/>
              </w:rPr>
              <w:t>Φ3.8×（7+2.5）</w:t>
            </w:r>
            <w:r>
              <w:rPr>
                <w:rFonts w:ascii="宋体" w:hAnsi="宋体" w:eastAsia="宋体" w:cs="宋体"/>
                <w:spacing w:val="11"/>
                <w:sz w:val="21"/>
                <w:szCs w:val="21"/>
              </w:rPr>
              <w:t xml:space="preserve"> </w:t>
            </w:r>
            <w:r>
              <w:rPr>
                <w:rFonts w:ascii="宋体" w:hAnsi="宋体" w:eastAsia="宋体" w:cs="宋体"/>
                <w:sz w:val="21"/>
                <w:szCs w:val="21"/>
              </w:rPr>
              <w:t>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3" w:line="180" w:lineRule="auto"/>
              <w:ind w:firstLine="276"/>
              <w:rPr>
                <w:rFonts w:ascii="宋体" w:hAnsi="宋体" w:eastAsia="宋体" w:cs="宋体"/>
                <w:sz w:val="21"/>
                <w:szCs w:val="21"/>
              </w:rPr>
            </w:pPr>
            <w:r>
              <w:rPr>
                <w:rFonts w:ascii="宋体" w:hAnsi="宋体" w:eastAsia="宋体" w:cs="宋体"/>
                <w:spacing w:val="-10"/>
                <w:w w:val="98"/>
                <w:sz w:val="21"/>
                <w:szCs w:val="21"/>
              </w:rPr>
              <w:t>19</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涡流选粉机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MD1500AY</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3"/>
              <w:rPr>
                <w:rFonts w:ascii="宋体" w:hAnsi="宋体" w:eastAsia="宋体" w:cs="宋体"/>
                <w:sz w:val="21"/>
                <w:szCs w:val="21"/>
              </w:rPr>
            </w:pPr>
            <w:r>
              <w:rPr>
                <w:rFonts w:ascii="宋体" w:hAnsi="宋体" w:eastAsia="宋体" w:cs="宋体"/>
                <w:spacing w:val="-6"/>
                <w:sz w:val="21"/>
                <w:szCs w:val="21"/>
              </w:rPr>
              <w:t>20</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转子喂料秤</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hint="eastAsia" w:ascii="宋体" w:hAnsi="宋体" w:eastAsia="宋体" w:cs="宋体"/>
                <w:spacing w:val="-1"/>
                <w:sz w:val="21"/>
                <w:szCs w:val="21"/>
              </w:rPr>
              <w:t>菲斯特DRW4.12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3" w:line="180" w:lineRule="auto"/>
              <w:ind w:firstLine="263"/>
              <w:rPr>
                <w:rFonts w:ascii="宋体" w:hAnsi="宋体" w:eastAsia="宋体" w:cs="宋体"/>
                <w:sz w:val="21"/>
                <w:szCs w:val="21"/>
              </w:rPr>
            </w:pPr>
            <w:r>
              <w:rPr>
                <w:rFonts w:ascii="宋体" w:hAnsi="宋体" w:eastAsia="宋体" w:cs="宋体"/>
                <w:spacing w:val="-6"/>
                <w:sz w:val="21"/>
                <w:szCs w:val="21"/>
              </w:rPr>
              <w:t>21</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罗茨鼓风机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RSR250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6" w:line="180" w:lineRule="auto"/>
              <w:ind w:firstLine="263"/>
              <w:rPr>
                <w:rFonts w:ascii="宋体" w:hAnsi="宋体" w:eastAsia="宋体" w:cs="宋体"/>
                <w:sz w:val="21"/>
                <w:szCs w:val="21"/>
              </w:rPr>
            </w:pPr>
            <w:r>
              <w:rPr>
                <w:rFonts w:ascii="宋体" w:hAnsi="宋体" w:eastAsia="宋体" w:cs="宋体"/>
                <w:spacing w:val="-6"/>
                <w:sz w:val="21"/>
                <w:szCs w:val="21"/>
              </w:rPr>
              <w:t>22</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窑尾排风机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Y4-2X73№21.5F</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463" w:type="pct"/>
            <w:vAlign w:val="top"/>
          </w:tcPr>
          <w:p>
            <w:pPr>
              <w:spacing w:before="145" w:line="180" w:lineRule="auto"/>
              <w:ind w:firstLine="263"/>
              <w:rPr>
                <w:rFonts w:ascii="宋体" w:hAnsi="宋体" w:eastAsia="宋体" w:cs="宋体"/>
                <w:sz w:val="21"/>
                <w:szCs w:val="21"/>
              </w:rPr>
            </w:pPr>
            <w:r>
              <w:rPr>
                <w:rFonts w:ascii="宋体" w:hAnsi="宋体" w:eastAsia="宋体" w:cs="宋体"/>
                <w:spacing w:val="-6"/>
                <w:sz w:val="21"/>
                <w:szCs w:val="21"/>
              </w:rPr>
              <w:t>23</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煤磨排风机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M6-38№15.5D</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463" w:type="pct"/>
            <w:vAlign w:val="top"/>
          </w:tcPr>
          <w:p>
            <w:pPr>
              <w:spacing w:before="146" w:line="180" w:lineRule="auto"/>
              <w:ind w:firstLine="263"/>
              <w:rPr>
                <w:rFonts w:ascii="宋体" w:hAnsi="宋体" w:eastAsia="宋体" w:cs="宋体"/>
                <w:sz w:val="21"/>
                <w:szCs w:val="21"/>
              </w:rPr>
            </w:pPr>
            <w:r>
              <w:rPr>
                <w:rFonts w:ascii="宋体" w:hAnsi="宋体" w:eastAsia="宋体" w:cs="宋体"/>
                <w:spacing w:val="-6"/>
                <w:sz w:val="21"/>
                <w:szCs w:val="21"/>
              </w:rPr>
              <w:t>24</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板式给料机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B1250x5440mm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263"/>
              <w:rPr>
                <w:rFonts w:ascii="宋体" w:hAnsi="宋体" w:eastAsia="宋体" w:cs="宋体"/>
                <w:sz w:val="21"/>
                <w:szCs w:val="21"/>
              </w:rPr>
            </w:pPr>
            <w:r>
              <w:rPr>
                <w:rFonts w:ascii="宋体" w:hAnsi="宋体" w:eastAsia="宋体" w:cs="宋体"/>
                <w:spacing w:val="-6"/>
                <w:sz w:val="21"/>
                <w:szCs w:val="21"/>
              </w:rPr>
              <w:t>25</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锤式破碎机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5"/>
                <w:sz w:val="21"/>
                <w:szCs w:val="21"/>
              </w:rPr>
              <w:t>φ1420x1194mm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263"/>
              <w:rPr>
                <w:rFonts w:ascii="宋体" w:hAnsi="宋体" w:eastAsia="宋体" w:cs="宋体"/>
                <w:sz w:val="21"/>
                <w:szCs w:val="21"/>
              </w:rPr>
            </w:pPr>
            <w:r>
              <w:rPr>
                <w:rFonts w:ascii="宋体" w:hAnsi="宋体" w:eastAsia="宋体" w:cs="宋体"/>
                <w:spacing w:val="-6"/>
                <w:sz w:val="21"/>
                <w:szCs w:val="21"/>
              </w:rPr>
              <w:t>26</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斗式提升机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NSE800×45.1m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1" w:line="180" w:lineRule="auto"/>
              <w:ind w:firstLine="263"/>
              <w:rPr>
                <w:rFonts w:ascii="宋体" w:hAnsi="宋体" w:eastAsia="宋体" w:cs="宋体"/>
                <w:sz w:val="21"/>
                <w:szCs w:val="21"/>
              </w:rPr>
            </w:pPr>
            <w:r>
              <w:rPr>
                <w:rFonts w:ascii="宋体" w:hAnsi="宋体" w:eastAsia="宋体" w:cs="宋体"/>
                <w:spacing w:val="-6"/>
                <w:sz w:val="21"/>
                <w:szCs w:val="21"/>
              </w:rPr>
              <w:t>27</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辊压机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Ф1400-1400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1" w:line="180" w:lineRule="auto"/>
              <w:ind w:firstLine="263"/>
              <w:rPr>
                <w:rFonts w:ascii="宋体" w:hAnsi="宋体" w:eastAsia="宋体" w:cs="宋体"/>
                <w:sz w:val="21"/>
                <w:szCs w:val="21"/>
              </w:rPr>
            </w:pPr>
            <w:r>
              <w:rPr>
                <w:rFonts w:ascii="宋体" w:hAnsi="宋体" w:eastAsia="宋体" w:cs="宋体"/>
                <w:spacing w:val="-6"/>
                <w:sz w:val="21"/>
                <w:szCs w:val="21"/>
              </w:rPr>
              <w:t>28</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水泥管磨</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5"/>
                <w:sz w:val="21"/>
                <w:szCs w:val="21"/>
              </w:rPr>
              <w:t>Ф3.8×13m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463" w:type="pct"/>
            <w:vAlign w:val="center"/>
          </w:tcPr>
          <w:p>
            <w:pPr>
              <w:spacing w:before="0" w:line="180" w:lineRule="auto"/>
              <w:ind w:firstLine="261"/>
              <w:jc w:val="both"/>
              <w:rPr>
                <w:rFonts w:ascii="宋体" w:hAnsi="宋体" w:eastAsia="宋体" w:cs="宋体"/>
                <w:sz w:val="21"/>
                <w:szCs w:val="21"/>
              </w:rPr>
            </w:pPr>
            <w:r>
              <w:rPr>
                <w:rFonts w:ascii="宋体" w:hAnsi="宋体" w:eastAsia="宋体" w:cs="宋体"/>
                <w:spacing w:val="-6"/>
                <w:sz w:val="21"/>
                <w:szCs w:val="21"/>
              </w:rPr>
              <w:t>29</w:t>
            </w:r>
          </w:p>
        </w:tc>
        <w:tc>
          <w:tcPr>
            <w:tcW w:w="1914"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斗式提升机</w:t>
            </w:r>
          </w:p>
        </w:tc>
        <w:tc>
          <w:tcPr>
            <w:tcW w:w="753"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left="788" w:right="148" w:firstLine="0"/>
              <w:jc w:val="center"/>
              <w:textAlignment w:val="auto"/>
              <w:rPr>
                <w:rFonts w:ascii="宋体" w:hAnsi="宋体" w:eastAsia="宋体" w:cs="宋体"/>
                <w:sz w:val="21"/>
                <w:szCs w:val="21"/>
              </w:rPr>
            </w:pPr>
            <w:r>
              <w:rPr>
                <w:rFonts w:ascii="宋体" w:hAnsi="宋体" w:eastAsia="宋体" w:cs="宋体"/>
                <w:spacing w:val="-4"/>
                <w:sz w:val="21"/>
                <w:szCs w:val="21"/>
              </w:rPr>
              <w:t>NSE200</w:t>
            </w:r>
            <w:r>
              <w:rPr>
                <w:rFonts w:ascii="宋体" w:hAnsi="宋体" w:eastAsia="宋体" w:cs="宋体"/>
                <w:spacing w:val="-58"/>
                <w:sz w:val="21"/>
                <w:szCs w:val="21"/>
              </w:rPr>
              <w:t xml:space="preserve"> </w:t>
            </w:r>
            <w:r>
              <w:rPr>
                <w:rFonts w:ascii="宋体" w:hAnsi="宋体" w:eastAsia="宋体" w:cs="宋体"/>
                <w:spacing w:val="-4"/>
                <w:sz w:val="21"/>
                <w:szCs w:val="21"/>
              </w:rPr>
              <w:t>(强)-42.</w:t>
            </w:r>
            <w:r>
              <w:rPr>
                <w:rFonts w:ascii="宋体" w:hAnsi="宋体" w:eastAsia="宋体" w:cs="宋体"/>
                <w:sz w:val="21"/>
                <w:szCs w:val="21"/>
              </w:rPr>
              <w:t xml:space="preserve"> </w:t>
            </w:r>
            <w:r>
              <w:rPr>
                <w:rFonts w:ascii="宋体" w:hAnsi="宋体" w:eastAsia="宋体" w:cs="宋体"/>
                <w:spacing w:val="-7"/>
                <w:sz w:val="21"/>
                <w:szCs w:val="21"/>
              </w:rPr>
              <w:t>5m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3" w:line="180" w:lineRule="auto"/>
              <w:ind w:firstLine="265"/>
              <w:rPr>
                <w:rFonts w:ascii="宋体" w:hAnsi="宋体" w:eastAsia="宋体" w:cs="宋体"/>
                <w:sz w:val="21"/>
                <w:szCs w:val="21"/>
              </w:rPr>
            </w:pPr>
            <w:r>
              <w:rPr>
                <w:rFonts w:ascii="宋体" w:hAnsi="宋体" w:eastAsia="宋体" w:cs="宋体"/>
                <w:spacing w:val="-7"/>
                <w:sz w:val="21"/>
                <w:szCs w:val="21"/>
              </w:rPr>
              <w:t>30</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辊式磨</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LRMC43.4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265"/>
              <w:rPr>
                <w:rFonts w:ascii="宋体" w:hAnsi="宋体" w:eastAsia="宋体" w:cs="宋体"/>
                <w:sz w:val="21"/>
                <w:szCs w:val="21"/>
              </w:rPr>
            </w:pPr>
            <w:r>
              <w:rPr>
                <w:rFonts w:ascii="宋体" w:hAnsi="宋体" w:eastAsia="宋体" w:cs="宋体"/>
                <w:spacing w:val="-7"/>
                <w:sz w:val="21"/>
                <w:szCs w:val="21"/>
              </w:rPr>
              <w:t>31</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水泥包装机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5"/>
                <w:sz w:val="21"/>
                <w:szCs w:val="21"/>
              </w:rPr>
              <w:t>BHYW</w:t>
            </w:r>
            <w:r>
              <w:rPr>
                <w:rFonts w:ascii="宋体" w:hAnsi="宋体" w:eastAsia="宋体" w:cs="宋体"/>
                <w:spacing w:val="-59"/>
                <w:sz w:val="21"/>
                <w:szCs w:val="21"/>
              </w:rPr>
              <w:t xml:space="preserve"> </w:t>
            </w:r>
            <w:r>
              <w:rPr>
                <w:rFonts w:ascii="宋体" w:hAnsi="宋体" w:eastAsia="宋体" w:cs="宋体"/>
                <w:spacing w:val="-5"/>
                <w:sz w:val="21"/>
                <w:szCs w:val="21"/>
              </w:rPr>
              <w:t>(ZN)-8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3" w:line="180" w:lineRule="auto"/>
              <w:ind w:firstLine="265"/>
              <w:rPr>
                <w:rFonts w:ascii="宋体" w:hAnsi="宋体" w:eastAsia="宋体" w:cs="宋体"/>
                <w:sz w:val="21"/>
                <w:szCs w:val="21"/>
              </w:rPr>
            </w:pPr>
            <w:r>
              <w:rPr>
                <w:rFonts w:ascii="宋体" w:hAnsi="宋体" w:eastAsia="宋体" w:cs="宋体"/>
                <w:spacing w:val="-7"/>
                <w:sz w:val="21"/>
                <w:szCs w:val="21"/>
              </w:rPr>
              <w:t>32</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汽车散装机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3</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ZSQ250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265"/>
              <w:rPr>
                <w:rFonts w:ascii="宋体" w:hAnsi="宋体" w:eastAsia="宋体" w:cs="宋体"/>
                <w:sz w:val="21"/>
                <w:szCs w:val="21"/>
              </w:rPr>
            </w:pPr>
            <w:r>
              <w:rPr>
                <w:rFonts w:ascii="宋体" w:hAnsi="宋体" w:eastAsia="宋体" w:cs="宋体"/>
                <w:spacing w:val="-7"/>
                <w:sz w:val="21"/>
                <w:szCs w:val="21"/>
              </w:rPr>
              <w:t>33</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水泥立磨排风机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2550D1BB50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2" w:line="180" w:lineRule="auto"/>
              <w:ind w:firstLine="265"/>
              <w:rPr>
                <w:rFonts w:ascii="宋体" w:hAnsi="宋体" w:eastAsia="宋体" w:cs="宋体"/>
                <w:sz w:val="21"/>
                <w:szCs w:val="21"/>
              </w:rPr>
            </w:pPr>
            <w:r>
              <w:rPr>
                <w:rFonts w:ascii="宋体" w:hAnsi="宋体" w:eastAsia="宋体" w:cs="宋体"/>
                <w:spacing w:val="-7"/>
                <w:sz w:val="21"/>
                <w:szCs w:val="21"/>
              </w:rPr>
              <w:t>34</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管磨风机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Y5-47NO12D</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463" w:type="pct"/>
            <w:vAlign w:val="center"/>
          </w:tcPr>
          <w:p>
            <w:pPr>
              <w:spacing w:before="0" w:line="180" w:lineRule="auto"/>
              <w:jc w:val="center"/>
              <w:rPr>
                <w:rFonts w:ascii="宋体" w:hAnsi="宋体" w:eastAsia="宋体" w:cs="宋体"/>
                <w:sz w:val="21"/>
                <w:szCs w:val="21"/>
              </w:rPr>
            </w:pPr>
            <w:r>
              <w:rPr>
                <w:rFonts w:ascii="宋体" w:hAnsi="宋体" w:eastAsia="宋体" w:cs="宋体"/>
                <w:spacing w:val="-7"/>
                <w:sz w:val="21"/>
                <w:szCs w:val="21"/>
              </w:rPr>
              <w:t>35</w:t>
            </w:r>
          </w:p>
        </w:tc>
        <w:tc>
          <w:tcPr>
            <w:tcW w:w="1914"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管磨排风机</w:t>
            </w:r>
          </w:p>
        </w:tc>
        <w:tc>
          <w:tcPr>
            <w:tcW w:w="753"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center"/>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5"/>
              <w:rPr>
                <w:rFonts w:ascii="宋体" w:hAnsi="宋体" w:eastAsia="宋体" w:cs="宋体"/>
                <w:sz w:val="21"/>
                <w:szCs w:val="21"/>
              </w:rPr>
            </w:pPr>
            <w:r>
              <w:rPr>
                <w:rFonts w:ascii="宋体" w:hAnsi="宋体" w:eastAsia="宋体" w:cs="宋体"/>
                <w:spacing w:val="-7"/>
                <w:sz w:val="21"/>
                <w:szCs w:val="21"/>
              </w:rPr>
              <w:t>36</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变压器</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0"/>
                <w:w w:val="98"/>
                <w:sz w:val="21"/>
                <w:szCs w:val="21"/>
              </w:rPr>
              <w:t>19</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S11-1250／10</w:t>
            </w:r>
            <w:r>
              <w:rPr>
                <w:rFonts w:ascii="宋体" w:hAnsi="宋体" w:eastAsia="宋体" w:cs="宋体"/>
                <w:spacing w:val="-42"/>
                <w:sz w:val="21"/>
                <w:szCs w:val="21"/>
              </w:rPr>
              <w:t xml:space="preserve"> </w:t>
            </w:r>
            <w:r>
              <w:rPr>
                <w:rFonts w:ascii="宋体" w:hAnsi="宋体" w:eastAsia="宋体" w:cs="宋体"/>
                <w:spacing w:val="-1"/>
                <w:sz w:val="21"/>
                <w:szCs w:val="21"/>
              </w:rPr>
              <w:t>等</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5"/>
              <w:rPr>
                <w:rFonts w:ascii="宋体" w:hAnsi="宋体" w:eastAsia="宋体" w:cs="宋体"/>
                <w:sz w:val="21"/>
                <w:szCs w:val="21"/>
              </w:rPr>
            </w:pPr>
            <w:r>
              <w:rPr>
                <w:rFonts w:ascii="宋体" w:hAnsi="宋体" w:eastAsia="宋体" w:cs="宋体"/>
                <w:spacing w:val="-7"/>
                <w:sz w:val="21"/>
                <w:szCs w:val="21"/>
              </w:rPr>
              <w:t>37</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6"/>
                <w:sz w:val="21"/>
                <w:szCs w:val="21"/>
              </w:rPr>
              <w:t>空压机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8</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SE132W-10／I</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5"/>
              <w:rPr>
                <w:rFonts w:ascii="宋体" w:hAnsi="宋体" w:eastAsia="宋体" w:cs="宋体"/>
                <w:sz w:val="21"/>
                <w:szCs w:val="21"/>
              </w:rPr>
            </w:pPr>
            <w:r>
              <w:rPr>
                <w:rFonts w:ascii="宋体" w:hAnsi="宋体" w:eastAsia="宋体" w:cs="宋体"/>
                <w:spacing w:val="-7"/>
                <w:sz w:val="21"/>
                <w:szCs w:val="21"/>
              </w:rPr>
              <w:t>38</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冷却塔</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2</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3" w:line="180" w:lineRule="auto"/>
              <w:ind w:firstLine="265"/>
              <w:rPr>
                <w:rFonts w:ascii="宋体" w:hAnsi="宋体" w:eastAsia="宋体" w:cs="宋体"/>
                <w:sz w:val="21"/>
                <w:szCs w:val="21"/>
              </w:rPr>
            </w:pPr>
            <w:r>
              <w:rPr>
                <w:rFonts w:ascii="宋体" w:hAnsi="宋体" w:eastAsia="宋体" w:cs="宋体"/>
                <w:spacing w:val="-7"/>
                <w:sz w:val="21"/>
                <w:szCs w:val="21"/>
              </w:rPr>
              <w:t>39</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4"/>
                <w:sz w:val="21"/>
                <w:szCs w:val="21"/>
              </w:rPr>
              <w:t>冷却塔</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2</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3" w:line="180" w:lineRule="auto"/>
              <w:ind w:firstLine="260"/>
              <w:rPr>
                <w:rFonts w:ascii="宋体" w:hAnsi="宋体" w:eastAsia="宋体" w:cs="宋体"/>
                <w:sz w:val="21"/>
                <w:szCs w:val="21"/>
              </w:rPr>
            </w:pPr>
            <w:r>
              <w:rPr>
                <w:rFonts w:ascii="宋体" w:hAnsi="宋体" w:eastAsia="宋体" w:cs="宋体"/>
                <w:spacing w:val="-4"/>
                <w:sz w:val="21"/>
                <w:szCs w:val="21"/>
              </w:rPr>
              <w:t>40</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脱硝设施</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SNCR</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0"/>
              <w:rPr>
                <w:rFonts w:ascii="宋体" w:hAnsi="宋体" w:eastAsia="宋体" w:cs="宋体"/>
                <w:sz w:val="21"/>
                <w:szCs w:val="21"/>
              </w:rPr>
            </w:pPr>
            <w:r>
              <w:rPr>
                <w:rFonts w:ascii="宋体" w:hAnsi="宋体" w:eastAsia="宋体" w:cs="宋体"/>
                <w:spacing w:val="-4"/>
                <w:sz w:val="21"/>
                <w:szCs w:val="21"/>
              </w:rPr>
              <w:t>41</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窑头余热锅炉</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AQC</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0"/>
              <w:rPr>
                <w:rFonts w:ascii="宋体" w:hAnsi="宋体" w:eastAsia="宋体" w:cs="宋体"/>
                <w:sz w:val="21"/>
                <w:szCs w:val="21"/>
              </w:rPr>
            </w:pPr>
            <w:r>
              <w:rPr>
                <w:rFonts w:ascii="宋体" w:hAnsi="宋体" w:eastAsia="宋体" w:cs="宋体"/>
                <w:spacing w:val="-4"/>
                <w:sz w:val="21"/>
                <w:szCs w:val="21"/>
              </w:rPr>
              <w:t>42</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3"/>
                <w:sz w:val="21"/>
                <w:szCs w:val="21"/>
              </w:rPr>
              <w:t>窑尾余热锅炉</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5"/>
                <w:sz w:val="21"/>
                <w:szCs w:val="21"/>
              </w:rPr>
              <w:t>SP</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0"/>
              <w:rPr>
                <w:rFonts w:ascii="宋体" w:hAnsi="宋体" w:eastAsia="宋体" w:cs="宋体"/>
                <w:sz w:val="21"/>
                <w:szCs w:val="21"/>
              </w:rPr>
            </w:pPr>
            <w:r>
              <w:rPr>
                <w:rFonts w:ascii="宋体" w:hAnsi="宋体" w:eastAsia="宋体" w:cs="宋体"/>
                <w:spacing w:val="-4"/>
                <w:sz w:val="21"/>
                <w:szCs w:val="21"/>
              </w:rPr>
              <w:t>43</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2"/>
                <w:sz w:val="21"/>
                <w:szCs w:val="21"/>
              </w:rPr>
              <w:t>凝汽式汽轮机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N6-1.25MPa</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0"/>
              <w:rPr>
                <w:rFonts w:ascii="宋体" w:hAnsi="宋体" w:eastAsia="宋体" w:cs="宋体"/>
                <w:sz w:val="21"/>
                <w:szCs w:val="21"/>
              </w:rPr>
            </w:pPr>
            <w:r>
              <w:rPr>
                <w:rFonts w:ascii="宋体" w:hAnsi="宋体" w:eastAsia="宋体" w:cs="宋体"/>
                <w:spacing w:val="-4"/>
                <w:sz w:val="21"/>
                <w:szCs w:val="21"/>
              </w:rPr>
              <w:t>44</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5"/>
                <w:sz w:val="21"/>
                <w:szCs w:val="21"/>
              </w:rPr>
              <w:t>发电机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z w:val="21"/>
                <w:szCs w:val="21"/>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z w:val="21"/>
                <w:szCs w:val="21"/>
              </w:rPr>
            </w:pPr>
            <w:r>
              <w:rPr>
                <w:rFonts w:ascii="宋体" w:hAnsi="宋体" w:eastAsia="宋体" w:cs="宋体"/>
                <w:spacing w:val="-1"/>
                <w:sz w:val="21"/>
                <w:szCs w:val="21"/>
              </w:rPr>
              <w:t>QF-J6-2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0"/>
              <w:rPr>
                <w:rFonts w:hint="default" w:ascii="宋体" w:hAnsi="宋体" w:eastAsia="宋体" w:cs="宋体"/>
                <w:spacing w:val="-4"/>
                <w:sz w:val="21"/>
                <w:szCs w:val="21"/>
                <w:lang w:val="en-US" w:eastAsia="zh-CN"/>
              </w:rPr>
            </w:pPr>
            <w:r>
              <w:rPr>
                <w:rFonts w:hint="eastAsia" w:ascii="宋体" w:hAnsi="宋体" w:eastAsia="宋体" w:cs="宋体"/>
                <w:spacing w:val="-4"/>
                <w:sz w:val="21"/>
                <w:szCs w:val="21"/>
                <w:lang w:val="en-US" w:eastAsia="zh-CN"/>
              </w:rPr>
              <w:t>45</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default" w:ascii="宋体" w:hAnsi="宋体" w:eastAsia="宋体" w:cs="宋体"/>
                <w:spacing w:val="-5"/>
                <w:sz w:val="21"/>
                <w:szCs w:val="21"/>
                <w:lang w:val="en-US" w:eastAsia="zh-CN"/>
              </w:rPr>
            </w:pPr>
            <w:r>
              <w:rPr>
                <w:rFonts w:hint="eastAsia" w:ascii="宋体" w:hAnsi="宋体" w:eastAsia="宋体" w:cs="宋体"/>
                <w:spacing w:val="-5"/>
                <w:sz w:val="21"/>
                <w:szCs w:val="21"/>
                <w:lang w:val="en-US" w:eastAsia="zh-CN"/>
              </w:rPr>
              <w:t>振动筛</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3</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default" w:ascii="宋体" w:hAnsi="宋体" w:eastAsia="宋体" w:cs="宋体"/>
                <w:spacing w:val="-1"/>
                <w:sz w:val="21"/>
                <w:szCs w:val="21"/>
                <w:lang w:val="en-US" w:eastAsia="zh-CN"/>
              </w:rPr>
            </w:pPr>
            <w:r>
              <w:rPr>
                <w:rFonts w:hint="eastAsia" w:ascii="宋体" w:hAnsi="宋体" w:eastAsia="宋体" w:cs="宋体"/>
                <w:spacing w:val="-1"/>
                <w:sz w:val="21"/>
                <w:szCs w:val="21"/>
                <w:lang w:val="en-US" w:eastAsia="zh-CN"/>
              </w:rPr>
              <w:t>17.5㎡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0"/>
              <w:rPr>
                <w:rFonts w:hint="default" w:ascii="宋体" w:hAnsi="宋体" w:eastAsia="宋体" w:cs="宋体"/>
                <w:spacing w:val="-4"/>
                <w:sz w:val="21"/>
                <w:szCs w:val="21"/>
                <w:lang w:val="en-US" w:eastAsia="zh-CN"/>
              </w:rPr>
            </w:pPr>
            <w:r>
              <w:rPr>
                <w:rFonts w:hint="eastAsia" w:ascii="宋体" w:hAnsi="宋体" w:eastAsia="宋体" w:cs="宋体"/>
                <w:spacing w:val="-4"/>
                <w:sz w:val="21"/>
                <w:szCs w:val="21"/>
                <w:lang w:val="en-US" w:eastAsia="zh-CN"/>
              </w:rPr>
              <w:t>46</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eastAsia" w:ascii="宋体" w:hAnsi="宋体" w:eastAsia="宋体" w:cs="宋体"/>
                <w:spacing w:val="-5"/>
                <w:sz w:val="21"/>
                <w:szCs w:val="21"/>
                <w:lang w:val="en-US" w:eastAsia="zh-CN"/>
              </w:rPr>
            </w:pPr>
            <w:r>
              <w:rPr>
                <w:rFonts w:hint="eastAsia" w:ascii="宋体" w:hAnsi="宋体" w:eastAsia="宋体" w:cs="宋体"/>
                <w:spacing w:val="-5"/>
                <w:sz w:val="21"/>
                <w:szCs w:val="21"/>
                <w:lang w:val="en-US" w:eastAsia="zh-CN"/>
              </w:rPr>
              <w:t>反击式破碎机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pacing w:val="-1"/>
                <w:sz w:val="21"/>
                <w:szCs w:val="21"/>
              </w:rPr>
            </w:pPr>
            <w:r>
              <w:rPr>
                <w:rFonts w:hint="eastAsia" w:ascii="宋体" w:hAnsi="宋体" w:eastAsia="宋体" w:cs="宋体"/>
                <w:spacing w:val="-1"/>
                <w:sz w:val="21"/>
                <w:szCs w:val="21"/>
              </w:rPr>
              <w:t>进料块度：≤150mm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0"/>
              <w:rPr>
                <w:rFonts w:hint="default" w:ascii="宋体" w:hAnsi="宋体" w:eastAsia="宋体" w:cs="宋体"/>
                <w:spacing w:val="-4"/>
                <w:sz w:val="21"/>
                <w:szCs w:val="21"/>
                <w:lang w:val="en-US" w:eastAsia="zh-CN"/>
              </w:rPr>
            </w:pPr>
            <w:r>
              <w:rPr>
                <w:rFonts w:hint="eastAsia" w:ascii="宋体" w:hAnsi="宋体" w:eastAsia="宋体" w:cs="宋体"/>
                <w:spacing w:val="-4"/>
                <w:sz w:val="21"/>
                <w:szCs w:val="21"/>
                <w:lang w:val="en-US" w:eastAsia="zh-CN"/>
              </w:rPr>
              <w:t>47</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pacing w:val="-5"/>
                <w:sz w:val="21"/>
                <w:szCs w:val="21"/>
              </w:rPr>
            </w:pPr>
            <w:r>
              <w:rPr>
                <w:rFonts w:hint="eastAsia" w:ascii="宋体" w:hAnsi="宋体" w:eastAsia="宋体" w:cs="宋体"/>
                <w:spacing w:val="-5"/>
                <w:sz w:val="21"/>
                <w:szCs w:val="21"/>
              </w:rPr>
              <w:t>制石灰石粉机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pacing w:val="-1"/>
                <w:sz w:val="21"/>
                <w:szCs w:val="21"/>
              </w:rPr>
            </w:pPr>
            <w:r>
              <w:rPr>
                <w:rFonts w:hint="eastAsia" w:ascii="宋体" w:hAnsi="宋体" w:eastAsia="宋体" w:cs="宋体"/>
                <w:spacing w:val="-1"/>
                <w:sz w:val="21"/>
                <w:szCs w:val="21"/>
              </w:rPr>
              <w:t>通过能力：250~300t/h</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0"/>
              <w:rPr>
                <w:rFonts w:hint="default" w:ascii="宋体" w:hAnsi="宋体" w:eastAsia="宋体" w:cs="宋体"/>
                <w:spacing w:val="-4"/>
                <w:sz w:val="21"/>
                <w:szCs w:val="21"/>
                <w:lang w:val="en-US" w:eastAsia="zh-CN"/>
              </w:rPr>
            </w:pPr>
            <w:r>
              <w:rPr>
                <w:rFonts w:hint="eastAsia" w:ascii="宋体" w:hAnsi="宋体" w:eastAsia="宋体" w:cs="宋体"/>
                <w:spacing w:val="-4"/>
                <w:sz w:val="21"/>
                <w:szCs w:val="21"/>
                <w:lang w:val="en-US" w:eastAsia="zh-CN"/>
              </w:rPr>
              <w:t>48</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pacing w:val="-5"/>
                <w:sz w:val="21"/>
                <w:szCs w:val="21"/>
              </w:rPr>
            </w:pPr>
            <w:r>
              <w:rPr>
                <w:rFonts w:hint="eastAsia" w:ascii="宋体" w:hAnsi="宋体" w:eastAsia="宋体" w:cs="宋体"/>
                <w:spacing w:val="-5"/>
                <w:sz w:val="21"/>
                <w:szCs w:val="21"/>
              </w:rPr>
              <w:t>振动筛</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pacing w:val="-1"/>
                <w:sz w:val="21"/>
                <w:szCs w:val="21"/>
              </w:rPr>
            </w:pPr>
            <w:r>
              <w:rPr>
                <w:rFonts w:hint="eastAsia" w:ascii="宋体" w:hAnsi="宋体" w:eastAsia="宋体" w:cs="宋体"/>
                <w:spacing w:val="-1"/>
                <w:sz w:val="21"/>
                <w:szCs w:val="21"/>
              </w:rPr>
              <w:t>通过能力：250~300t/h</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0"/>
              <w:rPr>
                <w:rFonts w:hint="default" w:ascii="宋体" w:hAnsi="宋体" w:eastAsia="宋体" w:cs="宋体"/>
                <w:spacing w:val="-4"/>
                <w:sz w:val="21"/>
                <w:szCs w:val="21"/>
                <w:lang w:val="en-US" w:eastAsia="zh-CN"/>
              </w:rPr>
            </w:pPr>
            <w:r>
              <w:rPr>
                <w:rFonts w:hint="eastAsia" w:ascii="宋体" w:hAnsi="宋体" w:eastAsia="宋体" w:cs="宋体"/>
                <w:spacing w:val="-4"/>
                <w:sz w:val="21"/>
                <w:szCs w:val="21"/>
                <w:lang w:val="en-US" w:eastAsia="zh-CN"/>
              </w:rPr>
              <w:t>49</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pacing w:val="-5"/>
                <w:sz w:val="21"/>
                <w:szCs w:val="21"/>
              </w:rPr>
            </w:pPr>
            <w:r>
              <w:rPr>
                <w:rFonts w:hint="eastAsia" w:ascii="宋体" w:hAnsi="宋体" w:eastAsia="宋体" w:cs="宋体"/>
                <w:spacing w:val="-5"/>
                <w:sz w:val="21"/>
                <w:szCs w:val="21"/>
              </w:rPr>
              <w:t>洗石灰石粉机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ascii="宋体" w:hAnsi="宋体" w:eastAsia="宋体" w:cs="宋体"/>
                <w:spacing w:val="-1"/>
                <w:sz w:val="21"/>
                <w:szCs w:val="21"/>
              </w:rPr>
            </w:pPr>
            <w:r>
              <w:rPr>
                <w:rFonts w:hint="eastAsia" w:ascii="宋体" w:hAnsi="宋体" w:eastAsia="宋体" w:cs="宋体"/>
                <w:spacing w:val="-1"/>
                <w:sz w:val="21"/>
                <w:szCs w:val="21"/>
              </w:rPr>
              <w:t>通过能力：150~200t/h</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0"/>
              <w:rPr>
                <w:rFonts w:hint="default" w:ascii="宋体" w:hAnsi="宋体" w:eastAsia="宋体" w:cs="宋体"/>
                <w:spacing w:val="-4"/>
                <w:sz w:val="21"/>
                <w:szCs w:val="21"/>
                <w:lang w:val="en-US" w:eastAsia="zh-CN"/>
              </w:rPr>
            </w:pPr>
            <w:r>
              <w:rPr>
                <w:rFonts w:hint="eastAsia" w:ascii="宋体" w:hAnsi="宋体" w:eastAsia="宋体" w:cs="宋体"/>
                <w:spacing w:val="-4"/>
                <w:sz w:val="21"/>
                <w:szCs w:val="21"/>
                <w:lang w:val="en-US" w:eastAsia="zh-CN"/>
              </w:rPr>
              <w:t>50</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eastAsia" w:ascii="宋体" w:hAnsi="宋体" w:eastAsia="宋体" w:cs="宋体"/>
                <w:spacing w:val="-5"/>
                <w:sz w:val="21"/>
                <w:szCs w:val="21"/>
              </w:rPr>
            </w:pPr>
            <w:r>
              <w:rPr>
                <w:rFonts w:hint="eastAsia" w:ascii="宋体" w:hAnsi="宋体" w:eastAsia="宋体" w:cs="宋体"/>
                <w:spacing w:val="-5"/>
                <w:sz w:val="21"/>
                <w:szCs w:val="21"/>
              </w:rPr>
              <w:t>螺旋分级机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eastAsia" w:ascii="宋体" w:hAnsi="宋体" w:eastAsia="宋体" w:cs="宋体"/>
                <w:spacing w:val="-1"/>
                <w:sz w:val="21"/>
                <w:szCs w:val="21"/>
              </w:rPr>
            </w:pPr>
            <w:r>
              <w:rPr>
                <w:rFonts w:hint="eastAsia" w:ascii="宋体" w:hAnsi="宋体" w:eastAsia="宋体" w:cs="宋体"/>
                <w:spacing w:val="-1"/>
                <w:sz w:val="21"/>
                <w:szCs w:val="21"/>
              </w:rPr>
              <w:t>通过能力：150~200t/h</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463" w:type="pct"/>
            <w:vAlign w:val="top"/>
          </w:tcPr>
          <w:p>
            <w:pPr>
              <w:spacing w:before="144" w:line="180" w:lineRule="auto"/>
              <w:ind w:firstLine="260"/>
              <w:rPr>
                <w:rFonts w:hint="default" w:ascii="宋体" w:hAnsi="宋体" w:eastAsia="宋体" w:cs="宋体"/>
                <w:spacing w:val="-4"/>
                <w:sz w:val="21"/>
                <w:szCs w:val="21"/>
                <w:lang w:val="en-US" w:eastAsia="zh-CN"/>
              </w:rPr>
            </w:pPr>
            <w:r>
              <w:rPr>
                <w:rFonts w:hint="eastAsia" w:ascii="宋体" w:hAnsi="宋体" w:eastAsia="宋体" w:cs="宋体"/>
                <w:spacing w:val="-4"/>
                <w:sz w:val="21"/>
                <w:szCs w:val="21"/>
                <w:lang w:val="en-US" w:eastAsia="zh-CN"/>
              </w:rPr>
              <w:t>51</w:t>
            </w:r>
          </w:p>
        </w:tc>
        <w:tc>
          <w:tcPr>
            <w:tcW w:w="1914"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eastAsia" w:ascii="宋体" w:hAnsi="宋体" w:eastAsia="宋体" w:cs="宋体"/>
                <w:spacing w:val="-5"/>
                <w:sz w:val="21"/>
                <w:szCs w:val="21"/>
              </w:rPr>
            </w:pPr>
            <w:r>
              <w:rPr>
                <w:rFonts w:hint="eastAsia" w:ascii="宋体" w:hAnsi="宋体" w:eastAsia="宋体" w:cs="宋体"/>
                <w:spacing w:val="-5"/>
                <w:sz w:val="21"/>
                <w:szCs w:val="21"/>
              </w:rPr>
              <w:t>压滤机</w:t>
            </w:r>
          </w:p>
        </w:tc>
        <w:tc>
          <w:tcPr>
            <w:tcW w:w="753"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w:t>
            </w:r>
          </w:p>
        </w:tc>
        <w:tc>
          <w:tcPr>
            <w:tcW w:w="1869" w:type="pct"/>
            <w:vAlign w:val="top"/>
          </w:tcPr>
          <w:p>
            <w:pPr>
              <w:keepNext w:val="0"/>
              <w:keepLines w:val="0"/>
              <w:pageBreakBefore w:val="0"/>
              <w:widowControl w:val="0"/>
              <w:kinsoku/>
              <w:wordWrap/>
              <w:overflowPunct/>
              <w:topLinePunct w:val="0"/>
              <w:autoSpaceDE/>
              <w:autoSpaceDN/>
              <w:bidi w:val="0"/>
              <w:adjustRightInd w:val="0"/>
              <w:snapToGrid w:val="0"/>
              <w:spacing w:before="157" w:beforeLines="50" w:line="312" w:lineRule="auto"/>
              <w:ind w:firstLine="0"/>
              <w:jc w:val="center"/>
              <w:textAlignment w:val="auto"/>
              <w:rPr>
                <w:rFonts w:hint="eastAsia" w:ascii="宋体" w:hAnsi="宋体" w:eastAsia="宋体" w:cs="宋体"/>
                <w:spacing w:val="-1"/>
                <w:sz w:val="21"/>
                <w:szCs w:val="21"/>
              </w:rPr>
            </w:pPr>
            <w:r>
              <w:rPr>
                <w:rFonts w:hint="eastAsia" w:ascii="宋体" w:hAnsi="宋体" w:eastAsia="宋体" w:cs="宋体"/>
                <w:spacing w:val="-1"/>
                <w:sz w:val="21"/>
                <w:szCs w:val="21"/>
              </w:rPr>
              <w:t>过能力：150~200t/h</w:t>
            </w:r>
          </w:p>
        </w:tc>
      </w:tr>
    </w:tbl>
    <w:p>
      <w:pPr>
        <w:spacing w:before="120" w:beforeLines="50" w:line="360" w:lineRule="auto"/>
        <w:outlineLvl w:val="2"/>
        <w:rPr>
          <w:b/>
          <w:sz w:val="28"/>
          <w:szCs w:val="28"/>
        </w:rPr>
      </w:pPr>
      <w:bookmarkStart w:id="31" w:name="_Toc17417"/>
      <w:r>
        <w:rPr>
          <w:rFonts w:hint="eastAsia"/>
          <w:b/>
          <w:sz w:val="28"/>
          <w:szCs w:val="28"/>
        </w:rPr>
        <w:t>2</w:t>
      </w:r>
      <w:r>
        <w:rPr>
          <w:b/>
          <w:sz w:val="28"/>
          <w:szCs w:val="28"/>
        </w:rPr>
        <w:t>.1.</w:t>
      </w:r>
      <w:r>
        <w:rPr>
          <w:rFonts w:hint="eastAsia"/>
          <w:b/>
          <w:sz w:val="28"/>
          <w:szCs w:val="28"/>
        </w:rPr>
        <w:t>6</w:t>
      </w:r>
      <w:r>
        <w:rPr>
          <w:b/>
          <w:sz w:val="28"/>
          <w:szCs w:val="28"/>
        </w:rPr>
        <w:t xml:space="preserve"> </w:t>
      </w:r>
      <w:r>
        <w:rPr>
          <w:rFonts w:hint="eastAsia"/>
          <w:b/>
          <w:sz w:val="28"/>
          <w:szCs w:val="28"/>
        </w:rPr>
        <w:t>生产工艺流程</w:t>
      </w:r>
      <w:bookmarkEnd w:id="31"/>
    </w:p>
    <w:p>
      <w:pPr>
        <w:keepNext w:val="0"/>
        <w:keepLines w:val="0"/>
        <w:pageBreakBefore w:val="0"/>
        <w:widowControl/>
        <w:kinsoku/>
        <w:wordWrap/>
        <w:overflowPunct/>
        <w:topLinePunct w:val="0"/>
        <w:autoSpaceDE/>
        <w:autoSpaceDN/>
        <w:bidi w:val="0"/>
        <w:adjustRightInd w:val="0"/>
        <w:snapToGrid w:val="0"/>
        <w:spacing w:before="192" w:beforeLines="50"/>
        <w:ind w:firstLine="480" w:firstLineChars="200"/>
        <w:textAlignment w:val="auto"/>
        <w:rPr>
          <w:rFonts w:hint="default" w:ascii="仿宋_GB2312" w:eastAsia="仿宋_GB2312"/>
          <w:sz w:val="24"/>
          <w:szCs w:val="24"/>
          <w:lang w:val="en-US" w:eastAsia="zh-CN"/>
        </w:rPr>
      </w:pPr>
      <w:r>
        <w:rPr>
          <w:rFonts w:hint="eastAsia" w:ascii="仿宋_GB2312" w:eastAsia="仿宋_GB2312"/>
          <w:sz w:val="24"/>
          <w:szCs w:val="24"/>
          <w:lang w:eastAsia="zh-CN"/>
        </w:rPr>
        <w:t>翁源县中源发展有限公司</w:t>
      </w:r>
      <w:r>
        <w:rPr>
          <w:rFonts w:hint="eastAsia" w:ascii="仿宋_GB2312" w:eastAsia="仿宋_GB2312"/>
          <w:sz w:val="24"/>
          <w:szCs w:val="24"/>
        </w:rPr>
        <w:t>主要生产</w:t>
      </w:r>
      <w:r>
        <w:rPr>
          <w:rFonts w:hint="eastAsia" w:ascii="仿宋_GB2312" w:eastAsia="仿宋_GB2312"/>
          <w:sz w:val="24"/>
          <w:szCs w:val="24"/>
          <w:lang w:val="en-US" w:eastAsia="zh-CN"/>
        </w:rPr>
        <w:t>水泥，生产工艺如下：</w:t>
      </w:r>
    </w:p>
    <w:p>
      <w:pPr>
        <w:spacing w:before="190"/>
        <w:ind w:left="0" w:leftChars="0" w:firstLine="0" w:firstLineChars="0"/>
        <w:jc w:val="center"/>
        <w:rPr>
          <w:rFonts w:hint="eastAsia" w:ascii="仿宋_GB2312" w:eastAsia="仿宋_GB2312"/>
        </w:rPr>
      </w:pPr>
      <w:r>
        <w:drawing>
          <wp:inline distT="0" distB="0" distL="114300" distR="114300">
            <wp:extent cx="3642360" cy="5623560"/>
            <wp:effectExtent l="0" t="0" r="0" b="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4"/>
                    <pic:cNvPicPr>
                      <a:picLocks noChangeAspect="1"/>
                    </pic:cNvPicPr>
                  </pic:nvPicPr>
                  <pic:blipFill>
                    <a:blip r:embed="rId20"/>
                    <a:stretch>
                      <a:fillRect/>
                    </a:stretch>
                  </pic:blipFill>
                  <pic:spPr>
                    <a:xfrm>
                      <a:off x="0" y="0"/>
                      <a:ext cx="3642360" cy="5623560"/>
                    </a:xfrm>
                    <a:prstGeom prst="rect">
                      <a:avLst/>
                    </a:prstGeom>
                    <a:noFill/>
                    <a:ln>
                      <a:noFill/>
                    </a:ln>
                  </pic:spPr>
                </pic:pic>
              </a:graphicData>
            </a:graphic>
          </wp:inline>
        </w:drawing>
      </w:r>
    </w:p>
    <w:p>
      <w:pPr>
        <w:spacing w:before="190"/>
        <w:ind w:firstLine="480"/>
        <w:jc w:val="center"/>
        <w:rPr>
          <w:rFonts w:hint="eastAsia" w:ascii="宋体" w:hAnsi="宋体"/>
          <w:b/>
          <w:bCs/>
          <w:sz w:val="21"/>
          <w:szCs w:val="21"/>
        </w:rPr>
      </w:pPr>
      <w:r>
        <w:rPr>
          <w:rFonts w:hint="eastAsia" w:ascii="宋体" w:hAnsi="宋体"/>
          <w:b/>
          <w:bCs/>
          <w:sz w:val="21"/>
          <w:szCs w:val="21"/>
        </w:rPr>
        <w:t>图</w:t>
      </w:r>
      <w:r>
        <w:rPr>
          <w:rFonts w:hint="eastAsia" w:ascii="宋体" w:hAnsi="宋体"/>
          <w:b/>
          <w:bCs/>
          <w:sz w:val="21"/>
          <w:szCs w:val="21"/>
          <w:lang w:val="en-US" w:eastAsia="zh-CN"/>
        </w:rPr>
        <w:t>2.1-4</w:t>
      </w:r>
      <w:r>
        <w:rPr>
          <w:rFonts w:hint="eastAsia" w:ascii="宋体" w:hAnsi="宋体"/>
          <w:b/>
          <w:bCs/>
          <w:sz w:val="21"/>
          <w:szCs w:val="21"/>
        </w:rPr>
        <w:t xml:space="preserve"> </w:t>
      </w:r>
      <w:r>
        <w:rPr>
          <w:rFonts w:hint="eastAsia" w:ascii="宋体" w:hAnsi="宋体"/>
          <w:b/>
          <w:bCs/>
          <w:sz w:val="21"/>
          <w:szCs w:val="21"/>
          <w:lang w:val="en-US" w:eastAsia="zh-CN"/>
        </w:rPr>
        <w:t>水泥</w:t>
      </w:r>
      <w:r>
        <w:rPr>
          <w:rFonts w:hint="eastAsia" w:ascii="宋体" w:hAnsi="宋体"/>
          <w:b/>
          <w:bCs/>
          <w:sz w:val="21"/>
          <w:szCs w:val="21"/>
        </w:rPr>
        <w:t>生产工艺</w:t>
      </w:r>
    </w:p>
    <w:p>
      <w:pPr>
        <w:keepNext w:val="0"/>
        <w:keepLines w:val="0"/>
        <w:pageBreakBefore w:val="0"/>
        <w:widowControl/>
        <w:tabs>
          <w:tab w:val="left" w:pos="1587"/>
        </w:tabs>
        <w:kinsoku/>
        <w:wordWrap/>
        <w:overflowPunct/>
        <w:topLinePunct w:val="0"/>
        <w:autoSpaceDE/>
        <w:autoSpaceDN/>
        <w:bidi w:val="0"/>
        <w:adjustRightInd w:val="0"/>
        <w:snapToGrid w:val="0"/>
        <w:spacing w:before="192" w:beforeLines="50" w:line="360" w:lineRule="auto"/>
        <w:ind w:firstLine="480" w:firstLineChars="200"/>
        <w:jc w:val="left"/>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流程说明：公司采用新型干法水泥生产工艺，主要包括生料制备、熟料烧成、 水泥粉磨和成品储运。</w:t>
      </w:r>
    </w:p>
    <w:p>
      <w:pPr>
        <w:pStyle w:val="2"/>
        <w:keepNext w:val="0"/>
        <w:keepLines w:val="0"/>
        <w:pageBreakBefore w:val="0"/>
        <w:widowControl w:val="0"/>
        <w:numPr>
          <w:ilvl w:val="0"/>
          <w:numId w:val="2"/>
        </w:numPr>
        <w:kinsoku/>
        <w:wordWrap/>
        <w:overflowPunct/>
        <w:topLinePunct w:val="0"/>
        <w:autoSpaceDE w:val="0"/>
        <w:autoSpaceDN w:val="0"/>
        <w:bidi w:val="0"/>
        <w:adjustRightInd w:val="0"/>
        <w:snapToGrid w:val="0"/>
        <w:spacing w:before="192" w:beforeLines="50" w:line="360" w:lineRule="auto"/>
        <w:ind w:firstLine="48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 xml:space="preserve">生料制备 </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val="0"/>
        <w:spacing w:before="192" w:beforeLines="50" w:line="360" w:lineRule="auto"/>
        <w:ind w:firstLine="48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公司所需石灰石原料从矿山区经长皮带输送机送至厂区，入圆形石灰石预 均化堆场。均化后的石灰石经皮带输送机送至原料调配站的石灰石仓中。砂岩、粉煤灰、铁矿石等辅助原料和原煤由汽车运输进厂，卸入堆棚或直接卸至卸车坑后经皮带机送至各原料调配库。原料粉磨采用一台辊式磨，利用窑尾废气作为热源烘干原料。石灰石、砂岩、铁矿石和粉煤灰等物料按一定比例混合后经皮带输送机、锁风阀喂入磨机，粉磨并烘干的生料随烘干废气带入选粉机分选，分选后经空气输送斜槽、提升机送至生料均化库。</w:t>
      </w:r>
    </w:p>
    <w:p>
      <w:pPr>
        <w:pStyle w:val="2"/>
        <w:keepNext w:val="0"/>
        <w:keepLines w:val="0"/>
        <w:pageBreakBefore w:val="0"/>
        <w:widowControl w:val="0"/>
        <w:numPr>
          <w:ilvl w:val="0"/>
          <w:numId w:val="2"/>
        </w:numPr>
        <w:kinsoku/>
        <w:wordWrap/>
        <w:overflowPunct/>
        <w:topLinePunct w:val="0"/>
        <w:autoSpaceDE w:val="0"/>
        <w:autoSpaceDN w:val="0"/>
        <w:bidi w:val="0"/>
        <w:adjustRightInd w:val="0"/>
        <w:snapToGrid w:val="0"/>
        <w:spacing w:before="192" w:beforeLines="50" w:line="360" w:lineRule="auto"/>
        <w:ind w:left="0" w:leftChars="0" w:firstLine="48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 xml:space="preserve">熟料烧成 </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val="0"/>
        <w:spacing w:before="192" w:beforeLines="50" w:line="360" w:lineRule="auto"/>
        <w:ind w:firstLine="48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 xml:space="preserve">熟料烧成系统采用回转窑，窑尾采用带五级双系列低压损旋风预热器和TTF 分解炉，窑头采用多通道燃烧器。熟料冷却机采用控制流篦式冷却机（第四代篦 冷机），冷却机出口设有熟料破碎机，破碎后熟料经槽式输送机送入熟料库。出 库熟料经扇形阀、皮带输送机送至水泥调配站熟料库。 </w:t>
      </w:r>
    </w:p>
    <w:p>
      <w:pPr>
        <w:pStyle w:val="2"/>
        <w:keepNext w:val="0"/>
        <w:keepLines w:val="0"/>
        <w:pageBreakBefore w:val="0"/>
        <w:widowControl w:val="0"/>
        <w:numPr>
          <w:ilvl w:val="0"/>
          <w:numId w:val="2"/>
        </w:numPr>
        <w:kinsoku/>
        <w:wordWrap/>
        <w:overflowPunct/>
        <w:topLinePunct w:val="0"/>
        <w:autoSpaceDE w:val="0"/>
        <w:autoSpaceDN w:val="0"/>
        <w:bidi w:val="0"/>
        <w:adjustRightInd w:val="0"/>
        <w:snapToGrid w:val="0"/>
        <w:spacing w:before="192" w:beforeLines="50" w:line="360" w:lineRule="auto"/>
        <w:ind w:left="0" w:leftChars="0" w:firstLine="48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水泥粉磨</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val="0"/>
        <w:spacing w:before="192" w:beforeLines="50" w:line="360" w:lineRule="auto"/>
        <w:ind w:firstLine="48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石灰破碎后经皮带机、提升机送至水泥调配站石灰石库储存。外购符合粒度 的石膏经皮带机、提升机送至水泥调配站石膏库储存。水泥调配站系统设有熟料、石灰石、石膏、干粉煤灰四个库。各库内物料均由定量给料机按一定比例计量配料，混合料经皮带输送机送入磨房内进行粉磨。公司建有一套水泥管磨粉磨系统和一套水泥立磨粉磨系统。</w:t>
      </w:r>
    </w:p>
    <w:p>
      <w:pPr>
        <w:pStyle w:val="2"/>
        <w:keepNext w:val="0"/>
        <w:keepLines w:val="0"/>
        <w:pageBreakBefore w:val="0"/>
        <w:widowControl w:val="0"/>
        <w:numPr>
          <w:ilvl w:val="0"/>
          <w:numId w:val="2"/>
        </w:numPr>
        <w:kinsoku/>
        <w:wordWrap/>
        <w:overflowPunct/>
        <w:topLinePunct w:val="0"/>
        <w:autoSpaceDE w:val="0"/>
        <w:autoSpaceDN w:val="0"/>
        <w:bidi w:val="0"/>
        <w:adjustRightInd w:val="0"/>
        <w:snapToGrid w:val="0"/>
        <w:spacing w:before="192" w:beforeLines="50" w:line="360" w:lineRule="auto"/>
        <w:ind w:left="0" w:leftChars="0" w:firstLine="48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成品储运</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val="0"/>
        <w:spacing w:before="192" w:beforeLines="50" w:line="360" w:lineRule="auto"/>
        <w:ind w:firstLine="48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来自水泥粉磨系统的水泥经斗式提升机、空气输送斜槽送入水泥库内。水泥 部分经提升机、斜槽送至水泥散装库，由散装系统装车发运出厂；部分经八嘴回 转式包装机包装后，或经皮带输送机卸入水泥成品库，或直接装车发运出厂。</w:t>
      </w:r>
    </w:p>
    <w:p>
      <w:pPr>
        <w:pStyle w:val="96"/>
        <w:jc w:val="center"/>
        <w:rPr>
          <w:rFonts w:hint="eastAsia" w:ascii="宋体" w:hAnsi="宋体"/>
          <w:b/>
          <w:bCs/>
          <w:sz w:val="21"/>
          <w:szCs w:val="21"/>
        </w:rPr>
      </w:pPr>
      <w:r>
        <w:drawing>
          <wp:inline distT="0" distB="0" distL="114300" distR="114300">
            <wp:extent cx="5277485" cy="1355725"/>
            <wp:effectExtent l="0" t="0" r="10795" b="635"/>
            <wp:docPr id="10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
                    <pic:cNvPicPr>
                      <a:picLocks noChangeAspect="1"/>
                    </pic:cNvPicPr>
                  </pic:nvPicPr>
                  <pic:blipFill>
                    <a:blip r:embed="rId21"/>
                    <a:stretch>
                      <a:fillRect/>
                    </a:stretch>
                  </pic:blipFill>
                  <pic:spPr>
                    <a:xfrm>
                      <a:off x="0" y="0"/>
                      <a:ext cx="5277485" cy="1355725"/>
                    </a:xfrm>
                    <a:prstGeom prst="rect">
                      <a:avLst/>
                    </a:prstGeom>
                    <a:noFill/>
                    <a:ln>
                      <a:noFill/>
                    </a:ln>
                  </pic:spPr>
                </pic:pic>
              </a:graphicData>
            </a:graphic>
          </wp:inline>
        </w:drawing>
      </w:r>
    </w:p>
    <w:p>
      <w:pPr>
        <w:spacing w:before="190"/>
        <w:ind w:firstLine="480"/>
        <w:jc w:val="center"/>
        <w:rPr>
          <w:rFonts w:hint="eastAsia" w:ascii="宋体" w:hAnsi="宋体"/>
          <w:b/>
          <w:bCs/>
          <w:sz w:val="21"/>
          <w:szCs w:val="21"/>
        </w:rPr>
      </w:pPr>
      <w:r>
        <w:rPr>
          <w:rFonts w:hint="eastAsia" w:ascii="宋体" w:hAnsi="宋体"/>
          <w:b/>
          <w:bCs/>
          <w:sz w:val="21"/>
          <w:szCs w:val="21"/>
        </w:rPr>
        <w:t>图</w:t>
      </w:r>
      <w:r>
        <w:rPr>
          <w:rFonts w:hint="eastAsia" w:ascii="宋体" w:hAnsi="宋体"/>
          <w:b/>
          <w:bCs/>
          <w:sz w:val="21"/>
          <w:szCs w:val="21"/>
          <w:lang w:val="en-US" w:eastAsia="zh-CN"/>
        </w:rPr>
        <w:t>2.1-5</w:t>
      </w:r>
      <w:r>
        <w:rPr>
          <w:rFonts w:hint="eastAsia" w:ascii="宋体" w:hAnsi="宋体"/>
          <w:b/>
          <w:bCs/>
          <w:sz w:val="21"/>
          <w:szCs w:val="21"/>
        </w:rPr>
        <w:t xml:space="preserve">  </w:t>
      </w:r>
      <w:r>
        <w:rPr>
          <w:rFonts w:hint="eastAsia" w:ascii="宋体" w:hAnsi="宋体"/>
          <w:b/>
          <w:bCs/>
          <w:sz w:val="21"/>
          <w:szCs w:val="21"/>
          <w:lang w:val="en-US" w:eastAsia="zh-CN"/>
        </w:rPr>
        <w:t>石灰石及石灰石粉</w:t>
      </w:r>
      <w:r>
        <w:rPr>
          <w:rFonts w:hint="eastAsia" w:ascii="宋体" w:hAnsi="宋体"/>
          <w:b/>
          <w:bCs/>
          <w:sz w:val="21"/>
          <w:szCs w:val="21"/>
        </w:rPr>
        <w:t>生产工艺</w:t>
      </w:r>
    </w:p>
    <w:p>
      <w:pPr>
        <w:pStyle w:val="79"/>
        <w:keepNext w:val="0"/>
        <w:keepLines w:val="0"/>
        <w:pageBreakBefore w:val="0"/>
        <w:widowControl/>
        <w:kinsoku/>
        <w:wordWrap/>
        <w:overflowPunct/>
        <w:topLinePunct w:val="0"/>
        <w:autoSpaceDE/>
        <w:autoSpaceDN/>
        <w:bidi w:val="0"/>
        <w:adjustRightInd w:val="0"/>
        <w:snapToGrid w:val="0"/>
        <w:spacing w:before="157" w:beforeLines="50" w:line="360" w:lineRule="auto"/>
        <w:ind w:left="0" w:leftChars="0" w:firstLine="482"/>
        <w:jc w:val="both"/>
        <w:textAlignment w:val="auto"/>
        <w:rPr>
          <w:rFonts w:hint="eastAsia" w:ascii="仿宋_GB2312" w:hAnsi="仿宋_GB2312" w:eastAsia="仿宋_GB2312" w:cs="仿宋_GB2312"/>
          <w:b w:val="0"/>
          <w:bCs w:val="0"/>
          <w:color w:val="000000"/>
          <w:szCs w:val="24"/>
        </w:rPr>
      </w:pPr>
      <w:r>
        <w:rPr>
          <w:rFonts w:hint="eastAsia" w:ascii="仿宋_GB2312" w:hAnsi="仿宋_GB2312" w:eastAsia="仿宋_GB2312" w:cs="仿宋_GB2312"/>
          <w:b w:val="0"/>
          <w:bCs w:val="0"/>
          <w:color w:val="000000"/>
          <w:szCs w:val="24"/>
        </w:rPr>
        <w:t>原料从转运站接入，通过三通阀、带式输送机输送至矿石中间储存堆场，废矿石经定量给料机计量后，通过带式输送机输送至一段筛分，经筛分机筛分后，粒径为10</w:t>
      </w:r>
      <w:r>
        <w:rPr>
          <w:rFonts w:hint="eastAsia" w:ascii="仿宋_GB2312" w:hAnsi="仿宋_GB2312" w:eastAsia="仿宋_GB2312" w:cs="仿宋_GB2312"/>
          <w:b w:val="0"/>
          <w:bCs w:val="0"/>
          <w:color w:val="000000"/>
          <w:szCs w:val="24"/>
          <w:lang w:val="en-US" w:eastAsia="zh-CN"/>
        </w:rPr>
        <w:t>-</w:t>
      </w:r>
      <w:r>
        <w:rPr>
          <w:rFonts w:hint="eastAsia" w:ascii="仿宋_GB2312" w:hAnsi="仿宋_GB2312" w:eastAsia="仿宋_GB2312" w:cs="仿宋_GB2312"/>
          <w:b w:val="0"/>
          <w:bCs w:val="0"/>
          <w:color w:val="000000"/>
          <w:szCs w:val="24"/>
        </w:rPr>
        <w:t>30mm 的石灰石由带式输送机输送至石灰石成品堆场；&gt;30mm 的石灰石由带式输送机输送至二段破碎进行破碎；0</w:t>
      </w:r>
      <w:r>
        <w:rPr>
          <w:rFonts w:hint="eastAsia" w:ascii="仿宋_GB2312" w:hAnsi="仿宋_GB2312" w:eastAsia="仿宋_GB2312" w:cs="仿宋_GB2312"/>
          <w:b w:val="0"/>
          <w:bCs w:val="0"/>
          <w:color w:val="000000"/>
          <w:szCs w:val="24"/>
          <w:lang w:val="en-US" w:eastAsia="zh-CN"/>
        </w:rPr>
        <w:t>-</w:t>
      </w:r>
      <w:r>
        <w:rPr>
          <w:rFonts w:hint="eastAsia" w:ascii="仿宋_GB2312" w:hAnsi="仿宋_GB2312" w:eastAsia="仿宋_GB2312" w:cs="仿宋_GB2312"/>
          <w:b w:val="0"/>
          <w:bCs w:val="0"/>
          <w:color w:val="000000"/>
          <w:szCs w:val="24"/>
        </w:rPr>
        <w:t>10mm 的石灰石通过带式输送机输送至两台二段筛分机进行筛分。经筛分后，0</w:t>
      </w:r>
      <w:r>
        <w:rPr>
          <w:rFonts w:hint="eastAsia" w:ascii="仿宋_GB2312" w:hAnsi="仿宋_GB2312" w:eastAsia="仿宋_GB2312" w:cs="仿宋_GB2312"/>
          <w:b w:val="0"/>
          <w:bCs w:val="0"/>
          <w:color w:val="000000"/>
          <w:szCs w:val="24"/>
          <w:lang w:val="en-US" w:eastAsia="zh-CN"/>
        </w:rPr>
        <w:t>-</w:t>
      </w:r>
      <w:r>
        <w:rPr>
          <w:rFonts w:hint="eastAsia" w:ascii="仿宋_GB2312" w:hAnsi="仿宋_GB2312" w:eastAsia="仿宋_GB2312" w:cs="仿宋_GB2312"/>
          <w:b w:val="0"/>
          <w:bCs w:val="0"/>
          <w:color w:val="000000"/>
          <w:szCs w:val="24"/>
        </w:rPr>
        <w:t>5mm 粉料直接通过带式输送机输送至石灰石粉车间的清洗系统，5</w:t>
      </w:r>
      <w:r>
        <w:rPr>
          <w:rFonts w:hint="eastAsia" w:ascii="仿宋_GB2312" w:hAnsi="仿宋_GB2312" w:eastAsia="仿宋_GB2312" w:cs="仿宋_GB2312"/>
          <w:b w:val="0"/>
          <w:bCs w:val="0"/>
          <w:color w:val="000000"/>
          <w:szCs w:val="24"/>
          <w:lang w:val="en-US" w:eastAsia="zh-CN"/>
        </w:rPr>
        <w:t>-</w:t>
      </w:r>
      <w:r>
        <w:rPr>
          <w:rFonts w:hint="eastAsia" w:ascii="仿宋_GB2312" w:hAnsi="仿宋_GB2312" w:eastAsia="仿宋_GB2312" w:cs="仿宋_GB2312"/>
          <w:b w:val="0"/>
          <w:bCs w:val="0"/>
          <w:color w:val="000000"/>
          <w:szCs w:val="24"/>
        </w:rPr>
        <w:t>10mm 石料通过带式输送机输送至石灰石粉车间的中间制石灰石粉仓，10</w:t>
      </w:r>
      <w:r>
        <w:rPr>
          <w:rFonts w:hint="eastAsia" w:ascii="仿宋_GB2312" w:hAnsi="仿宋_GB2312" w:eastAsia="仿宋_GB2312" w:cs="仿宋_GB2312"/>
          <w:b w:val="0"/>
          <w:bCs w:val="0"/>
          <w:color w:val="000000"/>
          <w:szCs w:val="24"/>
          <w:lang w:val="en-US" w:eastAsia="zh-CN"/>
        </w:rPr>
        <w:t>-</w:t>
      </w:r>
      <w:r>
        <w:rPr>
          <w:rFonts w:hint="eastAsia" w:ascii="仿宋_GB2312" w:hAnsi="仿宋_GB2312" w:eastAsia="仿宋_GB2312" w:cs="仿宋_GB2312"/>
          <w:b w:val="0"/>
          <w:bCs w:val="0"/>
          <w:color w:val="000000"/>
          <w:szCs w:val="24"/>
        </w:rPr>
        <w:t>30mm的石灰石料由带式输送机输送至石灰石成品堆场，&gt;30mm 的碎石由带式输送机输送至二段破碎继续破碎，如此循环。</w:t>
      </w:r>
    </w:p>
    <w:p>
      <w:pPr>
        <w:pStyle w:val="79"/>
        <w:keepNext w:val="0"/>
        <w:keepLines w:val="0"/>
        <w:pageBreakBefore w:val="0"/>
        <w:widowControl/>
        <w:kinsoku/>
        <w:wordWrap/>
        <w:overflowPunct/>
        <w:topLinePunct w:val="0"/>
        <w:autoSpaceDE/>
        <w:autoSpaceDN/>
        <w:bidi w:val="0"/>
        <w:adjustRightInd w:val="0"/>
        <w:snapToGrid w:val="0"/>
        <w:spacing w:before="157" w:beforeLines="50" w:line="360" w:lineRule="auto"/>
        <w:ind w:left="0" w:leftChars="0" w:firstLine="482"/>
        <w:jc w:val="both"/>
        <w:textAlignment w:val="auto"/>
        <w:rPr>
          <w:rFonts w:hint="eastAsia" w:ascii="仿宋_GB2312" w:hAnsi="仿宋_GB2312" w:eastAsia="仿宋_GB2312" w:cs="仿宋_GB2312"/>
          <w:b w:val="0"/>
          <w:bCs w:val="0"/>
          <w:color w:val="000000"/>
          <w:szCs w:val="24"/>
        </w:rPr>
      </w:pPr>
      <w:r>
        <w:rPr>
          <w:rFonts w:hint="eastAsia" w:ascii="仿宋_GB2312" w:hAnsi="仿宋_GB2312" w:eastAsia="仿宋_GB2312" w:cs="仿宋_GB2312"/>
          <w:b w:val="0"/>
          <w:bCs w:val="0"/>
          <w:color w:val="000000"/>
          <w:szCs w:val="24"/>
        </w:rPr>
        <w:t>中间制石灰石粉仓的料通过定量给料机均匀送入制石灰石粉系统，制石灰石粉机出来的料经过振动筛筛分后，分级出0-5mm 粉料及大于5mm 石料，0-5mm 粉料进入清洗系统，大于5mm 石料返回制石灰石粉系统再次破碎。清洗系统中小于0.075mm 的石粉随废水进入压滤机，通过压滤工艺成较干的泥饼（便于运输，处理，环保），0.075mm</w:t>
      </w:r>
      <w:r>
        <w:rPr>
          <w:rFonts w:hint="eastAsia" w:ascii="仿宋_GB2312" w:hAnsi="仿宋_GB2312" w:eastAsia="仿宋_GB2312" w:cs="仿宋_GB2312"/>
          <w:b w:val="0"/>
          <w:bCs w:val="0"/>
          <w:color w:val="000000"/>
          <w:szCs w:val="24"/>
          <w:lang w:val="en-US" w:eastAsia="zh-CN"/>
        </w:rPr>
        <w:t>-</w:t>
      </w:r>
      <w:r>
        <w:rPr>
          <w:rFonts w:hint="eastAsia" w:ascii="仿宋_GB2312" w:hAnsi="仿宋_GB2312" w:eastAsia="仿宋_GB2312" w:cs="仿宋_GB2312"/>
          <w:b w:val="0"/>
          <w:bCs w:val="0"/>
          <w:color w:val="000000"/>
          <w:szCs w:val="24"/>
        </w:rPr>
        <w:t>5mm 成品石灰石粉进入石灰石粉成品堆场。污水经压滤设备后转为清水返回水罐进行循环利用，不外排。</w:t>
      </w:r>
    </w:p>
    <w:p>
      <w:pPr>
        <w:spacing w:before="120" w:beforeLines="50" w:line="360" w:lineRule="auto"/>
        <w:outlineLvl w:val="1"/>
        <w:rPr>
          <w:b/>
          <w:sz w:val="30"/>
          <w:szCs w:val="30"/>
        </w:rPr>
      </w:pPr>
      <w:bookmarkStart w:id="32" w:name="_Toc29237"/>
      <w:r>
        <w:rPr>
          <w:rFonts w:hint="eastAsia"/>
          <w:b/>
          <w:sz w:val="30"/>
          <w:szCs w:val="30"/>
        </w:rPr>
        <w:t>2</w:t>
      </w:r>
      <w:r>
        <w:rPr>
          <w:b/>
          <w:sz w:val="30"/>
          <w:szCs w:val="30"/>
        </w:rPr>
        <w:t>.</w:t>
      </w:r>
      <w:r>
        <w:rPr>
          <w:rFonts w:hint="eastAsia"/>
          <w:b/>
          <w:sz w:val="30"/>
          <w:szCs w:val="30"/>
        </w:rPr>
        <w:t>2</w:t>
      </w:r>
      <w:r>
        <w:rPr>
          <w:b/>
          <w:sz w:val="30"/>
          <w:szCs w:val="30"/>
        </w:rPr>
        <w:t>主要污染物的产排及治理措施</w:t>
      </w:r>
      <w:bookmarkEnd w:id="32"/>
    </w:p>
    <w:p>
      <w:pPr>
        <w:spacing w:before="120" w:beforeLines="50" w:line="360" w:lineRule="auto"/>
        <w:outlineLvl w:val="2"/>
        <w:rPr>
          <w:b/>
          <w:sz w:val="28"/>
          <w:szCs w:val="28"/>
        </w:rPr>
      </w:pPr>
      <w:bookmarkStart w:id="33" w:name="_Toc22408"/>
      <w:r>
        <w:rPr>
          <w:rFonts w:hint="eastAsia"/>
          <w:b/>
          <w:sz w:val="28"/>
          <w:szCs w:val="28"/>
        </w:rPr>
        <w:t>2</w:t>
      </w:r>
      <w:r>
        <w:rPr>
          <w:b/>
          <w:sz w:val="28"/>
          <w:szCs w:val="28"/>
        </w:rPr>
        <w:t>.</w:t>
      </w:r>
      <w:r>
        <w:rPr>
          <w:rFonts w:hint="eastAsia"/>
          <w:b/>
          <w:sz w:val="28"/>
          <w:szCs w:val="28"/>
        </w:rPr>
        <w:t>2</w:t>
      </w:r>
      <w:r>
        <w:rPr>
          <w:b/>
          <w:sz w:val="28"/>
          <w:szCs w:val="28"/>
        </w:rPr>
        <w:t>.1废气的产排与治理措施</w:t>
      </w:r>
      <w:bookmarkEnd w:id="33"/>
    </w:p>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480" w:firstLineChars="200"/>
        <w:textAlignment w:val="auto"/>
        <w:rPr>
          <w:rFonts w:hint="eastAsia" w:ascii="仿宋_GB2312" w:hAnsi="宋体" w:eastAsia="仿宋_GB2312"/>
          <w:color w:val="000000"/>
          <w:kern w:val="2"/>
          <w:sz w:val="24"/>
          <w:szCs w:val="24"/>
          <w:lang w:val="en-US" w:eastAsia="zh-CN"/>
        </w:rPr>
      </w:pPr>
      <w:r>
        <w:rPr>
          <w:rFonts w:hint="eastAsia" w:ascii="仿宋_GB2312" w:hAnsi="宋体" w:eastAsia="仿宋_GB2312"/>
          <w:color w:val="000000"/>
          <w:kern w:val="2"/>
          <w:sz w:val="24"/>
          <w:szCs w:val="24"/>
          <w:lang w:val="en-US" w:eastAsia="zh-CN"/>
        </w:rPr>
        <w:t>水泥熟料生产及水泥粉磨在物料破碎、粉磨、煅烧、储存及运输等工艺中，都伴随着颗粒物的产生和排放，颗粒物是最主要的污染物。主要颗粒物包括：</w:t>
      </w:r>
    </w:p>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480" w:firstLineChars="200"/>
        <w:textAlignment w:val="auto"/>
        <w:rPr>
          <w:rFonts w:hint="eastAsia" w:ascii="仿宋_GB2312" w:hAnsi="宋体" w:eastAsia="仿宋_GB2312"/>
          <w:color w:val="000000"/>
          <w:kern w:val="2"/>
          <w:sz w:val="24"/>
          <w:szCs w:val="24"/>
          <w:lang w:val="en-US" w:eastAsia="zh-CN"/>
        </w:rPr>
      </w:pPr>
      <w:r>
        <w:rPr>
          <w:rFonts w:hint="eastAsia" w:ascii="仿宋_GB2312" w:hAnsi="宋体" w:eastAsia="仿宋_GB2312"/>
          <w:color w:val="000000"/>
          <w:kern w:val="2"/>
          <w:sz w:val="24"/>
          <w:szCs w:val="24"/>
          <w:lang w:val="en-US" w:eastAsia="zh-CN"/>
        </w:rPr>
        <w:t>原、辅料颗粒物：产生于各种原料的装卸、破碎、运输、储存过程；</w:t>
      </w:r>
    </w:p>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480" w:firstLineChars="200"/>
        <w:textAlignment w:val="auto"/>
        <w:rPr>
          <w:rFonts w:hint="eastAsia" w:ascii="仿宋_GB2312" w:hAnsi="宋体" w:eastAsia="仿宋_GB2312"/>
          <w:color w:val="000000"/>
          <w:kern w:val="2"/>
          <w:sz w:val="24"/>
          <w:szCs w:val="24"/>
          <w:lang w:val="en-US" w:eastAsia="zh-CN"/>
        </w:rPr>
      </w:pPr>
      <w:r>
        <w:rPr>
          <w:rFonts w:hint="eastAsia" w:ascii="仿宋_GB2312" w:hAnsi="宋体" w:eastAsia="仿宋_GB2312"/>
          <w:color w:val="000000"/>
          <w:kern w:val="2"/>
          <w:sz w:val="24"/>
          <w:szCs w:val="24"/>
          <w:lang w:val="en-US" w:eastAsia="zh-CN"/>
        </w:rPr>
        <w:t>煤颗粒物：产生于煤粉制备、储存及转运过程；</w:t>
      </w:r>
    </w:p>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480" w:firstLineChars="200"/>
        <w:textAlignment w:val="auto"/>
        <w:rPr>
          <w:rFonts w:hint="eastAsia" w:ascii="仿宋_GB2312" w:hAnsi="宋体" w:eastAsia="仿宋_GB2312"/>
          <w:color w:val="000000"/>
          <w:kern w:val="2"/>
          <w:sz w:val="24"/>
          <w:szCs w:val="24"/>
          <w:lang w:val="en-US" w:eastAsia="zh-CN"/>
        </w:rPr>
      </w:pPr>
      <w:r>
        <w:rPr>
          <w:rFonts w:hint="eastAsia" w:ascii="仿宋_GB2312" w:hAnsi="宋体" w:eastAsia="仿宋_GB2312"/>
          <w:color w:val="000000"/>
          <w:kern w:val="2"/>
          <w:sz w:val="24"/>
          <w:szCs w:val="24"/>
          <w:lang w:val="en-US" w:eastAsia="zh-CN"/>
        </w:rPr>
        <w:t>回转窑颗粒物：产生于生料粉磨、预热、分解及熟料煅烧过程；</w:t>
      </w:r>
    </w:p>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480" w:firstLineChars="200"/>
        <w:textAlignment w:val="auto"/>
        <w:rPr>
          <w:rFonts w:hint="eastAsia" w:ascii="仿宋_GB2312" w:hAnsi="宋体" w:eastAsia="仿宋_GB2312"/>
          <w:color w:val="000000"/>
          <w:kern w:val="2"/>
          <w:sz w:val="24"/>
          <w:szCs w:val="24"/>
          <w:lang w:val="en-US" w:eastAsia="zh-CN"/>
        </w:rPr>
      </w:pPr>
      <w:r>
        <w:rPr>
          <w:rFonts w:hint="eastAsia" w:ascii="仿宋_GB2312" w:hAnsi="宋体" w:eastAsia="仿宋_GB2312"/>
          <w:color w:val="000000"/>
          <w:kern w:val="2"/>
          <w:sz w:val="24"/>
          <w:szCs w:val="24"/>
          <w:lang w:val="en-US" w:eastAsia="zh-CN"/>
        </w:rPr>
        <w:t>熟料颗粒物：产生于熟料冷却、破碎、输送及储存过程。</w:t>
      </w:r>
    </w:p>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480" w:firstLineChars="200"/>
        <w:textAlignment w:val="auto"/>
        <w:rPr>
          <w:rFonts w:hint="eastAsia" w:ascii="仿宋_GB2312" w:hAnsi="宋体" w:eastAsia="仿宋_GB2312" w:cs="Times New Roman"/>
          <w:color w:val="000000"/>
          <w:kern w:val="2"/>
          <w:sz w:val="24"/>
          <w:szCs w:val="24"/>
          <w:lang w:val="en-US" w:eastAsia="zh-CN"/>
        </w:rPr>
      </w:pPr>
      <w:r>
        <w:rPr>
          <w:rFonts w:hint="eastAsia" w:ascii="仿宋_GB2312" w:hAnsi="宋体" w:eastAsia="仿宋_GB2312" w:cs="Times New Roman"/>
          <w:color w:val="000000"/>
          <w:kern w:val="2"/>
          <w:sz w:val="24"/>
          <w:szCs w:val="24"/>
          <w:lang w:val="en-US" w:eastAsia="zh-CN"/>
        </w:rPr>
        <w:t xml:space="preserve">水泥磨颗粒物：产生于水泥粉磨、输送及储存过程 另外，回转窑熟料烧成过程产生的高温煅烧废气还含颗粒物、二氧化硫、氮氧化物、氨气、氟化物、汞及其化合物等污染物。 </w:t>
      </w:r>
    </w:p>
    <w:p>
      <w:pPr>
        <w:pStyle w:val="2"/>
        <w:keepNext w:val="0"/>
        <w:keepLines w:val="0"/>
        <w:pageBreakBefore w:val="0"/>
        <w:widowControl w:val="0"/>
        <w:kinsoku/>
        <w:wordWrap/>
        <w:overflowPunct/>
        <w:topLinePunct w:val="0"/>
        <w:bidi w:val="0"/>
        <w:adjustRightInd w:val="0"/>
        <w:snapToGrid w:val="0"/>
        <w:spacing w:before="192" w:beforeLines="50" w:line="360" w:lineRule="auto"/>
        <w:ind w:firstLine="480" w:firstLineChars="200"/>
        <w:textAlignment w:val="auto"/>
        <w:rPr>
          <w:rFonts w:hint="default"/>
          <w:lang w:val="en-US" w:eastAsia="zh-CN"/>
        </w:rPr>
      </w:pPr>
      <w:r>
        <w:rPr>
          <w:rFonts w:hint="eastAsia" w:ascii="仿宋_GB2312" w:hAnsi="宋体" w:eastAsia="仿宋_GB2312"/>
          <w:color w:val="000000"/>
          <w:kern w:val="2"/>
          <w:sz w:val="24"/>
          <w:szCs w:val="24"/>
          <w:lang w:val="en-US" w:eastAsia="zh-CN"/>
        </w:rPr>
        <w:t>石灰石及石灰石粉制备颗粒物：一、二、三段筛分产生的粉尘，经袋式除尘器处理后排放。</w:t>
      </w:r>
    </w:p>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480" w:firstLineChars="200"/>
        <w:textAlignment w:val="auto"/>
        <w:rPr>
          <w:rFonts w:hint="eastAsia" w:ascii="仿宋_GB2312" w:hAnsi="宋体" w:eastAsia="仿宋_GB2312"/>
          <w:color w:val="000000"/>
          <w:kern w:val="2"/>
          <w:sz w:val="24"/>
          <w:szCs w:val="24"/>
          <w:lang w:val="en-US" w:eastAsia="zh-CN"/>
        </w:rPr>
      </w:pPr>
      <w:r>
        <w:rPr>
          <w:rFonts w:hint="eastAsia" w:ascii="仿宋_GB2312" w:hAnsi="宋体" w:eastAsia="仿宋_GB2312"/>
          <w:color w:val="000000"/>
          <w:kern w:val="2"/>
          <w:sz w:val="24"/>
          <w:szCs w:val="24"/>
          <w:lang w:val="en-US" w:eastAsia="zh-CN"/>
        </w:rPr>
        <w:t>有组织排放的粉尘采用封闭和半封密闭式的储库，物料全封闭输送，对输送 的物料尽量降低物料转运落差；在回转窑窑尾采用增湿塔增湿降温措施；在烟 （粉）尘废气排放点安装除尘设施，减少粉尘排放。</w:t>
      </w:r>
    </w:p>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480" w:firstLineChars="200"/>
        <w:textAlignment w:val="auto"/>
        <w:rPr>
          <w:rFonts w:hint="eastAsia" w:ascii="仿宋_GB2312" w:hAnsi="宋体" w:eastAsia="仿宋_GB2312"/>
          <w:color w:val="000000"/>
          <w:kern w:val="2"/>
          <w:sz w:val="24"/>
          <w:szCs w:val="24"/>
          <w:lang w:val="en-US" w:eastAsia="zh-CN"/>
        </w:rPr>
      </w:pPr>
      <w:r>
        <w:rPr>
          <w:rFonts w:hint="eastAsia" w:ascii="仿宋_GB2312" w:hAnsi="宋体" w:eastAsia="仿宋_GB2312"/>
          <w:color w:val="000000"/>
          <w:kern w:val="2"/>
          <w:sz w:val="24"/>
          <w:szCs w:val="24"/>
          <w:lang w:val="en-US" w:eastAsia="zh-CN"/>
        </w:rPr>
        <w:t xml:space="preserve"> 公司各生产工序中烟（粉）尘废气排放点共有64个，针对各工序烟（粉） 尘排放情况，在窑尾、原料制备、煤粉制备、物料储库及输送过程中各转运点粉尘排放处共设置了64台袋式收尘器，对各工序有组织排放的含尘废气进行除尘处理，废气处理后收尘器收集的粉尘再返回工艺流程中再利用。公司的粉尘废气采用袋式除尘工艺，其处理工艺流程见图：</w:t>
      </w:r>
    </w:p>
    <w:p>
      <w:pPr>
        <w:pStyle w:val="2"/>
        <w:jc w:val="center"/>
        <w:rPr>
          <w:rFonts w:hint="eastAsia" w:ascii="仿宋_GB2312" w:hAnsi="宋体" w:eastAsia="仿宋_GB2312"/>
          <w:color w:val="000000"/>
          <w:kern w:val="2"/>
          <w:sz w:val="24"/>
          <w:szCs w:val="24"/>
          <w:lang w:val="en-US" w:eastAsia="zh-CN"/>
        </w:rPr>
      </w:pPr>
      <w:r>
        <w:drawing>
          <wp:inline distT="0" distB="0" distL="114300" distR="114300">
            <wp:extent cx="4297680" cy="1686560"/>
            <wp:effectExtent l="0" t="0" r="0" b="5080"/>
            <wp:docPr id="1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6"/>
                    <pic:cNvPicPr>
                      <a:picLocks noChangeAspect="1"/>
                    </pic:cNvPicPr>
                  </pic:nvPicPr>
                  <pic:blipFill>
                    <a:blip r:embed="rId22"/>
                    <a:stretch>
                      <a:fillRect/>
                    </a:stretch>
                  </pic:blipFill>
                  <pic:spPr>
                    <a:xfrm>
                      <a:off x="0" y="0"/>
                      <a:ext cx="4297680" cy="1686560"/>
                    </a:xfrm>
                    <a:prstGeom prst="rect">
                      <a:avLst/>
                    </a:prstGeom>
                    <a:noFill/>
                    <a:ln>
                      <a:noFill/>
                    </a:ln>
                  </pic:spPr>
                </pic:pic>
              </a:graphicData>
            </a:graphic>
          </wp:inline>
        </w:drawing>
      </w:r>
    </w:p>
    <w:p>
      <w:pPr>
        <w:spacing w:before="190"/>
        <w:ind w:firstLine="480"/>
        <w:jc w:val="center"/>
        <w:rPr>
          <w:rFonts w:hint="default" w:ascii="宋体" w:hAnsi="宋体" w:eastAsia="宋体"/>
          <w:b/>
          <w:bCs/>
          <w:sz w:val="21"/>
          <w:szCs w:val="21"/>
          <w:highlight w:val="none"/>
          <w:lang w:val="en-US" w:eastAsia="zh-CN"/>
        </w:rPr>
      </w:pPr>
      <w:r>
        <w:rPr>
          <w:rFonts w:hint="eastAsia" w:ascii="宋体" w:hAnsi="宋体"/>
          <w:b/>
          <w:bCs/>
          <w:sz w:val="21"/>
          <w:szCs w:val="21"/>
          <w:highlight w:val="none"/>
        </w:rPr>
        <w:t>图</w:t>
      </w:r>
      <w:r>
        <w:rPr>
          <w:rFonts w:hint="eastAsia" w:ascii="宋体" w:hAnsi="宋体"/>
          <w:b/>
          <w:bCs/>
          <w:sz w:val="21"/>
          <w:szCs w:val="21"/>
          <w:highlight w:val="none"/>
          <w:lang w:val="en-US" w:eastAsia="zh-CN"/>
        </w:rPr>
        <w:t>2.2-1</w:t>
      </w:r>
      <w:r>
        <w:rPr>
          <w:rFonts w:hint="eastAsia" w:ascii="宋体" w:hAnsi="宋体"/>
          <w:b/>
          <w:bCs/>
          <w:sz w:val="21"/>
          <w:szCs w:val="21"/>
          <w:highlight w:val="none"/>
        </w:rPr>
        <w:t xml:space="preserve">  </w:t>
      </w:r>
      <w:r>
        <w:rPr>
          <w:rFonts w:hint="eastAsia" w:ascii="宋体" w:hAnsi="宋体"/>
          <w:b/>
          <w:bCs/>
          <w:sz w:val="21"/>
          <w:szCs w:val="21"/>
          <w:highlight w:val="none"/>
          <w:lang w:val="en-US" w:eastAsia="zh-CN"/>
        </w:rPr>
        <w:t>粉尘废气处理工艺流程图</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仿宋_GB2312" w:hAnsi="宋体" w:eastAsia="仿宋_GB2312"/>
          <w:color w:val="000000"/>
          <w:kern w:val="2"/>
          <w:sz w:val="24"/>
          <w:szCs w:val="24"/>
          <w:lang w:val="en-US" w:eastAsia="zh-CN"/>
        </w:rPr>
      </w:pPr>
      <w:r>
        <w:rPr>
          <w:rFonts w:hint="eastAsia" w:ascii="仿宋_GB2312" w:hAnsi="宋体" w:eastAsia="仿宋_GB2312"/>
          <w:color w:val="000000"/>
          <w:kern w:val="2"/>
          <w:sz w:val="24"/>
          <w:szCs w:val="24"/>
          <w:lang w:val="en-US" w:eastAsia="zh-CN"/>
        </w:rPr>
        <w:t>窑炉废气主要污</w:t>
      </w:r>
      <w:r>
        <w:rPr>
          <w:rFonts w:hint="eastAsia" w:ascii="仿宋_GB2312" w:hAnsi="宋体" w:eastAsia="仿宋_GB2312" w:cs="Times New Roman"/>
          <w:color w:val="000000"/>
          <w:kern w:val="2"/>
          <w:sz w:val="24"/>
          <w:szCs w:val="24"/>
          <w:lang w:val="en-US" w:eastAsia="zh-CN"/>
        </w:rPr>
        <w:t>染因子为颗粒物、二氧化硫、氮氧化物、氨气、氟化物、汞及其化合物。生产过程中最大的废气排放源是熟料烧成系统回转窑窑尾，</w:t>
      </w:r>
      <w:r>
        <w:rPr>
          <w:rFonts w:hint="eastAsia" w:ascii="仿宋_GB2312" w:hAnsi="宋体" w:eastAsia="仿宋_GB2312"/>
          <w:color w:val="000000"/>
          <w:kern w:val="2"/>
          <w:sz w:val="24"/>
          <w:szCs w:val="24"/>
          <w:lang w:val="en-US" w:eastAsia="zh-CN"/>
        </w:rPr>
        <w:t>窑尾预热分解炉排出最高温废气由喷淋系统高压水雾增湿降温，袋收尘处理后，由110米高烟囱排入大气；其次是窑头冷却机排出的高温废气，部分送入煤磨系统作烘干热源，部分经布袋除尘器处理后，由40米高排气筒排入大气。在窑头、窑尾废气排放烟道上安装了烟气连续监测装置（CEMS），可在线监控废气排放。</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仿宋_GB2312" w:hAnsi="宋体" w:eastAsia="仿宋_GB2312"/>
          <w:color w:val="000000"/>
          <w:kern w:val="2"/>
          <w:sz w:val="24"/>
          <w:szCs w:val="24"/>
          <w:lang w:val="en-US" w:eastAsia="zh-CN"/>
        </w:rPr>
      </w:pPr>
      <w:r>
        <w:rPr>
          <w:rFonts w:hint="eastAsia" w:ascii="仿宋_GB2312" w:hAnsi="宋体" w:eastAsia="仿宋_GB2312"/>
          <w:color w:val="000000"/>
          <w:kern w:val="2"/>
          <w:sz w:val="24"/>
          <w:szCs w:val="24"/>
          <w:lang w:val="en-US" w:eastAsia="zh-CN"/>
        </w:rPr>
        <w:t>公司采用了低氮燃烧+SNCR脱硝工艺处理窑炉内产生的NO</w:t>
      </w:r>
      <w:r>
        <w:rPr>
          <w:rFonts w:hint="eastAsia" w:ascii="仿宋_GB2312" w:hAnsi="宋体" w:eastAsia="仿宋_GB2312"/>
          <w:color w:val="000000"/>
          <w:kern w:val="2"/>
          <w:sz w:val="24"/>
          <w:szCs w:val="24"/>
          <w:vertAlign w:val="subscript"/>
          <w:lang w:val="en-US" w:eastAsia="zh-CN"/>
        </w:rPr>
        <w:t>X</w:t>
      </w:r>
      <w:r>
        <w:rPr>
          <w:rFonts w:hint="eastAsia" w:ascii="仿宋_GB2312" w:hAnsi="宋体" w:eastAsia="仿宋_GB2312"/>
          <w:color w:val="000000"/>
          <w:kern w:val="2"/>
          <w:sz w:val="24"/>
          <w:szCs w:val="24"/>
          <w:lang w:val="en-US" w:eastAsia="zh-CN"/>
        </w:rPr>
        <w:t>，低氮燃烧是通过对窑尾烧成系统进行技术改造充分降低回转窑氮氧化物的生成量，采用分解炉高强还原燃烧控制技术，优化分解炉内风、煤、料的混合均匀分布，避免分解炉内局部高温，优化分解炉内的热工分布制度，还原回转窑内的氮氧化物生成量，可减少分解炉内燃料型氮氧化物的20-40%生成量。SNCR脱硝技术是在分解炉中定量喷入氨水溶液，在850-1050℃情况下使烟气中的NO</w:t>
      </w:r>
      <w:r>
        <w:rPr>
          <w:rFonts w:hint="eastAsia" w:ascii="仿宋_GB2312" w:hAnsi="宋体" w:eastAsia="仿宋_GB2312"/>
          <w:color w:val="000000"/>
          <w:kern w:val="2"/>
          <w:sz w:val="24"/>
          <w:szCs w:val="24"/>
          <w:vertAlign w:val="subscript"/>
          <w:lang w:val="en-US" w:eastAsia="zh-CN"/>
        </w:rPr>
        <w:t>X</w:t>
      </w:r>
      <w:r>
        <w:rPr>
          <w:rFonts w:hint="eastAsia" w:ascii="仿宋_GB2312" w:hAnsi="宋体" w:eastAsia="仿宋_GB2312"/>
          <w:color w:val="000000"/>
          <w:kern w:val="2"/>
          <w:sz w:val="24"/>
          <w:szCs w:val="24"/>
          <w:lang w:val="en-US" w:eastAsia="zh-CN"/>
        </w:rPr>
        <w:t>还原为氮气和水，实现脱硝目的。窑炉废气经过SNCR脱硝处理后，氮氧化物去除率达70%以上。</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仿宋_GB2312" w:hAnsi="宋体" w:eastAsia="仿宋_GB2312"/>
          <w:color w:val="000000"/>
          <w:kern w:val="2"/>
          <w:sz w:val="24"/>
          <w:szCs w:val="24"/>
          <w:lang w:val="en-US" w:eastAsia="zh-CN"/>
        </w:rPr>
      </w:pP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仿宋_GB2312" w:hAnsi="宋体" w:eastAsia="仿宋_GB2312"/>
          <w:color w:val="000000"/>
          <w:kern w:val="2"/>
          <w:sz w:val="24"/>
          <w:szCs w:val="24"/>
          <w:lang w:val="en-US" w:eastAsia="zh-CN"/>
        </w:rPr>
      </w:pPr>
      <w:r>
        <w:rPr>
          <w:rFonts w:hint="eastAsia" w:ascii="仿宋_GB2312" w:hAnsi="宋体" w:eastAsia="仿宋_GB2312"/>
          <w:color w:val="000000"/>
          <w:kern w:val="2"/>
          <w:sz w:val="24"/>
          <w:szCs w:val="24"/>
          <w:lang w:val="en-US" w:eastAsia="zh-CN"/>
        </w:rPr>
        <w:t xml:space="preserve"> </w:t>
      </w:r>
    </w:p>
    <w:p>
      <w:pPr>
        <w:pStyle w:val="2"/>
        <w:rPr>
          <w:rFonts w:hint="eastAsia" w:ascii="仿宋_GB2312" w:hAnsi="宋体" w:eastAsia="仿宋_GB2312"/>
          <w:color w:val="000000"/>
          <w:kern w:val="2"/>
          <w:sz w:val="24"/>
          <w:szCs w:val="24"/>
          <w:lang w:val="en-US" w:eastAsia="zh-CN"/>
        </w:rPr>
      </w:pPr>
      <w:r>
        <w:drawing>
          <wp:inline distT="0" distB="0" distL="114300" distR="114300">
            <wp:extent cx="5274945" cy="1911350"/>
            <wp:effectExtent l="0" t="0" r="13335" b="8890"/>
            <wp:docPr id="1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
                    <pic:cNvPicPr>
                      <a:picLocks noChangeAspect="1"/>
                    </pic:cNvPicPr>
                  </pic:nvPicPr>
                  <pic:blipFill>
                    <a:blip r:embed="rId23"/>
                    <a:stretch>
                      <a:fillRect/>
                    </a:stretch>
                  </pic:blipFill>
                  <pic:spPr>
                    <a:xfrm>
                      <a:off x="0" y="0"/>
                      <a:ext cx="5274945" cy="1911350"/>
                    </a:xfrm>
                    <a:prstGeom prst="rect">
                      <a:avLst/>
                    </a:prstGeom>
                    <a:noFill/>
                    <a:ln>
                      <a:noFill/>
                    </a:ln>
                  </pic:spPr>
                </pic:pic>
              </a:graphicData>
            </a:graphic>
          </wp:inline>
        </w:drawing>
      </w:r>
    </w:p>
    <w:p>
      <w:pPr>
        <w:spacing w:before="190"/>
        <w:ind w:firstLine="480"/>
        <w:jc w:val="center"/>
        <w:rPr>
          <w:rFonts w:hint="default" w:ascii="宋体" w:hAnsi="宋体" w:eastAsia="宋体"/>
          <w:b/>
          <w:bCs/>
          <w:sz w:val="21"/>
          <w:szCs w:val="21"/>
          <w:highlight w:val="none"/>
          <w:lang w:val="en-US" w:eastAsia="zh-CN"/>
        </w:rPr>
      </w:pPr>
      <w:r>
        <w:rPr>
          <w:rFonts w:hint="eastAsia" w:ascii="宋体" w:hAnsi="宋体"/>
          <w:b/>
          <w:bCs/>
          <w:sz w:val="21"/>
          <w:szCs w:val="21"/>
          <w:highlight w:val="none"/>
        </w:rPr>
        <w:t>图</w:t>
      </w:r>
      <w:r>
        <w:rPr>
          <w:rFonts w:hint="eastAsia" w:ascii="宋体" w:hAnsi="宋体"/>
          <w:b/>
          <w:bCs/>
          <w:sz w:val="21"/>
          <w:szCs w:val="21"/>
          <w:highlight w:val="none"/>
          <w:lang w:val="en-US" w:eastAsia="zh-CN"/>
        </w:rPr>
        <w:t>2.2-2</w:t>
      </w:r>
      <w:r>
        <w:rPr>
          <w:rFonts w:hint="eastAsia" w:ascii="宋体" w:hAnsi="宋体"/>
          <w:b/>
          <w:bCs/>
          <w:sz w:val="21"/>
          <w:szCs w:val="21"/>
          <w:highlight w:val="none"/>
        </w:rPr>
        <w:t xml:space="preserve">  </w:t>
      </w:r>
      <w:r>
        <w:rPr>
          <w:rFonts w:hint="eastAsia" w:ascii="宋体" w:hAnsi="宋体"/>
          <w:b/>
          <w:bCs/>
          <w:sz w:val="21"/>
          <w:szCs w:val="21"/>
          <w:highlight w:val="none"/>
          <w:lang w:val="en-US" w:eastAsia="zh-CN"/>
        </w:rPr>
        <w:t>SNCR系统流程图</w:t>
      </w:r>
    </w:p>
    <w:p>
      <w:pPr>
        <w:spacing w:before="120" w:beforeLines="50" w:line="360" w:lineRule="auto"/>
        <w:outlineLvl w:val="2"/>
        <w:rPr>
          <w:b/>
          <w:sz w:val="28"/>
          <w:szCs w:val="28"/>
        </w:rPr>
      </w:pPr>
      <w:bookmarkStart w:id="34" w:name="_Toc23032"/>
      <w:r>
        <w:rPr>
          <w:rFonts w:hint="eastAsia"/>
          <w:b/>
          <w:sz w:val="28"/>
          <w:szCs w:val="28"/>
        </w:rPr>
        <w:t>2</w:t>
      </w:r>
      <w:r>
        <w:rPr>
          <w:b/>
          <w:sz w:val="28"/>
          <w:szCs w:val="28"/>
        </w:rPr>
        <w:t>.</w:t>
      </w:r>
      <w:r>
        <w:rPr>
          <w:rFonts w:hint="eastAsia"/>
          <w:b/>
          <w:sz w:val="28"/>
          <w:szCs w:val="28"/>
          <w:lang w:val="en-US" w:eastAsia="zh-CN"/>
        </w:rPr>
        <w:t>2</w:t>
      </w:r>
      <w:r>
        <w:rPr>
          <w:b/>
          <w:sz w:val="28"/>
          <w:szCs w:val="28"/>
        </w:rPr>
        <w:t>.2废水产生及控制措施</w:t>
      </w:r>
      <w:bookmarkEnd w:id="34"/>
    </w:p>
    <w:p>
      <w:pPr>
        <w:keepNext w:val="0"/>
        <w:keepLines w:val="0"/>
        <w:pageBreakBefore w:val="0"/>
        <w:widowControl/>
        <w:kinsoku/>
        <w:wordWrap/>
        <w:overflowPunct/>
        <w:topLinePunct w:val="0"/>
        <w:autoSpaceDE/>
        <w:autoSpaceDN/>
        <w:bidi w:val="0"/>
        <w:adjustRightInd w:val="0"/>
        <w:snapToGrid w:val="0"/>
        <w:spacing w:before="192" w:beforeLines="50" w:line="360" w:lineRule="auto"/>
        <w:ind w:firstLine="480" w:firstLineChars="200"/>
        <w:rPr>
          <w:rFonts w:hint="eastAsia" w:ascii="仿宋_GB2312" w:eastAsia="仿宋_GB2312"/>
          <w:sz w:val="24"/>
          <w:szCs w:val="24"/>
          <w:lang w:eastAsia="zh-CN"/>
        </w:rPr>
      </w:pPr>
      <w:r>
        <w:rPr>
          <w:rFonts w:hint="eastAsia" w:ascii="仿宋_GB2312" w:eastAsia="仿宋_GB2312"/>
          <w:sz w:val="24"/>
          <w:szCs w:val="24"/>
          <w:lang w:eastAsia="zh-CN"/>
        </w:rPr>
        <w:t>厂区内产生废水包括生产废水和办公生活污水。生产废水主要来自设备冷 却、厂房地面清洗、余热电站排污水等，主要污染因子为悬浮物、石油类等；办 公生活污水主要来源于办公冲洗及员工生活区，主要污染因子为PH值、悬浮物、 化学需氧量（CODcr）、五日生化需氧量、氨氮等。 公司各工序设备冷却废水为洁净水，经简单过滤沉淀后进入循环水池，回用于设备冷却；其余废水如厂房地面清洗、余热电站排污水、办公生活污水进公司废水处理站处理后再进入循环水池，回用于设备冷却。公司废水处理站处理能力为 360t/d，采用生化处理技术接触氧化法处理，其处理工艺见下图：</w:t>
      </w:r>
    </w:p>
    <w:p>
      <w:pPr>
        <w:spacing w:before="104" w:line="4798" w:lineRule="exact"/>
        <w:ind w:firstLine="14"/>
        <w:textAlignment w:val="center"/>
      </w:pPr>
      <w:r>
        <w:drawing>
          <wp:inline distT="0" distB="0" distL="114300" distR="114300">
            <wp:extent cx="5273675" cy="3046095"/>
            <wp:effectExtent l="0" t="0" r="14605" b="1905"/>
            <wp:docPr id="120" name="图片 8"/>
            <wp:cNvGraphicFramePr/>
            <a:graphic xmlns:a="http://schemas.openxmlformats.org/drawingml/2006/main">
              <a:graphicData uri="http://schemas.openxmlformats.org/drawingml/2006/picture">
                <pic:pic xmlns:pic="http://schemas.openxmlformats.org/drawingml/2006/picture">
                  <pic:nvPicPr>
                    <pic:cNvPr id="120" name="图片 8"/>
                    <pic:cNvPicPr/>
                  </pic:nvPicPr>
                  <pic:blipFill>
                    <a:blip r:embed="rId24"/>
                    <a:stretch>
                      <a:fillRect/>
                    </a:stretch>
                  </pic:blipFill>
                  <pic:spPr>
                    <a:xfrm>
                      <a:off x="0" y="0"/>
                      <a:ext cx="5273675" cy="3046095"/>
                    </a:xfrm>
                    <a:prstGeom prst="rect">
                      <a:avLst/>
                    </a:prstGeom>
                    <a:noFill/>
                    <a:ln>
                      <a:noFill/>
                    </a:ln>
                  </pic:spPr>
                </pic:pic>
              </a:graphicData>
            </a:graphic>
          </wp:inline>
        </w:drawing>
      </w:r>
    </w:p>
    <w:p>
      <w:pPr>
        <w:spacing w:before="190"/>
        <w:ind w:firstLine="480"/>
        <w:jc w:val="center"/>
        <w:rPr>
          <w:rFonts w:hint="eastAsia" w:ascii="宋体" w:hAnsi="宋体" w:eastAsia="宋体" w:cs="Times New Roman"/>
          <w:b/>
          <w:bCs/>
          <w:sz w:val="21"/>
          <w:szCs w:val="21"/>
        </w:rPr>
      </w:pPr>
      <w:r>
        <w:rPr>
          <w:rFonts w:hint="eastAsia" w:ascii="宋体" w:hAnsi="宋体" w:eastAsia="宋体" w:cs="Times New Roman"/>
          <w:b/>
          <w:bCs/>
          <w:sz w:val="21"/>
          <w:szCs w:val="21"/>
        </w:rPr>
        <w:t>图</w:t>
      </w:r>
      <w:r>
        <w:rPr>
          <w:rFonts w:hint="eastAsia" w:ascii="宋体" w:hAnsi="宋体" w:cs="Times New Roman"/>
          <w:b/>
          <w:bCs/>
          <w:sz w:val="21"/>
          <w:szCs w:val="21"/>
          <w:lang w:val="en-US" w:eastAsia="zh-CN"/>
        </w:rPr>
        <w:t>2.2-3</w:t>
      </w:r>
      <w:r>
        <w:rPr>
          <w:rFonts w:hint="eastAsia" w:ascii="宋体" w:hAnsi="宋体" w:eastAsia="宋体" w:cs="Times New Roman"/>
          <w:b/>
          <w:bCs/>
          <w:sz w:val="21"/>
          <w:szCs w:val="21"/>
        </w:rPr>
        <w:t xml:space="preserve"> 污水处理工艺流程图</w:t>
      </w:r>
    </w:p>
    <w:p>
      <w:pPr>
        <w:spacing w:before="200" w:line="3101" w:lineRule="exact"/>
        <w:ind w:firstLine="434"/>
        <w:textAlignment w:val="center"/>
      </w:pPr>
      <w:r>
        <w:drawing>
          <wp:inline distT="0" distB="0" distL="114300" distR="114300">
            <wp:extent cx="5273675" cy="1968500"/>
            <wp:effectExtent l="0" t="0" r="14605" b="12700"/>
            <wp:docPr id="123" name="图片 9"/>
            <wp:cNvGraphicFramePr/>
            <a:graphic xmlns:a="http://schemas.openxmlformats.org/drawingml/2006/main">
              <a:graphicData uri="http://schemas.openxmlformats.org/drawingml/2006/picture">
                <pic:pic xmlns:pic="http://schemas.openxmlformats.org/drawingml/2006/picture">
                  <pic:nvPicPr>
                    <pic:cNvPr id="123" name="图片 9"/>
                    <pic:cNvPicPr/>
                  </pic:nvPicPr>
                  <pic:blipFill>
                    <a:blip r:embed="rId25"/>
                    <a:stretch>
                      <a:fillRect/>
                    </a:stretch>
                  </pic:blipFill>
                  <pic:spPr>
                    <a:xfrm>
                      <a:off x="0" y="0"/>
                      <a:ext cx="5273675" cy="1968500"/>
                    </a:xfrm>
                    <a:prstGeom prst="rect">
                      <a:avLst/>
                    </a:prstGeom>
                    <a:noFill/>
                    <a:ln>
                      <a:noFill/>
                    </a:ln>
                  </pic:spPr>
                </pic:pic>
              </a:graphicData>
            </a:graphic>
          </wp:inline>
        </w:drawing>
      </w:r>
    </w:p>
    <w:p>
      <w:pPr>
        <w:adjustRightInd w:val="0"/>
        <w:snapToGrid w:val="0"/>
        <w:spacing w:before="0" w:line="360" w:lineRule="auto"/>
        <w:ind w:firstLine="482"/>
        <w:jc w:val="center"/>
        <w:rPr>
          <w:rFonts w:hint="eastAsia" w:ascii="宋体" w:hAnsi="宋体" w:eastAsia="宋体" w:cs="Times New Roman"/>
          <w:b/>
          <w:bCs/>
          <w:sz w:val="21"/>
          <w:szCs w:val="21"/>
        </w:rPr>
      </w:pPr>
      <w:r>
        <w:rPr>
          <w:rFonts w:hint="eastAsia" w:ascii="宋体" w:hAnsi="宋体" w:eastAsia="宋体" w:cs="Times New Roman"/>
          <w:b/>
          <w:bCs/>
          <w:sz w:val="21"/>
          <w:szCs w:val="21"/>
        </w:rPr>
        <w:t>图</w:t>
      </w:r>
      <w:r>
        <w:rPr>
          <w:rFonts w:hint="eastAsia" w:ascii="宋体" w:hAnsi="宋体" w:cs="Times New Roman"/>
          <w:b/>
          <w:bCs/>
          <w:sz w:val="21"/>
          <w:szCs w:val="21"/>
          <w:lang w:val="en-US" w:eastAsia="zh-CN"/>
        </w:rPr>
        <w:t>2.2-4</w:t>
      </w:r>
      <w:r>
        <w:rPr>
          <w:rFonts w:hint="eastAsia" w:ascii="宋体" w:hAnsi="宋体" w:eastAsia="宋体" w:cs="Times New Roman"/>
          <w:b/>
          <w:bCs/>
          <w:sz w:val="21"/>
          <w:szCs w:val="21"/>
        </w:rPr>
        <w:t xml:space="preserve"> 联合水泵站处理工艺流程图</w:t>
      </w:r>
    </w:p>
    <w:p>
      <w:pPr>
        <w:adjustRightInd w:val="0"/>
        <w:snapToGrid w:val="0"/>
        <w:spacing w:before="0" w:line="360" w:lineRule="auto"/>
        <w:ind w:left="28" w:right="357" w:firstLine="482"/>
        <w:rPr>
          <w:rFonts w:ascii="宋体" w:hAnsi="宋体" w:eastAsia="宋体" w:cs="宋体"/>
          <w:spacing w:val="-1"/>
          <w:sz w:val="28"/>
          <w:szCs w:val="28"/>
        </w:rPr>
      </w:pPr>
      <w:r>
        <w:rPr>
          <w:rFonts w:ascii="宋体" w:hAnsi="宋体" w:eastAsia="宋体" w:cs="宋体"/>
          <w:spacing w:val="-2"/>
          <w:sz w:val="24"/>
          <w:szCs w:val="24"/>
        </w:rPr>
        <w:t>厂区</w:t>
      </w:r>
      <w:r>
        <w:rPr>
          <w:rFonts w:hint="eastAsia" w:ascii="宋体" w:hAnsi="宋体" w:eastAsia="宋体" w:cs="宋体"/>
          <w:spacing w:val="-2"/>
          <w:sz w:val="24"/>
          <w:szCs w:val="24"/>
          <w:lang w:val="en-US" w:eastAsia="zh-CN"/>
        </w:rPr>
        <w:t>初期</w:t>
      </w:r>
      <w:r>
        <w:rPr>
          <w:rFonts w:ascii="宋体" w:hAnsi="宋体" w:eastAsia="宋体" w:cs="宋体"/>
          <w:spacing w:val="-2"/>
          <w:sz w:val="24"/>
          <w:szCs w:val="24"/>
        </w:rPr>
        <w:t>雨水由厂区明渠收集后，经</w:t>
      </w:r>
      <w:r>
        <w:rPr>
          <w:rFonts w:hint="eastAsia" w:ascii="宋体" w:hAnsi="宋体" w:eastAsia="宋体" w:cs="宋体"/>
          <w:spacing w:val="-2"/>
          <w:sz w:val="24"/>
          <w:szCs w:val="24"/>
          <w:lang w:val="en-US" w:eastAsia="zh-CN"/>
        </w:rPr>
        <w:t>4个沉淀池</w:t>
      </w:r>
      <w:r>
        <w:rPr>
          <w:rFonts w:hint="eastAsia" w:ascii="宋体" w:hAnsi="宋体" w:cs="宋体"/>
          <w:spacing w:val="-2"/>
          <w:sz w:val="24"/>
          <w:szCs w:val="24"/>
          <w:lang w:val="en-US" w:eastAsia="zh-CN"/>
        </w:rPr>
        <w:t>（兼事故应急池）</w:t>
      </w:r>
      <w:r>
        <w:rPr>
          <w:rFonts w:hint="eastAsia" w:ascii="宋体" w:hAnsi="宋体" w:eastAsia="宋体" w:cs="宋体"/>
          <w:spacing w:val="-2"/>
          <w:sz w:val="24"/>
          <w:szCs w:val="24"/>
          <w:lang w:val="en-US" w:eastAsia="zh-CN"/>
        </w:rPr>
        <w:t>沉淀后排入污水处理站进行处理，后期雨水经4个雨水排放口排入无名溪</w:t>
      </w:r>
      <w:r>
        <w:rPr>
          <w:rFonts w:ascii="宋体" w:hAnsi="宋体" w:eastAsia="宋体" w:cs="宋体"/>
          <w:spacing w:val="-1"/>
          <w:sz w:val="24"/>
          <w:szCs w:val="24"/>
        </w:rPr>
        <w:t>，主要污染物为悬浮物</w:t>
      </w:r>
      <w:r>
        <w:rPr>
          <w:rFonts w:ascii="宋体" w:hAnsi="宋体" w:eastAsia="宋体" w:cs="宋体"/>
          <w:spacing w:val="-1"/>
          <w:sz w:val="28"/>
          <w:szCs w:val="28"/>
        </w:rPr>
        <w:t>。</w:t>
      </w:r>
    </w:p>
    <w:p>
      <w:pPr>
        <w:pStyle w:val="2"/>
        <w:jc w:val="center"/>
        <w:rPr>
          <w:rFonts w:hint="eastAsia" w:ascii="宋体" w:hAnsi="宋体" w:eastAsia="宋体" w:cs="宋体"/>
          <w:spacing w:val="-1"/>
          <w:sz w:val="28"/>
          <w:szCs w:val="28"/>
          <w:lang w:eastAsia="zh-CN"/>
        </w:rPr>
      </w:pPr>
      <w:r>
        <w:rPr>
          <w:sz w:val="28"/>
        </w:rPr>
        <mc:AlternateContent>
          <mc:Choice Requires="wps">
            <w:drawing>
              <wp:anchor distT="0" distB="0" distL="114300" distR="114300" simplePos="0" relativeHeight="251664384" behindDoc="0" locked="0" layoutInCell="1" allowOverlap="1">
                <wp:simplePos x="0" y="0"/>
                <wp:positionH relativeFrom="column">
                  <wp:posOffset>3211195</wp:posOffset>
                </wp:positionH>
                <wp:positionV relativeFrom="paragraph">
                  <wp:posOffset>784225</wp:posOffset>
                </wp:positionV>
                <wp:extent cx="760730" cy="6350"/>
                <wp:effectExtent l="0" t="32385" r="1270" b="37465"/>
                <wp:wrapNone/>
                <wp:docPr id="125" name="直接连接符 125"/>
                <wp:cNvGraphicFramePr/>
                <a:graphic xmlns:a="http://schemas.openxmlformats.org/drawingml/2006/main">
                  <a:graphicData uri="http://schemas.microsoft.com/office/word/2010/wordprocessingShape">
                    <wps:wsp>
                      <wps:cNvCnPr/>
                      <wps:spPr>
                        <a:xfrm>
                          <a:off x="0" y="0"/>
                          <a:ext cx="760730" cy="635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2.85pt;margin-top:61.75pt;height:0.5pt;width:59.9pt;z-index:251664384;mso-width-relative:page;mso-height-relative:page;" filled="f" stroked="t" coordsize="21600,21600" o:gfxdata="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MRyydsAAAALAQAADwAAAAAAAAABACAAAAAiAAAAZHJz&#10;L2Rvd25yZXYueG1sUEsBAhQAFAAAAAgAh07iQKZuTt0BAgAA7gMAAA4AAAAAAAAAAQAgAAAAKgEA&#10;AGRycy9lMm9Eb2MueG1sUEsFBgAAAAAGAAYAWQEAAJ0FAAAAAA==&#10;">
                <v:fill on="f" focussize="0,0"/>
                <v:stroke color="#000000" joinstyle="round" endarrow="block"/>
                <v:imagedata o:title=""/>
                <o:lock v:ext="edit" aspectratio="f"/>
              </v:line>
            </w:pict>
          </mc:Fallback>
        </mc:AlternateContent>
      </w:r>
      <w:r>
        <w:rPr>
          <w:sz w:val="28"/>
        </w:rPr>
        <mc:AlternateContent>
          <mc:Choice Requires="wps">
            <w:drawing>
              <wp:anchor distT="0" distB="0" distL="114300" distR="114300" simplePos="0" relativeHeight="251663360" behindDoc="0" locked="0" layoutInCell="1" allowOverlap="1">
                <wp:simplePos x="0" y="0"/>
                <wp:positionH relativeFrom="column">
                  <wp:posOffset>509270</wp:posOffset>
                </wp:positionH>
                <wp:positionV relativeFrom="paragraph">
                  <wp:posOffset>832485</wp:posOffset>
                </wp:positionV>
                <wp:extent cx="435610" cy="635"/>
                <wp:effectExtent l="0" t="38100" r="6350" b="37465"/>
                <wp:wrapNone/>
                <wp:docPr id="126" name="直接连接符 126"/>
                <wp:cNvGraphicFramePr/>
                <a:graphic xmlns:a="http://schemas.openxmlformats.org/drawingml/2006/main">
                  <a:graphicData uri="http://schemas.microsoft.com/office/word/2010/wordprocessingShape">
                    <wps:wsp>
                      <wps:cNvCnPr/>
                      <wps:spPr>
                        <a:xfrm flipV="1">
                          <a:off x="0" y="0"/>
                          <a:ext cx="435610"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y;margin-left:40.1pt;margin-top:65.55pt;height:0.05pt;width:34.3pt;z-index:251663360;mso-width-relative:page;mso-height-relative:page;" filled="f" stroked="t" coordsize="21600,21600" o:gfxdata="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YCP99cAAAAKAQAADwAAAAAAAAABACAAAAAiAAAAZHJz&#10;L2Rvd25yZXYueG1sUEsBAhQAFAAAAAgAh07iQEqZ1HMFAgAA9wMAAA4AAAAAAAAAAQAgAAAAJgEA&#10;AGRycy9lMm9Eb2MueG1sUEsFBgAAAAAGAAYAWQEAAJ0FAAAAAA==&#10;">
                <v:fill on="f" focussize="0,0"/>
                <v:stroke color="#000000" joinstyle="round" endarrow="block"/>
                <v:imagedata o:title=""/>
                <o:lock v:ext="edit" aspectratio="f"/>
              </v:line>
            </w:pict>
          </mc:Fallback>
        </mc:AlternateContent>
      </w:r>
      <w:r>
        <w:rPr>
          <w:sz w:val="28"/>
        </w:rPr>
        <mc:AlternateContent>
          <mc:Choice Requires="wps">
            <w:drawing>
              <wp:anchor distT="0" distB="0" distL="114300" distR="114300" simplePos="0" relativeHeight="251666432" behindDoc="0" locked="0" layoutInCell="1" allowOverlap="1">
                <wp:simplePos x="0" y="0"/>
                <wp:positionH relativeFrom="column">
                  <wp:posOffset>2282825</wp:posOffset>
                </wp:positionH>
                <wp:positionV relativeFrom="paragraph">
                  <wp:posOffset>354330</wp:posOffset>
                </wp:positionV>
                <wp:extent cx="435610" cy="635"/>
                <wp:effectExtent l="0" t="38100" r="6350" b="37465"/>
                <wp:wrapNone/>
                <wp:docPr id="121" name="直接连接符 121"/>
                <wp:cNvGraphicFramePr/>
                <a:graphic xmlns:a="http://schemas.openxmlformats.org/drawingml/2006/main">
                  <a:graphicData uri="http://schemas.microsoft.com/office/word/2010/wordprocessingShape">
                    <wps:wsp>
                      <wps:cNvCnPr/>
                      <wps:spPr>
                        <a:xfrm flipV="1">
                          <a:off x="0" y="0"/>
                          <a:ext cx="435610"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y;margin-left:179.75pt;margin-top:27.9pt;height:0.05pt;width:34.3pt;z-index:251666432;mso-width-relative:page;mso-height-relative:page;" filled="f" stroked="t" coordsize="21600,21600" o:gfxdata="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kxQrgdgAAAAJAQAADwAAAAAAAAABACAAAAAiAAAAZHJz&#10;L2Rvd25yZXYueG1sUEsBAhQAFAAAAAgAh07iQO8PcY0EAgAA9wMAAA4AAAAAAAAAAQAgAAAAJwEA&#10;AGRycy9lMm9Eb2MueG1sUEsFBgAAAAAGAAYAWQEAAJ0FAAAAAA==&#10;">
                <v:fill on="f" focussize="0,0"/>
                <v:stroke color="#000000" joinstyle="round" endarrow="block"/>
                <v:imagedata o:title=""/>
                <o:lock v:ext="edit" aspectratio="f"/>
              </v:line>
            </w:pict>
          </mc:Fallback>
        </mc:AlternateContent>
      </w:r>
      <w:r>
        <w:rPr>
          <w:sz w:val="28"/>
        </w:rPr>
        <mc:AlternateContent>
          <mc:Choice Requires="wps">
            <w:drawing>
              <wp:anchor distT="0" distB="0" distL="114300" distR="114300" simplePos="0" relativeHeight="251665408" behindDoc="0" locked="0" layoutInCell="1" allowOverlap="1">
                <wp:simplePos x="0" y="0"/>
                <wp:positionH relativeFrom="column">
                  <wp:posOffset>2275840</wp:posOffset>
                </wp:positionH>
                <wp:positionV relativeFrom="paragraph">
                  <wp:posOffset>353695</wp:posOffset>
                </wp:positionV>
                <wp:extent cx="6350" cy="305435"/>
                <wp:effectExtent l="4445" t="0" r="19685" b="14605"/>
                <wp:wrapNone/>
                <wp:docPr id="122" name="直接连接符 122"/>
                <wp:cNvGraphicFramePr/>
                <a:graphic xmlns:a="http://schemas.openxmlformats.org/drawingml/2006/main">
                  <a:graphicData uri="http://schemas.microsoft.com/office/word/2010/wordprocessingShape">
                    <wps:wsp>
                      <wps:cNvCnPr/>
                      <wps:spPr>
                        <a:xfrm flipH="1" flipV="1">
                          <a:off x="0" y="0"/>
                          <a:ext cx="6350" cy="3054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 y;margin-left:179.2pt;margin-top:27.85pt;height:24.05pt;width:0.5pt;z-index:251665408;mso-width-relative:page;mso-height-relative:page;" filled="f" stroked="t" coordsize="21600,21600" o:gfxdata="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DzCj1QAAAAoBAAAPAAAAAAAAAAEAIAAAACIAAABkcnMvZG93&#10;bnJldi54bWxQSwECFAAUAAAACACHTuJA74i/TQMCAAD+AwAADgAAAAAAAAABACAAAAAkAQAAZHJz&#10;L2Uyb0RvYy54bWxQSwUGAAAAAAYABgBZAQAAmQUAAAAA&#10;">
                <v:fill on="f" focussize="0,0"/>
                <v:stroke color="#000000" joinstyle="round"/>
                <v:imagedata o:title=""/>
                <o:lock v:ext="edit" aspectratio="f"/>
              </v:line>
            </w:pict>
          </mc:Fallback>
        </mc:AlternateContent>
      </w:r>
      <w:r>
        <w:rPr>
          <w:sz w:val="28"/>
        </w:rPr>
        <mc:AlternateContent>
          <mc:Choice Requires="wps">
            <w:drawing>
              <wp:anchor distT="0" distB="0" distL="114300" distR="114300" simplePos="0" relativeHeight="251667456" behindDoc="0" locked="0" layoutInCell="1" allowOverlap="1">
                <wp:simplePos x="0" y="0"/>
                <wp:positionH relativeFrom="column">
                  <wp:posOffset>3681730</wp:posOffset>
                </wp:positionH>
                <wp:positionV relativeFrom="paragraph">
                  <wp:posOffset>333375</wp:posOffset>
                </wp:positionV>
                <wp:extent cx="435610" cy="635"/>
                <wp:effectExtent l="0" t="38100" r="6350" b="37465"/>
                <wp:wrapNone/>
                <wp:docPr id="124" name="直接连接符 124"/>
                <wp:cNvGraphicFramePr/>
                <a:graphic xmlns:a="http://schemas.openxmlformats.org/drawingml/2006/main">
                  <a:graphicData uri="http://schemas.microsoft.com/office/word/2010/wordprocessingShape">
                    <wps:wsp>
                      <wps:cNvCnPr/>
                      <wps:spPr>
                        <a:xfrm flipV="1">
                          <a:off x="0" y="0"/>
                          <a:ext cx="435610"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y;margin-left:289.9pt;margin-top:26.25pt;height:0.05pt;width:34.3pt;z-index:251667456;mso-width-relative:page;mso-height-relative:page;" filled="f" stroked="t" coordsize="21600,21600" o:gfxdata="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MgBjd9kAAAAJAQAADwAAAAAAAAABACAAAAAiAAAA&#10;ZHJzL2Rvd25yZXYueG1sUEsBAhQAFAAAAAgAh07iQP8hB38GAgAA9wMAAA4AAAAAAAAAAQAgAAAA&#10;KAEAAGRycy9lMm9Eb2MueG1sUEsFBgAAAAAGAAYAWQEAAKAFAAAAAA==&#10;">
                <v:fill on="f" focussize="0,0"/>
                <v:stroke color="#000000" joinstyle="round" endarrow="block"/>
                <v:imagedata o:title=""/>
                <o:lock v:ext="edit" aspectratio="f"/>
              </v:line>
            </w:pict>
          </mc:Fallback>
        </mc:AlternateContent>
      </w:r>
      <w:r>
        <w:rPr>
          <w:sz w:val="28"/>
        </w:rPr>
        <mc:AlternateContent>
          <mc:Choice Requires="wpc">
            <w:drawing>
              <wp:inline distT="0" distB="0" distL="114300" distR="114300">
                <wp:extent cx="5278120" cy="953135"/>
                <wp:effectExtent l="0" t="0" r="0" b="6350"/>
                <wp:docPr id="119" name="画布 119"/>
                <wp:cNvGraphicFramePr/>
                <a:graphic xmlns:a="http://schemas.openxmlformats.org/drawingml/2006/main">
                  <a:graphicData uri="http://schemas.microsoft.com/office/word/2010/wordprocessingCanvas">
                    <wpc:wpc>
                      <wpc:bg>
                        <a:noFill/>
                      </wpc:bg>
                      <wpc:whole>
                        <a:ln>
                          <a:noFill/>
                        </a:ln>
                      </wpc:whole>
                      <wps:wsp>
                        <wps:cNvPr id="112" name="文本框 112"/>
                        <wps:cNvSpPr txBox="1"/>
                        <wps:spPr>
                          <a:xfrm>
                            <a:off x="973455" y="666750"/>
                            <a:ext cx="2195830" cy="2768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default" w:eastAsia="宋体"/>
                                  <w:sz w:val="21"/>
                                  <w:szCs w:val="21"/>
                                  <w:lang w:val="en-US" w:eastAsia="zh-CN"/>
                                </w:rPr>
                              </w:pPr>
                              <w:r>
                                <w:rPr>
                                  <w:rFonts w:hint="eastAsia"/>
                                  <w:sz w:val="21"/>
                                  <w:szCs w:val="21"/>
                                  <w:lang w:val="en-US" w:eastAsia="zh-CN"/>
                                </w:rPr>
                                <w:t>初期雨水沉淀池（兼事故应急池）</w:t>
                              </w:r>
                            </w:p>
                          </w:txbxContent>
                        </wps:txbx>
                        <wps:bodyPr upright="1"/>
                      </wps:wsp>
                      <wps:wsp>
                        <wps:cNvPr id="113" name="文本框 113"/>
                        <wps:cNvSpPr txBox="1"/>
                        <wps:spPr>
                          <a:xfrm>
                            <a:off x="0" y="688975"/>
                            <a:ext cx="569595" cy="266700"/>
                          </a:xfrm>
                          <a:prstGeom prst="rect">
                            <a:avLst/>
                          </a:prstGeom>
                          <a:solidFill>
                            <a:srgbClr val="FFFFFF"/>
                          </a:solidFill>
                          <a:ln>
                            <a:noFill/>
                          </a:ln>
                        </wps:spPr>
                        <wps:txbx>
                          <w:txbxContent>
                            <w:p>
                              <w:pPr>
                                <w:jc w:val="center"/>
                                <w:rPr>
                                  <w:rFonts w:hint="default" w:eastAsia="宋体"/>
                                  <w:sz w:val="21"/>
                                  <w:szCs w:val="21"/>
                                  <w:lang w:val="en-US" w:eastAsia="zh-CN"/>
                                </w:rPr>
                              </w:pPr>
                              <w:r>
                                <w:rPr>
                                  <w:rFonts w:hint="eastAsia" w:eastAsia="宋体"/>
                                  <w:sz w:val="21"/>
                                  <w:szCs w:val="21"/>
                                  <w:lang w:val="en-US" w:eastAsia="zh-CN"/>
                                </w:rPr>
                                <w:t>雨水</w:t>
                              </w:r>
                            </w:p>
                          </w:txbxContent>
                        </wps:txbx>
                        <wps:bodyPr upright="1"/>
                      </wps:wsp>
                      <wps:wsp>
                        <wps:cNvPr id="114" name="文本框 114"/>
                        <wps:cNvSpPr txBox="1"/>
                        <wps:spPr>
                          <a:xfrm>
                            <a:off x="3978910" y="618490"/>
                            <a:ext cx="981075" cy="266700"/>
                          </a:xfrm>
                          <a:prstGeom prst="rect">
                            <a:avLst/>
                          </a:prstGeom>
                          <a:solidFill>
                            <a:srgbClr val="FFFFFF"/>
                          </a:solidFill>
                          <a:ln>
                            <a:noFill/>
                          </a:ln>
                        </wps:spPr>
                        <wps:txbx>
                          <w:txbxContent>
                            <w:p>
                              <w:pPr>
                                <w:jc w:val="center"/>
                                <w:rPr>
                                  <w:rFonts w:hint="default" w:eastAsia="宋体"/>
                                  <w:sz w:val="21"/>
                                  <w:szCs w:val="21"/>
                                  <w:lang w:val="en-US" w:eastAsia="zh-CN"/>
                                </w:rPr>
                              </w:pPr>
                              <w:r>
                                <w:rPr>
                                  <w:rFonts w:hint="eastAsia" w:eastAsia="宋体"/>
                                  <w:sz w:val="21"/>
                                  <w:szCs w:val="21"/>
                                  <w:lang w:val="en-US" w:eastAsia="zh-CN"/>
                                </w:rPr>
                                <w:t>排入无名溪</w:t>
                              </w:r>
                            </w:p>
                          </w:txbxContent>
                        </wps:txbx>
                        <wps:bodyPr upright="1"/>
                      </wps:wsp>
                      <wps:wsp>
                        <wps:cNvPr id="115" name="文本框 115"/>
                        <wps:cNvSpPr txBox="1"/>
                        <wps:spPr>
                          <a:xfrm>
                            <a:off x="3265170" y="487680"/>
                            <a:ext cx="787400" cy="266700"/>
                          </a:xfrm>
                          <a:prstGeom prst="rect">
                            <a:avLst/>
                          </a:prstGeom>
                          <a:solidFill>
                            <a:srgbClr val="FFFFFF"/>
                          </a:solidFill>
                          <a:ln>
                            <a:noFill/>
                          </a:ln>
                        </wps:spPr>
                        <wps:txbx>
                          <w:txbxContent>
                            <w:p>
                              <w:pPr>
                                <w:jc w:val="center"/>
                                <w:rPr>
                                  <w:rFonts w:hint="default" w:eastAsia="宋体"/>
                                  <w:sz w:val="21"/>
                                  <w:szCs w:val="21"/>
                                  <w:lang w:val="en-US" w:eastAsia="zh-CN"/>
                                </w:rPr>
                              </w:pPr>
                              <w:r>
                                <w:rPr>
                                  <w:rFonts w:hint="eastAsia" w:eastAsia="宋体"/>
                                  <w:sz w:val="21"/>
                                  <w:szCs w:val="21"/>
                                  <w:lang w:val="en-US" w:eastAsia="zh-CN"/>
                                </w:rPr>
                                <w:t>后期雨水</w:t>
                              </w:r>
                            </w:p>
                          </w:txbxContent>
                        </wps:txbx>
                        <wps:bodyPr upright="1"/>
                      </wps:wsp>
                      <wps:wsp>
                        <wps:cNvPr id="116" name="文本框 116"/>
                        <wps:cNvSpPr txBox="1"/>
                        <wps:spPr>
                          <a:xfrm>
                            <a:off x="2711450" y="215900"/>
                            <a:ext cx="956945" cy="2667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default" w:eastAsia="宋体"/>
                                  <w:sz w:val="21"/>
                                  <w:szCs w:val="21"/>
                                  <w:lang w:val="en-US" w:eastAsia="zh-CN"/>
                                </w:rPr>
                              </w:pPr>
                              <w:r>
                                <w:rPr>
                                  <w:rFonts w:hint="eastAsia" w:eastAsia="宋体"/>
                                  <w:sz w:val="21"/>
                                  <w:szCs w:val="21"/>
                                  <w:lang w:val="en-US" w:eastAsia="zh-CN"/>
                                </w:rPr>
                                <w:t>污水处理站</w:t>
                              </w:r>
                            </w:p>
                          </w:txbxContent>
                        </wps:txbx>
                        <wps:bodyPr upright="1"/>
                      </wps:wsp>
                      <wps:wsp>
                        <wps:cNvPr id="117" name="文本框 117"/>
                        <wps:cNvSpPr txBox="1"/>
                        <wps:spPr>
                          <a:xfrm>
                            <a:off x="1541145" y="287020"/>
                            <a:ext cx="787400" cy="266700"/>
                          </a:xfrm>
                          <a:prstGeom prst="rect">
                            <a:avLst/>
                          </a:prstGeom>
                          <a:noFill/>
                          <a:ln>
                            <a:noFill/>
                          </a:ln>
                        </wps:spPr>
                        <wps:txbx>
                          <w:txbxContent>
                            <w:p>
                              <w:pPr>
                                <w:jc w:val="center"/>
                                <w:rPr>
                                  <w:rFonts w:hint="default" w:eastAsia="宋体"/>
                                  <w:sz w:val="21"/>
                                  <w:szCs w:val="21"/>
                                  <w:lang w:val="en-US" w:eastAsia="zh-CN"/>
                                </w:rPr>
                              </w:pPr>
                              <w:r>
                                <w:rPr>
                                  <w:rFonts w:hint="eastAsia" w:eastAsia="宋体"/>
                                  <w:sz w:val="21"/>
                                  <w:szCs w:val="21"/>
                                  <w:lang w:val="en-US" w:eastAsia="zh-CN"/>
                                </w:rPr>
                                <w:t>初期雨水</w:t>
                              </w:r>
                            </w:p>
                          </w:txbxContent>
                        </wps:txbx>
                        <wps:bodyPr upright="1"/>
                      </wps:wsp>
                      <wps:wsp>
                        <wps:cNvPr id="118" name="文本框 118"/>
                        <wps:cNvSpPr txBox="1"/>
                        <wps:spPr>
                          <a:xfrm>
                            <a:off x="4104005" y="168910"/>
                            <a:ext cx="558800" cy="266700"/>
                          </a:xfrm>
                          <a:prstGeom prst="rect">
                            <a:avLst/>
                          </a:prstGeom>
                          <a:solidFill>
                            <a:srgbClr val="FFFFFF"/>
                          </a:solidFill>
                          <a:ln>
                            <a:noFill/>
                          </a:ln>
                        </wps:spPr>
                        <wps:txbx>
                          <w:txbxContent>
                            <w:p>
                              <w:pPr>
                                <w:jc w:val="center"/>
                                <w:rPr>
                                  <w:rFonts w:hint="default" w:eastAsia="宋体"/>
                                  <w:sz w:val="21"/>
                                  <w:szCs w:val="21"/>
                                  <w:lang w:val="en-US" w:eastAsia="zh-CN"/>
                                </w:rPr>
                              </w:pPr>
                              <w:r>
                                <w:rPr>
                                  <w:rFonts w:hint="eastAsia" w:eastAsia="宋体"/>
                                  <w:sz w:val="21"/>
                                  <w:szCs w:val="21"/>
                                  <w:lang w:val="en-US" w:eastAsia="zh-CN"/>
                                </w:rPr>
                                <w:t>回用</w:t>
                              </w:r>
                            </w:p>
                          </w:txbxContent>
                        </wps:txbx>
                        <wps:bodyPr upright="1"/>
                      </wps:wsp>
                    </wpc:wpc>
                  </a:graphicData>
                </a:graphic>
              </wp:inline>
            </w:drawing>
          </mc:Choice>
          <mc:Fallback>
            <w:pict>
              <v:group id="_x0000_s1026" o:spid="_x0000_s1026" o:spt="203" style="height:75.05pt;width:415.6pt;" coordsize="5278120,953135" editas="canvas" o:gfxdata="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">
                <o:lock v:ext="edit" aspectratio="f"/>
                <v:shape id="_x0000_s1026" o:spid="_x0000_s1026" style="position:absolute;left:0;top:0;height:953135;width:5278120;" filled="f" stroked="f" coordsize="21600,21600" o:gfxdata="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">
                  <v:fill on="f" focussize="0,0"/>
                  <v:stroke on="f"/>
                  <v:imagedata o:title=""/>
                  <o:lock v:ext="edit" aspectratio="f"/>
                </v:shape>
                <v:shape id="_x0000_s1026" o:spid="_x0000_s1026" o:spt="202" type="#_x0000_t202" style="position:absolute;left:973455;top:666750;height:276860;width:2195830;" fillcolor="#FFFFFF" filled="t" stroked="t" coordsize="21600,21600" o:gfxdata="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EV7XjVAAAABQEAAA8AAAAA&#10;AAAAAQAgAAAAIgAAAGRycy9kb3ducmV2LnhtbFBLAQIUABQAAAAIAIdO4kB7IcOlFwIAAEQEAAAO&#10;AAAAAAAAAAEAIAAAACQBAABkcnMvZTJvRG9jLnhtbFBLBQYAAAAABgAGAFkBAACtBQAAAAA=&#10;">
                  <v:fill on="t" focussize="0,0"/>
                  <v:stroke color="#000000" joinstyle="miter"/>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初期雨水沉淀池（兼事故应急池）</w:t>
                        </w:r>
                      </w:p>
                    </w:txbxContent>
                  </v:textbox>
                </v:shape>
                <v:shape id="_x0000_s1026" o:spid="_x0000_s1026" o:spt="202" type="#_x0000_t202" style="position:absolute;left:0;top:688975;height:266700;width:569595;" fillcolor="#FFFFFF" filled="t" stroked="f" coordsize="21600,21600" o:gfxdata="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9eqk/UAAAABQEAAA8AAAAAAAAAAQAgAAAAIgAAAGRycy9kb3du&#10;cmV2LnhtbFBLAQIUABQAAAAIAIdO4kBOgx7nygEAAH8DAAAOAAAAAAAAAAEAIAAAACMBAABkcnMv&#10;ZTJvRG9jLnhtbFBLBQYAAAAABgAGAFkBAABfBQAAAAA=&#10;">
                  <v:fill on="t" focussize="0,0"/>
                  <v:stroke on="f"/>
                  <v:imagedata o:title=""/>
                  <o:lock v:ext="edit" aspectratio="f"/>
                  <v:textbox>
                    <w:txbxContent>
                      <w:p>
                        <w:pPr>
                          <w:jc w:val="center"/>
                          <w:rPr>
                            <w:rFonts w:hint="default" w:eastAsia="宋体"/>
                            <w:sz w:val="21"/>
                            <w:szCs w:val="21"/>
                            <w:lang w:val="en-US" w:eastAsia="zh-CN"/>
                          </w:rPr>
                        </w:pPr>
                        <w:r>
                          <w:rPr>
                            <w:rFonts w:hint="eastAsia" w:eastAsia="宋体"/>
                            <w:sz w:val="21"/>
                            <w:szCs w:val="21"/>
                            <w:lang w:val="en-US" w:eastAsia="zh-CN"/>
                          </w:rPr>
                          <w:t>雨水</w:t>
                        </w:r>
                      </w:p>
                    </w:txbxContent>
                  </v:textbox>
                </v:shape>
                <v:shape id="_x0000_s1026" o:spid="_x0000_s1026" o:spt="202" type="#_x0000_t202" style="position:absolute;left:3978910;top:618490;height:266700;width:981075;" fillcolor="#FFFFFF" filled="t" stroked="f" coordsize="21600,21600" o:gfxdata="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&#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16qT9QAAAAFAQAADwAAAAAAAAABACAAAAAiAAAAZHJz&#10;L2Rvd25yZXYueG1sUEsBAhQAFAAAAAgAh07iQMkN1qDPAQAAhQMAAA4AAAAAAAAAAQAgAAAAIwEA&#10;AGRycy9lMm9Eb2MueG1sUEsFBgAAAAAGAAYAWQEAAGQFAAAAAA==&#10;">
                  <v:fill on="t" focussize="0,0"/>
                  <v:stroke on="f"/>
                  <v:imagedata o:title=""/>
                  <o:lock v:ext="edit" aspectratio="f"/>
                  <v:textbox>
                    <w:txbxContent>
                      <w:p>
                        <w:pPr>
                          <w:jc w:val="center"/>
                          <w:rPr>
                            <w:rFonts w:hint="default" w:eastAsia="宋体"/>
                            <w:sz w:val="21"/>
                            <w:szCs w:val="21"/>
                            <w:lang w:val="en-US" w:eastAsia="zh-CN"/>
                          </w:rPr>
                        </w:pPr>
                        <w:r>
                          <w:rPr>
                            <w:rFonts w:hint="eastAsia" w:eastAsia="宋体"/>
                            <w:sz w:val="21"/>
                            <w:szCs w:val="21"/>
                            <w:lang w:val="en-US" w:eastAsia="zh-CN"/>
                          </w:rPr>
                          <w:t>排入无名溪</w:t>
                        </w:r>
                      </w:p>
                    </w:txbxContent>
                  </v:textbox>
                </v:shape>
                <v:shape id="_x0000_s1026" o:spid="_x0000_s1026" o:spt="202" type="#_x0000_t202" style="position:absolute;left:3265170;top:487680;height:266700;width:787400;" fillcolor="#FFFFFF" filled="t" stroked="f" coordsize="21600,21600" o:gfxdata="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16qT9QAAAAFAQAADwAAAAAAAAABACAAAAAiAAAAZHJzL2Rv&#10;d25yZXYueG1sUEsBAhQAFAAAAAgAh07iQEQn6ejMAQAAhQMAAA4AAAAAAAAAAQAgAAAAIwEAAGRy&#10;cy9lMm9Eb2MueG1sUEsFBgAAAAAGAAYAWQEAAGEFAAAAAA==&#10;">
                  <v:fill on="t" focussize="0,0"/>
                  <v:stroke on="f"/>
                  <v:imagedata o:title=""/>
                  <o:lock v:ext="edit" aspectratio="f"/>
                  <v:textbox>
                    <w:txbxContent>
                      <w:p>
                        <w:pPr>
                          <w:jc w:val="center"/>
                          <w:rPr>
                            <w:rFonts w:hint="default" w:eastAsia="宋体"/>
                            <w:sz w:val="21"/>
                            <w:szCs w:val="21"/>
                            <w:lang w:val="en-US" w:eastAsia="zh-CN"/>
                          </w:rPr>
                        </w:pPr>
                        <w:r>
                          <w:rPr>
                            <w:rFonts w:hint="eastAsia" w:eastAsia="宋体"/>
                            <w:sz w:val="21"/>
                            <w:szCs w:val="21"/>
                            <w:lang w:val="en-US" w:eastAsia="zh-CN"/>
                          </w:rPr>
                          <w:t>后期雨水</w:t>
                        </w:r>
                      </w:p>
                    </w:txbxContent>
                  </v:textbox>
                </v:shape>
                <v:shape id="_x0000_s1026" o:spid="_x0000_s1026" o:spt="202" type="#_x0000_t202" style="position:absolute;left:2711450;top:215900;height:266700;width:956945;" fillcolor="#FFFFFF" filled="t" stroked="t" coordsize="21600,21600" o:gfxdata="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RXteNUAAAAFAQAADwAAAAAAAAAB&#10;ACAAAAAiAAAAZHJzL2Rvd25yZXYueG1sUEsBAhQAFAAAAAgAh07iQPc9ZAATAgAARAQAAA4AAAAA&#10;AAAAAQAgAAAAJAEAAGRycy9lMm9Eb2MueG1sUEsFBgAAAAAGAAYAWQEAAKkFAAAAAA==&#10;">
                  <v:fill on="t" focussize="0,0"/>
                  <v:stroke color="#000000" joinstyle="miter"/>
                  <v:imagedata o:title=""/>
                  <o:lock v:ext="edit" aspectratio="f"/>
                  <v:textbox>
                    <w:txbxContent>
                      <w:p>
                        <w:pPr>
                          <w:jc w:val="center"/>
                          <w:rPr>
                            <w:rFonts w:hint="default" w:eastAsia="宋体"/>
                            <w:sz w:val="21"/>
                            <w:szCs w:val="21"/>
                            <w:lang w:val="en-US" w:eastAsia="zh-CN"/>
                          </w:rPr>
                        </w:pPr>
                        <w:r>
                          <w:rPr>
                            <w:rFonts w:hint="eastAsia" w:eastAsia="宋体"/>
                            <w:sz w:val="21"/>
                            <w:szCs w:val="21"/>
                            <w:lang w:val="en-US" w:eastAsia="zh-CN"/>
                          </w:rPr>
                          <w:t>污水处理站</w:t>
                        </w:r>
                      </w:p>
                    </w:txbxContent>
                  </v:textbox>
                </v:shape>
                <v:shape id="_x0000_s1026" o:spid="_x0000_s1026" o:spt="202" type="#_x0000_t202" style="position:absolute;left:1541145;top:287020;height:266700;width:787400;" filled="f" stroked="f" coordsize="21600,21600" o:gfxdata="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EIm&#10;scXTAAAABQEAAA8AAAAAAAAAAQAgAAAAIgAAAGRycy9kb3ducmV2LnhtbFBLAQIUABQAAAAIAIdO&#10;4kCb8aVgtgEAAFwDAAAOAAAAAAAAAAEAIAAAACIBAABkcnMvZTJvRG9jLnhtbFBLBQYAAAAABgAG&#10;AFkBAABKBQAAAAA=&#10;">
                  <v:fill on="f" focussize="0,0"/>
                  <v:stroke on="f"/>
                  <v:imagedata o:title=""/>
                  <o:lock v:ext="edit" aspectratio="f"/>
                  <v:textbox>
                    <w:txbxContent>
                      <w:p>
                        <w:pPr>
                          <w:jc w:val="center"/>
                          <w:rPr>
                            <w:rFonts w:hint="default" w:eastAsia="宋体"/>
                            <w:sz w:val="21"/>
                            <w:szCs w:val="21"/>
                            <w:lang w:val="en-US" w:eastAsia="zh-CN"/>
                          </w:rPr>
                        </w:pPr>
                        <w:r>
                          <w:rPr>
                            <w:rFonts w:hint="eastAsia" w:eastAsia="宋体"/>
                            <w:sz w:val="21"/>
                            <w:szCs w:val="21"/>
                            <w:lang w:val="en-US" w:eastAsia="zh-CN"/>
                          </w:rPr>
                          <w:t>初期雨水</w:t>
                        </w:r>
                      </w:p>
                    </w:txbxContent>
                  </v:textbox>
                </v:shape>
                <v:shape id="_x0000_s1026" o:spid="_x0000_s1026" o:spt="202" type="#_x0000_t202" style="position:absolute;left:4104005;top:168910;height:266700;width:558800;" fillcolor="#FFFFFF" filled="t" stroked="f" coordsize="21600,21600" o:gfxdata="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XqpP1AAAAAUBAAAPAAAAAAAAAAEAIAAAACIAAABkcnMvZG93&#10;bnJldi54bWxQSwECFAAUAAAACACHTuJAn908lssBAACFAwAADgAAAAAAAAABACAAAAAjAQAAZHJz&#10;L2Uyb0RvYy54bWxQSwUGAAAAAAYABgBZAQAAYAUAAAAA&#10;">
                  <v:fill on="t" focussize="0,0"/>
                  <v:stroke on="f"/>
                  <v:imagedata o:title=""/>
                  <o:lock v:ext="edit" aspectratio="f"/>
                  <v:textbox>
                    <w:txbxContent>
                      <w:p>
                        <w:pPr>
                          <w:jc w:val="center"/>
                          <w:rPr>
                            <w:rFonts w:hint="default" w:eastAsia="宋体"/>
                            <w:sz w:val="21"/>
                            <w:szCs w:val="21"/>
                            <w:lang w:val="en-US" w:eastAsia="zh-CN"/>
                          </w:rPr>
                        </w:pPr>
                        <w:r>
                          <w:rPr>
                            <w:rFonts w:hint="eastAsia" w:eastAsia="宋体"/>
                            <w:sz w:val="21"/>
                            <w:szCs w:val="21"/>
                            <w:lang w:val="en-US" w:eastAsia="zh-CN"/>
                          </w:rPr>
                          <w:t>回用</w:t>
                        </w:r>
                      </w:p>
                    </w:txbxContent>
                  </v:textbox>
                </v:shape>
                <w10:wrap type="none"/>
                <w10:anchorlock/>
              </v:group>
            </w:pict>
          </mc:Fallback>
        </mc:AlternateContent>
      </w:r>
    </w:p>
    <w:p>
      <w:pPr>
        <w:spacing w:before="190"/>
        <w:ind w:firstLine="480"/>
        <w:jc w:val="center"/>
        <w:rPr>
          <w:rFonts w:hint="eastAsia" w:ascii="宋体" w:hAnsi="宋体" w:eastAsia="宋体" w:cs="Times New Roman"/>
          <w:b/>
          <w:bCs/>
          <w:sz w:val="21"/>
          <w:szCs w:val="21"/>
        </w:rPr>
      </w:pPr>
      <w:r>
        <w:rPr>
          <w:rFonts w:hint="eastAsia" w:ascii="宋体" w:hAnsi="宋体" w:eastAsia="宋体" w:cs="Times New Roman"/>
          <w:b/>
          <w:bCs/>
          <w:sz w:val="21"/>
          <w:szCs w:val="21"/>
        </w:rPr>
        <w:t>图</w:t>
      </w:r>
      <w:r>
        <w:rPr>
          <w:rFonts w:hint="eastAsia" w:ascii="宋体" w:hAnsi="宋体" w:cs="Times New Roman"/>
          <w:b/>
          <w:bCs/>
          <w:sz w:val="21"/>
          <w:szCs w:val="21"/>
          <w:lang w:val="en-US" w:eastAsia="zh-CN"/>
        </w:rPr>
        <w:t>2.2-5</w:t>
      </w:r>
      <w:r>
        <w:rPr>
          <w:rFonts w:hint="eastAsia" w:ascii="宋体" w:hAnsi="宋体" w:eastAsia="宋体" w:cs="Times New Roman"/>
          <w:b/>
          <w:bCs/>
          <w:sz w:val="21"/>
          <w:szCs w:val="21"/>
        </w:rPr>
        <w:t xml:space="preserve"> 雨水处理工艺流程图</w:t>
      </w:r>
    </w:p>
    <w:p>
      <w:pPr>
        <w:spacing w:before="120" w:beforeLines="50" w:line="360" w:lineRule="auto"/>
        <w:outlineLvl w:val="2"/>
        <w:rPr>
          <w:b/>
          <w:sz w:val="28"/>
          <w:szCs w:val="28"/>
        </w:rPr>
      </w:pPr>
      <w:bookmarkStart w:id="35" w:name="_Toc30110"/>
      <w:r>
        <w:rPr>
          <w:rFonts w:hint="eastAsia"/>
          <w:b/>
          <w:sz w:val="28"/>
          <w:szCs w:val="28"/>
        </w:rPr>
        <w:t>2</w:t>
      </w:r>
      <w:r>
        <w:rPr>
          <w:b/>
          <w:sz w:val="28"/>
          <w:szCs w:val="28"/>
        </w:rPr>
        <w:t>.</w:t>
      </w:r>
      <w:r>
        <w:rPr>
          <w:rFonts w:hint="eastAsia"/>
          <w:b/>
          <w:sz w:val="28"/>
          <w:szCs w:val="28"/>
          <w:lang w:val="en-US" w:eastAsia="zh-CN"/>
        </w:rPr>
        <w:t>2.</w:t>
      </w:r>
      <w:r>
        <w:rPr>
          <w:b/>
          <w:sz w:val="28"/>
          <w:szCs w:val="28"/>
        </w:rPr>
        <w:t>3固体废物排放及处置</w:t>
      </w:r>
      <w:bookmarkEnd w:id="35"/>
    </w:p>
    <w:p>
      <w:pPr>
        <w:keepNext w:val="0"/>
        <w:keepLines w:val="0"/>
        <w:pageBreakBefore w:val="0"/>
        <w:widowControl w:val="0"/>
        <w:kinsoku/>
        <w:wordWrap/>
        <w:overflowPunct/>
        <w:topLinePunct w:val="0"/>
        <w:autoSpaceDE/>
        <w:autoSpaceDN/>
        <w:bidi w:val="0"/>
        <w:adjustRightInd w:val="0"/>
        <w:snapToGrid w:val="0"/>
        <w:spacing w:before="0" w:line="360" w:lineRule="auto"/>
        <w:ind w:firstLine="482"/>
        <w:textAlignment w:val="auto"/>
        <w:rPr>
          <w:rFonts w:hint="eastAsia" w:ascii="仿宋_GB2312" w:eastAsia="仿宋_GB2312"/>
          <w:sz w:val="24"/>
          <w:szCs w:val="24"/>
          <w:lang w:eastAsia="zh-CN"/>
        </w:rPr>
      </w:pPr>
      <w:r>
        <w:rPr>
          <w:rFonts w:hint="eastAsia" w:ascii="仿宋_GB2312" w:eastAsia="仿宋_GB2312"/>
          <w:sz w:val="24"/>
          <w:szCs w:val="24"/>
          <w:lang w:eastAsia="zh-CN"/>
        </w:rPr>
        <w:t>翁源县中源发展有限公司主要固体废物如下：</w:t>
      </w:r>
    </w:p>
    <w:p>
      <w:pPr>
        <w:pStyle w:val="2"/>
        <w:keepNext w:val="0"/>
        <w:keepLines w:val="0"/>
        <w:pageBreakBefore w:val="0"/>
        <w:widowControl w:val="0"/>
        <w:kinsoku/>
        <w:wordWrap/>
        <w:overflowPunct/>
        <w:topLinePunct w:val="0"/>
        <w:autoSpaceDE w:val="0"/>
        <w:autoSpaceDN w:val="0"/>
        <w:bidi w:val="0"/>
        <w:adjustRightInd w:val="0"/>
        <w:snapToGrid w:val="0"/>
        <w:spacing w:before="192" w:beforeLines="50" w:line="360" w:lineRule="auto"/>
        <w:jc w:val="center"/>
        <w:textAlignment w:val="auto"/>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表</w:t>
      </w:r>
      <w:r>
        <w:rPr>
          <w:rFonts w:hint="eastAsia" w:hAnsi="宋体" w:cs="宋体"/>
          <w:b/>
          <w:bCs/>
          <w:sz w:val="21"/>
          <w:szCs w:val="21"/>
          <w:lang w:val="en-US" w:eastAsia="zh-CN"/>
        </w:rPr>
        <w:t>2.2-1</w:t>
      </w:r>
      <w:r>
        <w:rPr>
          <w:rFonts w:hint="eastAsia" w:ascii="宋体" w:hAnsi="宋体" w:eastAsia="宋体" w:cs="宋体"/>
          <w:b/>
          <w:bCs/>
          <w:sz w:val="21"/>
          <w:szCs w:val="21"/>
          <w:lang w:val="en-US" w:eastAsia="zh-CN"/>
        </w:rPr>
        <w:t xml:space="preserve"> 一般工业固体废物处置情况</w:t>
      </w:r>
      <w:r>
        <w:rPr>
          <w:rFonts w:hint="eastAsia" w:hAnsi="宋体" w:eastAsia="宋体" w:cs="宋体"/>
          <w:b/>
          <w:bCs/>
          <w:sz w:val="21"/>
          <w:szCs w:val="21"/>
          <w:lang w:val="en-US" w:eastAsia="zh-CN"/>
        </w:rPr>
        <w:t>表</w:t>
      </w:r>
    </w:p>
    <w:tbl>
      <w:tblPr>
        <w:tblStyle w:val="32"/>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99"/>
        <w:gridCol w:w="3663"/>
        <w:gridCol w:w="415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序号</w:t>
            </w:r>
          </w:p>
        </w:tc>
        <w:tc>
          <w:tcPr>
            <w:tcW w:w="214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一般固体废弃物</w:t>
            </w:r>
          </w:p>
        </w:tc>
        <w:tc>
          <w:tcPr>
            <w:tcW w:w="2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处置措施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214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生产过程除尘器收集的粉尘</w:t>
            </w:r>
          </w:p>
        </w:tc>
        <w:tc>
          <w:tcPr>
            <w:tcW w:w="2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全部综合利用或回收于工艺中再利用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214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路边洒落的熟料、水泥粉尘、煤粉</w:t>
            </w:r>
          </w:p>
        </w:tc>
        <w:tc>
          <w:tcPr>
            <w:tcW w:w="2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由所属车间将其回收利用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41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214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较大物料，如熟料、水泥结块、粉尘结块等</w:t>
            </w:r>
          </w:p>
        </w:tc>
        <w:tc>
          <w:tcPr>
            <w:tcW w:w="2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经筛选堆放到破碎口旁边的指定位置，经破碎后作为混合材搭配使用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41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214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生料输送回转筛筛出的石块、石粒等以及各车间周边道路洒落的大小石块</w:t>
            </w:r>
          </w:p>
        </w:tc>
        <w:tc>
          <w:tcPr>
            <w:tcW w:w="2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由所属车间或原料车间清洁回收，送石块破碎机破碎处理后作原材料使用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214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废水处理站产生的污泥</w:t>
            </w:r>
          </w:p>
        </w:tc>
        <w:tc>
          <w:tcPr>
            <w:tcW w:w="2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作原材料使用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41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w:t>
            </w:r>
          </w:p>
        </w:tc>
        <w:tc>
          <w:tcPr>
            <w:tcW w:w="214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耐火材料</w:t>
            </w:r>
          </w:p>
        </w:tc>
        <w:tc>
          <w:tcPr>
            <w:tcW w:w="2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由供应商郑州瑞泰耐火科技有限公司定期回收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w:t>
            </w:r>
          </w:p>
        </w:tc>
        <w:tc>
          <w:tcPr>
            <w:tcW w:w="214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生活办公垃圾</w:t>
            </w:r>
          </w:p>
        </w:tc>
        <w:tc>
          <w:tcPr>
            <w:tcW w:w="2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由环卫部门统一运走处理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w:t>
            </w:r>
          </w:p>
        </w:tc>
        <w:tc>
          <w:tcPr>
            <w:tcW w:w="214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废机油桶、废包装桶</w:t>
            </w:r>
          </w:p>
        </w:tc>
        <w:tc>
          <w:tcPr>
            <w:tcW w:w="2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line="288"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交由有资质的单位处理</w:t>
            </w:r>
          </w:p>
        </w:tc>
      </w:tr>
    </w:tbl>
    <w:p>
      <w:pPr>
        <w:spacing w:before="120" w:beforeLines="50" w:line="360" w:lineRule="auto"/>
        <w:outlineLvl w:val="2"/>
        <w:rPr>
          <w:b/>
          <w:sz w:val="28"/>
          <w:szCs w:val="28"/>
        </w:rPr>
      </w:pPr>
      <w:bookmarkStart w:id="36" w:name="_Toc19258"/>
      <w:r>
        <w:rPr>
          <w:rFonts w:hint="eastAsia"/>
          <w:b/>
          <w:sz w:val="28"/>
          <w:szCs w:val="28"/>
        </w:rPr>
        <w:t>2</w:t>
      </w:r>
      <w:r>
        <w:rPr>
          <w:b/>
          <w:sz w:val="28"/>
          <w:szCs w:val="28"/>
        </w:rPr>
        <w:t>.</w:t>
      </w:r>
      <w:r>
        <w:rPr>
          <w:rFonts w:hint="eastAsia"/>
          <w:b/>
          <w:sz w:val="28"/>
          <w:szCs w:val="28"/>
          <w:lang w:val="en-US" w:eastAsia="zh-CN"/>
        </w:rPr>
        <w:t>2</w:t>
      </w:r>
      <w:r>
        <w:rPr>
          <w:b/>
          <w:sz w:val="28"/>
          <w:szCs w:val="28"/>
        </w:rPr>
        <w:t>.4噪声污染源排查及综合噪声控制</w:t>
      </w:r>
      <w:bookmarkEnd w:id="36"/>
    </w:p>
    <w:p>
      <w:pPr>
        <w:pStyle w:val="2"/>
        <w:spacing w:line="360" w:lineRule="auto"/>
        <w:ind w:firstLine="480" w:firstLineChars="200"/>
        <w:rPr>
          <w:rFonts w:eastAsia="仿宋_GB2312"/>
        </w:rPr>
      </w:pPr>
      <w:r>
        <w:rPr>
          <w:rFonts w:hint="eastAsia" w:eastAsia="仿宋_GB2312"/>
          <w:sz w:val="24"/>
        </w:rPr>
        <w:t>本公司噪声主要为机械设备运行时产生的噪声。采取合理布局、基础减振及加强绿化等措施，降低噪声对外界的影响。</w:t>
      </w:r>
    </w:p>
    <w:p>
      <w:pPr>
        <w:spacing w:before="240" w:beforeLines="100" w:line="360" w:lineRule="auto"/>
        <w:outlineLvl w:val="1"/>
        <w:rPr>
          <w:b/>
          <w:sz w:val="30"/>
          <w:szCs w:val="30"/>
        </w:rPr>
      </w:pPr>
      <w:bookmarkStart w:id="37" w:name="_Toc23658"/>
      <w:r>
        <w:rPr>
          <w:rFonts w:hint="eastAsia"/>
          <w:b/>
          <w:sz w:val="30"/>
          <w:szCs w:val="30"/>
        </w:rPr>
        <w:t>2</w:t>
      </w:r>
      <w:r>
        <w:rPr>
          <w:b/>
          <w:sz w:val="30"/>
          <w:szCs w:val="30"/>
        </w:rPr>
        <w:t>.</w:t>
      </w:r>
      <w:r>
        <w:rPr>
          <w:rFonts w:hint="eastAsia"/>
          <w:b/>
          <w:sz w:val="30"/>
          <w:szCs w:val="30"/>
        </w:rPr>
        <w:t>3批复及实施情况</w:t>
      </w:r>
      <w:bookmarkEnd w:id="37"/>
    </w:p>
    <w:p>
      <w:pPr>
        <w:spacing w:before="120" w:beforeLines="50" w:line="360" w:lineRule="auto"/>
        <w:ind w:firstLine="480" w:firstLineChars="200"/>
        <w:rPr>
          <w:rFonts w:ascii="宋体" w:eastAsia="仿宋_GB2312" w:cs="宋体"/>
          <w:color w:val="000000"/>
          <w:kern w:val="0"/>
          <w:sz w:val="24"/>
        </w:rPr>
      </w:pPr>
      <w:r>
        <w:rPr>
          <w:rFonts w:hint="eastAsia" w:eastAsia="仿宋_GB2312"/>
          <w:sz w:val="24"/>
          <w:lang w:eastAsia="zh-CN"/>
        </w:rPr>
        <w:t>翁源县中源发展有限公司</w:t>
      </w:r>
      <w:r>
        <w:rPr>
          <w:rFonts w:hint="eastAsia" w:ascii="宋体" w:eastAsia="仿宋_GB2312" w:cs="宋体"/>
          <w:color w:val="000000"/>
          <w:kern w:val="0"/>
          <w:sz w:val="24"/>
        </w:rPr>
        <w:t>严格按照《环境影响评价法》及《建设项目竣工环境保护验收暂行办法》要求，实行建设项目环境影响评价制度，取得环评审批文件。落实了</w:t>
      </w:r>
      <w:r>
        <w:rPr>
          <w:rFonts w:ascii="宋体" w:eastAsia="仿宋_GB2312" w:cs="宋体"/>
          <w:color w:val="000000"/>
          <w:kern w:val="0"/>
          <w:sz w:val="24"/>
        </w:rPr>
        <w:t>“</w:t>
      </w:r>
      <w:r>
        <w:rPr>
          <w:rFonts w:hint="eastAsia" w:ascii="宋体" w:eastAsia="仿宋_GB2312" w:cs="宋体"/>
          <w:color w:val="000000"/>
          <w:kern w:val="0"/>
          <w:sz w:val="24"/>
        </w:rPr>
        <w:t>三同时</w:t>
      </w:r>
      <w:r>
        <w:rPr>
          <w:rFonts w:ascii="宋体" w:eastAsia="仿宋_GB2312" w:cs="宋体"/>
          <w:color w:val="000000"/>
          <w:kern w:val="0"/>
          <w:sz w:val="24"/>
        </w:rPr>
        <w:t>”</w:t>
      </w:r>
      <w:r>
        <w:rPr>
          <w:rFonts w:hint="eastAsia" w:ascii="宋体" w:eastAsia="仿宋_GB2312" w:cs="宋体"/>
          <w:color w:val="000000"/>
          <w:kern w:val="0"/>
          <w:sz w:val="24"/>
        </w:rPr>
        <w:t>制度，通过了环保竣工自主验收。取得的环保文件如下：</w:t>
      </w:r>
    </w:p>
    <w:p>
      <w:pPr>
        <w:overflowPunct w:val="0"/>
        <w:adjustRightInd w:val="0"/>
        <w:snapToGrid w:val="0"/>
        <w:spacing w:line="360" w:lineRule="auto"/>
        <w:ind w:firstLine="422"/>
        <w:contextualSpacing/>
        <w:jc w:val="center"/>
        <w:rPr>
          <w:rFonts w:hint="eastAsia"/>
          <w:b/>
          <w:bCs/>
          <w:szCs w:val="21"/>
        </w:rPr>
      </w:pPr>
      <w:r>
        <w:rPr>
          <w:rFonts w:hint="eastAsia"/>
          <w:b/>
          <w:bCs/>
          <w:szCs w:val="21"/>
        </w:rPr>
        <w:t>表2.3-1</w:t>
      </w:r>
      <w:r>
        <w:rPr>
          <w:b/>
          <w:bCs/>
          <w:szCs w:val="21"/>
        </w:rPr>
        <w:t xml:space="preserve"> </w:t>
      </w:r>
      <w:r>
        <w:rPr>
          <w:rFonts w:hint="eastAsia"/>
          <w:b/>
          <w:bCs/>
          <w:szCs w:val="21"/>
        </w:rPr>
        <w:t>公司环境影响评价制度执行情况</w:t>
      </w:r>
    </w:p>
    <w:tbl>
      <w:tblPr>
        <w:tblStyle w:val="33"/>
        <w:tblW w:w="82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3"/>
        <w:gridCol w:w="3637"/>
        <w:gridCol w:w="1235"/>
        <w:gridCol w:w="1315"/>
        <w:gridCol w:w="13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atLeast"/>
          <w:jc w:val="center"/>
        </w:trPr>
        <w:tc>
          <w:tcPr>
            <w:tcW w:w="773"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szCs w:val="21"/>
              </w:rPr>
            </w:pPr>
            <w:r>
              <w:rPr>
                <w:rFonts w:hint="eastAsia"/>
                <w:szCs w:val="21"/>
              </w:rPr>
              <w:t>序号</w:t>
            </w:r>
          </w:p>
        </w:tc>
        <w:tc>
          <w:tcPr>
            <w:tcW w:w="3637"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szCs w:val="21"/>
              </w:rPr>
            </w:pPr>
            <w:r>
              <w:rPr>
                <w:szCs w:val="21"/>
              </w:rPr>
              <w:t>文件名称</w:t>
            </w:r>
          </w:p>
        </w:tc>
        <w:tc>
          <w:tcPr>
            <w:tcW w:w="1235"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szCs w:val="21"/>
              </w:rPr>
            </w:pPr>
            <w:r>
              <w:rPr>
                <w:rFonts w:hint="eastAsia"/>
                <w:szCs w:val="21"/>
              </w:rPr>
              <w:t>获取</w:t>
            </w:r>
            <w:r>
              <w:rPr>
                <w:szCs w:val="21"/>
              </w:rPr>
              <w:t>时间</w:t>
            </w:r>
          </w:p>
        </w:tc>
        <w:tc>
          <w:tcPr>
            <w:tcW w:w="1315"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szCs w:val="21"/>
              </w:rPr>
            </w:pPr>
            <w:r>
              <w:rPr>
                <w:szCs w:val="21"/>
              </w:rPr>
              <w:t>单位</w:t>
            </w:r>
          </w:p>
        </w:tc>
        <w:tc>
          <w:tcPr>
            <w:tcW w:w="1313"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szCs w:val="21"/>
              </w:rPr>
            </w:pPr>
            <w:r>
              <w:rPr>
                <w:szCs w:val="21"/>
              </w:rPr>
              <w:t>主要内容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8" w:hRule="atLeast"/>
          <w:jc w:val="center"/>
        </w:trPr>
        <w:tc>
          <w:tcPr>
            <w:tcW w:w="773"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rFonts w:ascii="Times New Roman" w:hAnsi="Times New Roman" w:eastAsia="宋体" w:cs="Times New Roman"/>
                <w:szCs w:val="21"/>
              </w:rPr>
            </w:pPr>
            <w:r>
              <w:rPr>
                <w:rFonts w:hint="eastAsia" w:ascii="Times New Roman" w:hAnsi="Times New Roman" w:eastAsia="宋体" w:cs="Times New Roman"/>
                <w:szCs w:val="21"/>
              </w:rPr>
              <w:t>1</w:t>
            </w:r>
          </w:p>
        </w:tc>
        <w:tc>
          <w:tcPr>
            <w:tcW w:w="3637"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rFonts w:ascii="Times New Roman" w:hAnsi="Times New Roman" w:eastAsia="宋体" w:cs="Times New Roman"/>
                <w:szCs w:val="21"/>
              </w:rPr>
            </w:pPr>
            <w:r>
              <w:rPr>
                <w:rFonts w:hint="eastAsia" w:ascii="Times New Roman" w:hAnsi="Times New Roman" w:eastAsia="宋体" w:cs="Times New Roman"/>
                <w:szCs w:val="21"/>
              </w:rPr>
              <w:t>《关于广东省翁源县翁源县中源发展有限公司 5000 吨/日熟料水泥生产线建设工程环境影响报告书的批复》（环审[2005]1014 号）</w:t>
            </w:r>
          </w:p>
        </w:tc>
        <w:tc>
          <w:tcPr>
            <w:tcW w:w="1235"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rFonts w:hint="default" w:eastAsia="宋体"/>
                <w:szCs w:val="21"/>
                <w:lang w:val="en-US" w:eastAsia="zh-CN"/>
              </w:rPr>
            </w:pPr>
            <w:r>
              <w:rPr>
                <w:rFonts w:hint="eastAsia"/>
                <w:szCs w:val="21"/>
              </w:rPr>
              <w:t>20</w:t>
            </w:r>
            <w:r>
              <w:rPr>
                <w:rFonts w:hint="eastAsia"/>
                <w:szCs w:val="21"/>
                <w:lang w:val="en-US" w:eastAsia="zh-CN"/>
              </w:rPr>
              <w:t>05.12</w:t>
            </w:r>
          </w:p>
        </w:tc>
        <w:tc>
          <w:tcPr>
            <w:tcW w:w="1315"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color w:val="000000"/>
                <w:szCs w:val="21"/>
              </w:rPr>
            </w:pPr>
            <w:r>
              <w:rPr>
                <w:rFonts w:hint="eastAsia"/>
                <w:szCs w:val="21"/>
              </w:rPr>
              <w:t>国家环境保护总局</w:t>
            </w:r>
          </w:p>
        </w:tc>
        <w:tc>
          <w:tcPr>
            <w:tcW w:w="1313"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color w:val="000000"/>
                <w:szCs w:val="21"/>
              </w:rPr>
            </w:pPr>
            <w:r>
              <w:rPr>
                <w:color w:val="000000"/>
                <w:szCs w:val="21"/>
              </w:rPr>
              <w:t>同意项目建设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jc w:val="center"/>
        </w:trPr>
        <w:tc>
          <w:tcPr>
            <w:tcW w:w="773"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color w:val="000000"/>
                <w:szCs w:val="21"/>
              </w:rPr>
            </w:pPr>
            <w:r>
              <w:rPr>
                <w:rFonts w:hint="eastAsia"/>
                <w:color w:val="000000"/>
                <w:szCs w:val="21"/>
              </w:rPr>
              <w:t>2</w:t>
            </w:r>
          </w:p>
        </w:tc>
        <w:tc>
          <w:tcPr>
            <w:tcW w:w="3637"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szCs w:val="21"/>
              </w:rPr>
            </w:pPr>
            <w:r>
              <w:rPr>
                <w:rFonts w:hint="eastAsia"/>
                <w:szCs w:val="21"/>
              </w:rPr>
              <w:t>关于翁源县中源发展有限公司改扩建 4000t/d 石灰石及石灰石粉生产线项目环境影响报告表的批复</w:t>
            </w:r>
            <w:r>
              <w:rPr>
                <w:rFonts w:hint="eastAsia" w:ascii="Times New Roman" w:hAnsi="Times New Roman" w:eastAsia="宋体" w:cs="Times New Roman"/>
                <w:szCs w:val="21"/>
              </w:rPr>
              <w:t>（</w:t>
            </w:r>
            <w:r>
              <w:rPr>
                <w:rFonts w:hint="eastAsia" w:cs="Times New Roman"/>
                <w:szCs w:val="21"/>
                <w:lang w:val="en-US" w:eastAsia="zh-CN"/>
              </w:rPr>
              <w:t>翁</w:t>
            </w:r>
            <w:r>
              <w:rPr>
                <w:rFonts w:hint="eastAsia" w:ascii="Times New Roman" w:hAnsi="Times New Roman" w:eastAsia="宋体" w:cs="Times New Roman"/>
                <w:szCs w:val="21"/>
              </w:rPr>
              <w:t>环审【20</w:t>
            </w:r>
            <w:r>
              <w:rPr>
                <w:rFonts w:hint="eastAsia" w:cs="Times New Roman"/>
                <w:szCs w:val="21"/>
                <w:lang w:val="en-US" w:eastAsia="zh-CN"/>
              </w:rPr>
              <w:t>19</w:t>
            </w:r>
            <w:r>
              <w:rPr>
                <w:rFonts w:hint="eastAsia" w:ascii="Times New Roman" w:hAnsi="Times New Roman" w:eastAsia="宋体" w:cs="Times New Roman"/>
                <w:szCs w:val="21"/>
              </w:rPr>
              <w:t>】</w:t>
            </w:r>
            <w:r>
              <w:rPr>
                <w:rFonts w:hint="eastAsia" w:cs="Times New Roman"/>
                <w:szCs w:val="21"/>
                <w:lang w:val="en-US" w:eastAsia="zh-CN"/>
              </w:rPr>
              <w:t>22</w:t>
            </w:r>
            <w:r>
              <w:rPr>
                <w:rFonts w:hint="eastAsia" w:ascii="Times New Roman" w:hAnsi="Times New Roman" w:eastAsia="宋体" w:cs="Times New Roman"/>
                <w:szCs w:val="21"/>
              </w:rPr>
              <w:t>号）</w:t>
            </w:r>
          </w:p>
        </w:tc>
        <w:tc>
          <w:tcPr>
            <w:tcW w:w="1235"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rFonts w:hint="default" w:eastAsia="宋体"/>
                <w:szCs w:val="21"/>
                <w:lang w:val="en-US" w:eastAsia="zh-CN"/>
              </w:rPr>
            </w:pPr>
            <w:r>
              <w:rPr>
                <w:rFonts w:hint="eastAsia"/>
                <w:szCs w:val="21"/>
              </w:rPr>
              <w:t>20</w:t>
            </w:r>
            <w:r>
              <w:rPr>
                <w:rFonts w:hint="eastAsia"/>
                <w:szCs w:val="21"/>
                <w:lang w:val="en-US" w:eastAsia="zh-CN"/>
              </w:rPr>
              <w:t>19.7</w:t>
            </w:r>
          </w:p>
        </w:tc>
        <w:tc>
          <w:tcPr>
            <w:tcW w:w="1315"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rFonts w:hint="default" w:eastAsia="宋体"/>
                <w:szCs w:val="21"/>
                <w:lang w:val="en-US" w:eastAsia="zh-CN"/>
              </w:rPr>
            </w:pPr>
            <w:r>
              <w:rPr>
                <w:rFonts w:hint="eastAsia"/>
                <w:szCs w:val="21"/>
                <w:lang w:val="en-US" w:eastAsia="zh-CN"/>
              </w:rPr>
              <w:t>韶关市生态环境局翁源分局</w:t>
            </w:r>
          </w:p>
        </w:tc>
        <w:tc>
          <w:tcPr>
            <w:tcW w:w="1313" w:type="dxa"/>
            <w:tcBorders>
              <w:top w:val="single" w:color="auto" w:sz="4" w:space="0"/>
              <w:left w:val="single" w:color="auto" w:sz="4" w:space="0"/>
              <w:bottom w:val="single" w:color="auto" w:sz="4" w:space="0"/>
              <w:right w:val="single" w:color="auto" w:sz="4" w:space="0"/>
            </w:tcBorders>
            <w:vAlign w:val="center"/>
          </w:tcPr>
          <w:p>
            <w:pPr>
              <w:spacing w:before="120" w:after="120"/>
              <w:jc w:val="center"/>
              <w:rPr>
                <w:color w:val="000000"/>
                <w:szCs w:val="21"/>
              </w:rPr>
            </w:pPr>
            <w:r>
              <w:rPr>
                <w:color w:val="000000"/>
                <w:szCs w:val="21"/>
              </w:rPr>
              <w:t>同意项目建设</w:t>
            </w:r>
          </w:p>
        </w:tc>
      </w:tr>
    </w:tbl>
    <w:p>
      <w:pPr>
        <w:pStyle w:val="2"/>
        <w:rPr>
          <w:rFonts w:hint="eastAsia"/>
          <w:b/>
          <w:bCs/>
          <w:szCs w:val="21"/>
        </w:rPr>
      </w:pPr>
    </w:p>
    <w:p>
      <w:pPr>
        <w:spacing w:before="120" w:beforeLines="50" w:line="360" w:lineRule="auto"/>
        <w:outlineLvl w:val="1"/>
        <w:rPr>
          <w:b/>
          <w:sz w:val="30"/>
          <w:szCs w:val="30"/>
        </w:rPr>
      </w:pPr>
      <w:bookmarkStart w:id="38" w:name="_Toc4033"/>
      <w:r>
        <w:rPr>
          <w:b/>
          <w:sz w:val="30"/>
          <w:szCs w:val="30"/>
        </w:rPr>
        <w:t>2.</w:t>
      </w:r>
      <w:r>
        <w:rPr>
          <w:rFonts w:hint="eastAsia"/>
          <w:b/>
          <w:sz w:val="30"/>
          <w:szCs w:val="30"/>
        </w:rPr>
        <w:t>4企业周边环境状况介绍</w:t>
      </w:r>
      <w:bookmarkEnd w:id="38"/>
    </w:p>
    <w:p>
      <w:pPr>
        <w:spacing w:before="120" w:beforeLines="50" w:line="360" w:lineRule="auto"/>
        <w:outlineLvl w:val="2"/>
        <w:rPr>
          <w:b/>
          <w:sz w:val="28"/>
          <w:szCs w:val="28"/>
        </w:rPr>
      </w:pPr>
      <w:bookmarkStart w:id="39" w:name="_Toc10804"/>
      <w:r>
        <w:rPr>
          <w:rFonts w:hint="eastAsia"/>
          <w:b/>
          <w:sz w:val="28"/>
          <w:szCs w:val="28"/>
        </w:rPr>
        <w:t>2.4.1地理位置</w:t>
      </w:r>
      <w:bookmarkEnd w:id="39"/>
    </w:p>
    <w:p>
      <w:pPr>
        <w:spacing w:before="120" w:beforeLines="50" w:line="360" w:lineRule="auto"/>
        <w:ind w:firstLine="480" w:firstLineChars="200"/>
        <w:rPr>
          <w:rFonts w:hint="eastAsia" w:ascii="Times New Roman" w:hAnsi="Times New Roman" w:eastAsia="仿宋_GB2312" w:cs="Times New Roman"/>
          <w:sz w:val="24"/>
          <w:lang w:val="zh-CN"/>
        </w:rPr>
      </w:pPr>
      <w:r>
        <w:rPr>
          <w:rFonts w:hint="eastAsia" w:eastAsia="仿宋_GB2312"/>
          <w:sz w:val="24"/>
          <w:lang w:eastAsia="zh-CN"/>
        </w:rPr>
        <w:t>翁源县中源发展有限公司</w:t>
      </w:r>
      <w:r>
        <w:rPr>
          <w:rFonts w:eastAsia="仿宋_GB2312"/>
          <w:sz w:val="24"/>
        </w:rPr>
        <w:t>位于</w:t>
      </w:r>
      <w:r>
        <w:rPr>
          <w:rFonts w:hint="eastAsia" w:eastAsia="仿宋_GB2312"/>
          <w:sz w:val="24"/>
          <w:lang w:eastAsia="zh-CN"/>
        </w:rPr>
        <w:t>翁源县铁龙镇龙体工区</w:t>
      </w:r>
      <w:r>
        <w:rPr>
          <w:rFonts w:eastAsia="仿宋_GB2312"/>
          <w:sz w:val="24"/>
        </w:rPr>
        <w:t>，</w:t>
      </w:r>
      <w:r>
        <w:rPr>
          <w:rFonts w:hint="eastAsia" w:ascii="Times New Roman" w:hAnsi="Times New Roman" w:eastAsia="仿宋_GB2312" w:cs="Times New Roman"/>
          <w:sz w:val="24"/>
          <w:lang w:val="zh-CN"/>
        </w:rPr>
        <w:t>中心地理坐标为北纬2</w:t>
      </w:r>
      <w:r>
        <w:rPr>
          <w:rFonts w:hint="eastAsia" w:ascii="Times New Roman" w:hAnsi="Times New Roman" w:eastAsia="仿宋_GB2312" w:cs="Times New Roman"/>
          <w:sz w:val="24"/>
          <w:lang w:val="en-US" w:eastAsia="zh-CN"/>
        </w:rPr>
        <w:t>4</w:t>
      </w:r>
      <w:r>
        <w:rPr>
          <w:rFonts w:hint="eastAsia" w:ascii="Times New Roman" w:hAnsi="Times New Roman" w:eastAsia="仿宋_GB2312" w:cs="Times New Roman"/>
          <w:sz w:val="24"/>
          <w:lang w:val="zh-CN"/>
        </w:rPr>
        <w:t>°</w:t>
      </w:r>
      <w:r>
        <w:rPr>
          <w:rFonts w:hint="eastAsia" w:ascii="Times New Roman" w:hAnsi="Times New Roman" w:eastAsia="仿宋_GB2312" w:cs="Times New Roman"/>
          <w:sz w:val="24"/>
          <w:lang w:val="en-US" w:eastAsia="zh-CN"/>
        </w:rPr>
        <w:t>30</w:t>
      </w:r>
      <w:r>
        <w:rPr>
          <w:rFonts w:hint="eastAsia" w:ascii="Times New Roman" w:hAnsi="Times New Roman" w:eastAsia="仿宋_GB2312" w:cs="Times New Roman"/>
          <w:sz w:val="24"/>
          <w:lang w:val="zh-CN"/>
        </w:rPr>
        <w:t>′</w:t>
      </w:r>
      <w:r>
        <w:rPr>
          <w:rFonts w:hint="eastAsia" w:ascii="Times New Roman" w:hAnsi="Times New Roman" w:eastAsia="仿宋_GB2312" w:cs="Times New Roman"/>
          <w:sz w:val="24"/>
          <w:lang w:val="en-US" w:eastAsia="zh-CN"/>
        </w:rPr>
        <w:t>35</w:t>
      </w:r>
      <w:r>
        <w:rPr>
          <w:rFonts w:hint="eastAsia" w:ascii="Times New Roman" w:hAnsi="Times New Roman" w:eastAsia="仿宋_GB2312" w:cs="Times New Roman"/>
          <w:sz w:val="24"/>
          <w:lang w:val="zh-CN"/>
        </w:rPr>
        <w:t>″，东经113°</w:t>
      </w:r>
      <w:r>
        <w:rPr>
          <w:rFonts w:hint="eastAsia" w:ascii="Times New Roman" w:hAnsi="Times New Roman" w:eastAsia="仿宋_GB2312" w:cs="Times New Roman"/>
          <w:sz w:val="24"/>
          <w:lang w:val="en-US" w:eastAsia="zh-CN"/>
        </w:rPr>
        <w:t>40</w:t>
      </w:r>
      <w:r>
        <w:rPr>
          <w:rFonts w:hint="eastAsia" w:ascii="Times New Roman" w:hAnsi="Times New Roman" w:eastAsia="仿宋_GB2312" w:cs="Times New Roman"/>
          <w:sz w:val="24"/>
          <w:lang w:val="zh-CN"/>
        </w:rPr>
        <w:t>'</w:t>
      </w:r>
      <w:r>
        <w:rPr>
          <w:rFonts w:hint="eastAsia" w:ascii="Times New Roman" w:hAnsi="Times New Roman" w:eastAsia="仿宋_GB2312" w:cs="Times New Roman"/>
          <w:sz w:val="24"/>
          <w:lang w:val="en-US" w:eastAsia="zh-CN"/>
        </w:rPr>
        <w:t>17</w:t>
      </w:r>
      <w:r>
        <w:rPr>
          <w:rFonts w:hint="eastAsia" w:ascii="Times New Roman" w:hAnsi="Times New Roman" w:eastAsia="仿宋_GB2312" w:cs="Times New Roman"/>
          <w:sz w:val="24"/>
          <w:lang w:val="zh-CN"/>
        </w:rPr>
        <w:t>″。</w:t>
      </w:r>
    </w:p>
    <w:p>
      <w:pPr>
        <w:spacing w:before="120" w:beforeLines="50" w:line="360" w:lineRule="auto"/>
        <w:ind w:firstLine="480" w:firstLineChars="200"/>
        <w:rPr>
          <w:rFonts w:hint="eastAsia" w:eastAsia="仿宋_GB2312"/>
          <w:sz w:val="24"/>
        </w:rPr>
      </w:pPr>
      <w:r>
        <w:rPr>
          <w:rFonts w:hint="eastAsia" w:eastAsia="仿宋_GB2312"/>
          <w:sz w:val="24"/>
        </w:rPr>
        <w:t>翁源县位于广东省北部，韶关市东南部，东邻连平县，南接新丰县，西与英德市、曲江区接壤，北与始兴县、江西省毗邻，素有“粤北南大门”之称，是抗倭英雄陈璘故乡，是珠江三角洲通向内地的战略要地，韶关市对接广州融入珠三角的桥头堡。全县总面积2175平方公里。辖龙仙、江尾、坝仔、周陂、官渡、翁城、新江七镇和</w:t>
      </w:r>
      <w:r>
        <w:rPr>
          <w:rFonts w:hint="eastAsia" w:eastAsia="仿宋_GB2312"/>
          <w:sz w:val="24"/>
          <w:lang w:eastAsia="zh-CN"/>
        </w:rPr>
        <w:t>铁龙镇</w:t>
      </w:r>
      <w:r>
        <w:rPr>
          <w:rFonts w:hint="eastAsia" w:eastAsia="仿宋_GB2312"/>
          <w:sz w:val="24"/>
        </w:rPr>
        <w:t>。2017年年末户籍人口416486人。县城设在龙仙镇。</w:t>
      </w:r>
    </w:p>
    <w:p>
      <w:pPr>
        <w:pStyle w:val="2"/>
        <w:rPr>
          <w:rFonts w:hint="eastAsia" w:eastAsia="仿宋_GB2312"/>
          <w:sz w:val="24"/>
        </w:rPr>
      </w:pPr>
    </w:p>
    <w:p>
      <w:pPr>
        <w:pStyle w:val="2"/>
        <w:rPr>
          <w:rFonts w:hint="eastAsia" w:eastAsia="仿宋_GB2312"/>
          <w:sz w:val="24"/>
        </w:rPr>
      </w:pPr>
    </w:p>
    <w:p>
      <w:pPr>
        <w:spacing w:before="120" w:beforeLines="50" w:line="360" w:lineRule="auto"/>
        <w:outlineLvl w:val="2"/>
        <w:rPr>
          <w:b/>
          <w:sz w:val="28"/>
          <w:szCs w:val="28"/>
        </w:rPr>
      </w:pPr>
      <w:bookmarkStart w:id="40" w:name="_Toc16873"/>
      <w:r>
        <w:rPr>
          <w:b/>
          <w:sz w:val="28"/>
          <w:szCs w:val="28"/>
        </w:rPr>
        <w:t>2.</w:t>
      </w:r>
      <w:r>
        <w:rPr>
          <w:rFonts w:hint="eastAsia"/>
          <w:b/>
          <w:sz w:val="28"/>
          <w:szCs w:val="28"/>
        </w:rPr>
        <w:t>4.2地形、地质、地貌</w:t>
      </w:r>
      <w:bookmarkEnd w:id="40"/>
    </w:p>
    <w:p>
      <w:pPr>
        <w:adjustRightInd w:val="0"/>
        <w:snapToGrid w:val="0"/>
        <w:spacing w:before="120" w:beforeLines="50" w:line="360" w:lineRule="auto"/>
        <w:ind w:firstLine="480" w:firstLineChars="200"/>
        <w:rPr>
          <w:rFonts w:ascii="仿宋_GB2312" w:eastAsia="仿宋_GB2312"/>
          <w:sz w:val="24"/>
        </w:rPr>
      </w:pPr>
      <w:r>
        <w:rPr>
          <w:rFonts w:hint="eastAsia" w:ascii="仿宋_GB2312" w:eastAsia="仿宋_GB2312"/>
          <w:sz w:val="24"/>
        </w:rPr>
        <w:t>翁源县内属山区半丘陵地带，群山环抱，连绵起伏，山脉多为自东北~西南走向，地势亦自东北向西南倾斜。境内千米以上山峰有13座。最高峰是北部七星墩，海拔1300米；次为南部青云山，海拔1246米；东部雷公磷，海拔1219米；最低点是官渡，海拔100米；中部多为中低山脉及零散土丘。山地面积占全县总面积百分之八十左右，山脉之间多为中小型盆地及河流冲击的阶地，盆地方圆几十千米或几千米不等。由于中上石炭西壶天岩广泛分布于全县各地，在溶蚀作用下形成的喀斯特溶洞很多，全县发现较大溶洞107个。</w:t>
      </w:r>
    </w:p>
    <w:p>
      <w:pPr>
        <w:adjustRightInd w:val="0"/>
        <w:snapToGrid w:val="0"/>
        <w:spacing w:before="120" w:beforeLines="50" w:line="360" w:lineRule="auto"/>
        <w:ind w:firstLine="480" w:firstLineChars="200"/>
        <w:rPr>
          <w:rFonts w:ascii="仿宋_GB2312" w:eastAsia="仿宋_GB2312"/>
          <w:sz w:val="24"/>
        </w:rPr>
      </w:pPr>
      <w:r>
        <w:rPr>
          <w:rFonts w:hint="eastAsia" w:ascii="仿宋_GB2312" w:eastAsia="仿宋_GB2312"/>
          <w:sz w:val="24"/>
        </w:rPr>
        <w:t>翁源县地质构造绝大部分处于华夏活化陆台的湘粤褶皱带。岩石主要有石灰岩、红色砂砾岩、矿岩和花岗岩四大类。翁源地处粤北山字型构造东翼前弧，由于受到北面贵东岩体与南面佛岗岩体入侵影响，发育了一系列北东向挤压构造带。以后，由于新华夏构造的叠加，形成北东20°-30°的压性断裂和褶皱，北西向及近南北的张性断裂使区内构造显得较为复杂。</w:t>
      </w:r>
    </w:p>
    <w:p>
      <w:pPr>
        <w:adjustRightInd w:val="0"/>
        <w:snapToGrid w:val="0"/>
        <w:spacing w:before="120" w:beforeLines="50" w:line="360" w:lineRule="auto"/>
        <w:ind w:firstLine="480" w:firstLineChars="200"/>
        <w:rPr>
          <w:rFonts w:ascii="仿宋_GB2312" w:eastAsia="仿宋_GB2312"/>
          <w:color w:val="000000"/>
          <w:sz w:val="24"/>
        </w:rPr>
      </w:pPr>
      <w:r>
        <w:rPr>
          <w:rFonts w:hint="eastAsia" w:ascii="仿宋_GB2312" w:eastAsia="仿宋_GB2312"/>
          <w:sz w:val="24"/>
        </w:rPr>
        <w:t>主要地层自老到新地质年代有前泥盆系、泥盆系、石炭系、上三叠系、下供期系、上白垩系、第三系和第四系，主要地质构造有褶皱和断裂。</w:t>
      </w:r>
    </w:p>
    <w:p>
      <w:pPr>
        <w:spacing w:before="120" w:beforeLines="50" w:line="360" w:lineRule="auto"/>
        <w:outlineLvl w:val="2"/>
        <w:rPr>
          <w:b/>
          <w:sz w:val="28"/>
          <w:szCs w:val="28"/>
        </w:rPr>
      </w:pPr>
      <w:bookmarkStart w:id="41" w:name="_Toc30803"/>
      <w:r>
        <w:rPr>
          <w:b/>
          <w:sz w:val="28"/>
          <w:szCs w:val="28"/>
        </w:rPr>
        <w:t>2.</w:t>
      </w:r>
      <w:r>
        <w:rPr>
          <w:rFonts w:hint="eastAsia"/>
          <w:b/>
          <w:sz w:val="28"/>
          <w:szCs w:val="28"/>
        </w:rPr>
        <w:t>4.</w:t>
      </w:r>
      <w:r>
        <w:rPr>
          <w:b/>
          <w:sz w:val="28"/>
          <w:szCs w:val="28"/>
        </w:rPr>
        <w:t>3</w:t>
      </w:r>
      <w:r>
        <w:rPr>
          <w:rFonts w:hint="eastAsia"/>
          <w:b/>
          <w:sz w:val="28"/>
          <w:szCs w:val="28"/>
        </w:rPr>
        <w:t>气象、气候</w:t>
      </w:r>
      <w:bookmarkEnd w:id="41"/>
    </w:p>
    <w:p>
      <w:pPr>
        <w:spacing w:line="360" w:lineRule="auto"/>
        <w:ind w:firstLine="480" w:firstLineChars="200"/>
        <w:rPr>
          <w:rFonts w:ascii="仿宋_GB2312" w:eastAsia="仿宋_GB2312"/>
          <w:sz w:val="24"/>
        </w:rPr>
      </w:pPr>
      <w:r>
        <w:rPr>
          <w:rFonts w:hint="eastAsia" w:ascii="仿宋_GB2312" w:eastAsia="仿宋_GB2312"/>
          <w:sz w:val="24"/>
        </w:rPr>
        <w:t>翁源县地处亚热带，属亚热带季风气候区，夏长、冬短、春秋短暂；日照充足；年平均气温20.3℃，最高气温为39.2℃，最低-5.1℃，雨量充沛，年平均降雨量为1787.9mm；四季适宜耕作，四季分明，季节特征明显。</w:t>
      </w:r>
    </w:p>
    <w:p>
      <w:pPr>
        <w:spacing w:line="360" w:lineRule="auto"/>
        <w:ind w:firstLine="480" w:firstLineChars="200"/>
        <w:rPr>
          <w:rFonts w:ascii="仿宋_GB2312" w:eastAsia="仿宋_GB2312"/>
          <w:b/>
          <w:bCs/>
          <w:sz w:val="24"/>
        </w:rPr>
      </w:pPr>
      <w:r>
        <w:rPr>
          <w:rFonts w:hint="eastAsia" w:ascii="仿宋_GB2312" w:eastAsia="仿宋_GB2312"/>
          <w:sz w:val="24"/>
        </w:rPr>
        <w:t>季风明显，风向随季节而转变，夏季多偏南风，冬季多偏北风，春秋两季南北风交替；春季低温寡照，夏季高温多雨，秋季凉爽，冬季多霜；山地气候变化剧烈，局部性灾害严重；夏季雨量集中，气候潮湿酷热，多有雷阵雨或暴雨，引起山洪爆发；秋季空气干燥凉爽，雨量少，常有秋早或秋冬连旱；冬季每年有霜冻出现期，也时有冰雪。</w:t>
      </w:r>
    </w:p>
    <w:p>
      <w:pPr>
        <w:spacing w:before="120" w:beforeLines="50" w:line="360" w:lineRule="auto"/>
        <w:outlineLvl w:val="2"/>
        <w:rPr>
          <w:b/>
          <w:sz w:val="28"/>
          <w:szCs w:val="28"/>
        </w:rPr>
      </w:pPr>
      <w:bookmarkStart w:id="42" w:name="_Toc1128"/>
      <w:r>
        <w:rPr>
          <w:b/>
          <w:sz w:val="28"/>
          <w:szCs w:val="28"/>
        </w:rPr>
        <w:t>2.4</w:t>
      </w:r>
      <w:r>
        <w:rPr>
          <w:rFonts w:hint="eastAsia"/>
          <w:b/>
          <w:sz w:val="28"/>
          <w:szCs w:val="28"/>
        </w:rPr>
        <w:t>.5水系及水文</w:t>
      </w:r>
      <w:bookmarkEnd w:id="42"/>
    </w:p>
    <w:p>
      <w:pPr>
        <w:spacing w:before="120" w:beforeLines="50" w:line="360" w:lineRule="auto"/>
        <w:ind w:firstLine="480" w:firstLineChars="200"/>
        <w:rPr>
          <w:rFonts w:eastAsia="仿宋_GB2312"/>
          <w:sz w:val="24"/>
        </w:rPr>
      </w:pPr>
      <w:r>
        <w:rPr>
          <w:rFonts w:hint="eastAsia" w:eastAsia="仿宋_GB2312"/>
          <w:sz w:val="24"/>
        </w:rPr>
        <w:t>滃江全长173km，流域面积4847km</w:t>
      </w:r>
      <w:r>
        <w:rPr>
          <w:rFonts w:hint="eastAsia" w:eastAsia="仿宋_GB2312"/>
          <w:sz w:val="24"/>
          <w:vertAlign w:val="superscript"/>
        </w:rPr>
        <w:t>2</w:t>
      </w:r>
      <w:r>
        <w:rPr>
          <w:rFonts w:hint="eastAsia" w:eastAsia="仿宋_GB2312"/>
          <w:sz w:val="24"/>
        </w:rPr>
        <w:t>，在翁源境内流域面积2169km</w:t>
      </w:r>
      <w:r>
        <w:rPr>
          <w:rFonts w:hint="eastAsia" w:eastAsia="仿宋_GB2312"/>
          <w:sz w:val="24"/>
          <w:vertAlign w:val="superscript"/>
        </w:rPr>
        <w:t>2</w:t>
      </w:r>
      <w:r>
        <w:rPr>
          <w:rFonts w:hint="eastAsia" w:eastAsia="仿宋_GB2312"/>
          <w:sz w:val="24"/>
        </w:rPr>
        <w:t>，主河流长92km，河床比降1.7‰，境内有5条 100 km</w:t>
      </w:r>
      <w:r>
        <w:rPr>
          <w:rFonts w:hint="eastAsia" w:eastAsia="仿宋_GB2312"/>
          <w:sz w:val="24"/>
          <w:vertAlign w:val="superscript"/>
        </w:rPr>
        <w:t>2</w:t>
      </w:r>
      <w:r>
        <w:rPr>
          <w:rFonts w:hint="eastAsia" w:eastAsia="仿宋_GB2312"/>
          <w:sz w:val="24"/>
        </w:rPr>
        <w:t xml:space="preserve"> 以上的支流，分别是龙仙水、贵东水、九仙水、周陂水、涂屋水。暴雨多发生在4～7月，占洪涝的 85%，5～6月占59%，主要是冷暖气流和热带气旋所形成的降雨造成，由于滃江地势高，河流狭窄而产生洪涝，但涨水时间不长，洪峰一般3～5小时，1964年最长，从涨到退经过38小时。</w:t>
      </w:r>
    </w:p>
    <w:p>
      <w:pPr>
        <w:spacing w:before="120" w:beforeLines="50" w:line="360" w:lineRule="auto"/>
        <w:ind w:firstLine="480" w:firstLineChars="200"/>
        <w:rPr>
          <w:rFonts w:eastAsia="仿宋_GB2312"/>
          <w:sz w:val="24"/>
        </w:rPr>
      </w:pPr>
      <w:r>
        <w:rPr>
          <w:rFonts w:hint="eastAsia" w:eastAsia="仿宋_GB2312"/>
          <w:sz w:val="24"/>
        </w:rPr>
        <w:t>滃江于官渡下游5公里流入英德市境内，最终流入北江。由于官渡地势平缓，河水流速较慢，对两岸的冲刷较小，滃江官渡河段的流量洪水期为790～1600m</w:t>
      </w:r>
      <w:r>
        <w:rPr>
          <w:rFonts w:hint="eastAsia" w:eastAsia="仿宋_GB2312"/>
          <w:sz w:val="24"/>
          <w:vertAlign w:val="superscript"/>
        </w:rPr>
        <w:t>3</w:t>
      </w:r>
      <w:r>
        <w:rPr>
          <w:rFonts w:hint="eastAsia" w:eastAsia="仿宋_GB2312"/>
          <w:sz w:val="24"/>
        </w:rPr>
        <w:t>/s，平均最大流量 1033 m</w:t>
      </w:r>
      <w:r>
        <w:rPr>
          <w:rFonts w:hint="eastAsia" w:eastAsia="仿宋_GB2312"/>
          <w:sz w:val="24"/>
          <w:vertAlign w:val="superscript"/>
        </w:rPr>
        <w:t>3</w:t>
      </w:r>
      <w:r>
        <w:rPr>
          <w:rFonts w:hint="eastAsia" w:eastAsia="仿宋_GB2312"/>
          <w:sz w:val="24"/>
        </w:rPr>
        <w:t>/s，枯水期为3.6～12.3m</w:t>
      </w:r>
      <w:r>
        <w:rPr>
          <w:rFonts w:hint="eastAsia" w:eastAsia="仿宋_GB2312"/>
          <w:sz w:val="24"/>
          <w:vertAlign w:val="superscript"/>
        </w:rPr>
        <w:t>3</w:t>
      </w:r>
      <w:r>
        <w:rPr>
          <w:rFonts w:hint="eastAsia" w:eastAsia="仿宋_GB2312"/>
          <w:sz w:val="24"/>
        </w:rPr>
        <w:t>/s，平均最小流量7.6 m</w:t>
      </w:r>
      <w:r>
        <w:rPr>
          <w:rFonts w:hint="eastAsia" w:eastAsia="仿宋_GB2312"/>
          <w:sz w:val="24"/>
          <w:vertAlign w:val="superscript"/>
        </w:rPr>
        <w:t>3</w:t>
      </w:r>
      <w:r>
        <w:rPr>
          <w:rFonts w:hint="eastAsia" w:eastAsia="仿宋_GB2312"/>
          <w:sz w:val="24"/>
        </w:rPr>
        <w:t>/s，历年平均流量 58 m</w:t>
      </w:r>
      <w:r>
        <w:rPr>
          <w:rFonts w:hint="eastAsia" w:eastAsia="仿宋_GB2312"/>
          <w:sz w:val="24"/>
          <w:vertAlign w:val="superscript"/>
        </w:rPr>
        <w:t>3</w:t>
      </w:r>
      <w:r>
        <w:rPr>
          <w:rFonts w:hint="eastAsia" w:eastAsia="仿宋_GB2312"/>
          <w:sz w:val="24"/>
        </w:rPr>
        <w:t>/s，具有山区河流的特征，平均水位 91.33m，最低水位90.89m，最高水位96m。</w:t>
      </w:r>
    </w:p>
    <w:p>
      <w:pPr>
        <w:spacing w:before="240" w:beforeLines="100" w:line="360" w:lineRule="auto"/>
        <w:outlineLvl w:val="1"/>
        <w:rPr>
          <w:b/>
          <w:sz w:val="30"/>
          <w:szCs w:val="30"/>
        </w:rPr>
      </w:pPr>
      <w:bookmarkStart w:id="43" w:name="_Toc6747"/>
      <w:r>
        <w:rPr>
          <w:rFonts w:hint="eastAsia"/>
          <w:b/>
          <w:sz w:val="30"/>
          <w:szCs w:val="30"/>
        </w:rPr>
        <w:t>2</w:t>
      </w:r>
      <w:r>
        <w:rPr>
          <w:b/>
          <w:sz w:val="30"/>
          <w:szCs w:val="30"/>
        </w:rPr>
        <w:t>.</w:t>
      </w:r>
      <w:r>
        <w:rPr>
          <w:rFonts w:hint="eastAsia"/>
          <w:b/>
          <w:sz w:val="30"/>
          <w:szCs w:val="30"/>
        </w:rPr>
        <w:t>5环境功能区划情况</w:t>
      </w:r>
      <w:bookmarkEnd w:id="43"/>
    </w:p>
    <w:p>
      <w:pPr>
        <w:spacing w:before="120" w:beforeLines="50" w:line="360" w:lineRule="auto"/>
        <w:ind w:firstLine="480" w:firstLineChars="200"/>
        <w:rPr>
          <w:rFonts w:hint="eastAsia" w:eastAsia="仿宋_GB2312"/>
          <w:sz w:val="24"/>
        </w:rPr>
      </w:pPr>
      <w:r>
        <w:rPr>
          <w:rFonts w:hint="eastAsia" w:eastAsia="仿宋_GB2312"/>
          <w:sz w:val="24"/>
        </w:rPr>
        <w:t>（1）环境空气</w:t>
      </w:r>
    </w:p>
    <w:p>
      <w:pPr>
        <w:spacing w:before="120" w:beforeLines="50" w:line="360" w:lineRule="auto"/>
        <w:ind w:firstLine="480" w:firstLineChars="200"/>
        <w:rPr>
          <w:rFonts w:hint="eastAsia" w:eastAsia="仿宋_GB2312"/>
          <w:sz w:val="24"/>
        </w:rPr>
      </w:pPr>
      <w:r>
        <w:rPr>
          <w:rFonts w:hint="eastAsia" w:eastAsia="仿宋_GB2312"/>
          <w:sz w:val="24"/>
        </w:rPr>
        <w:t>根据《韶关市环境保护规划纲要（2006-2020）》（韶府发[2008]210 号）的规定，项目所在地周围空气环境质量功能区划为二类功能区。因此，项目所在区域环境空气质量执行《环境空气质量标准》（GB3095-2012）及其修改单“生态环境部公告 2018 年第 29 号”规定的二级标准。</w:t>
      </w:r>
    </w:p>
    <w:p>
      <w:pPr>
        <w:spacing w:before="120" w:beforeLines="50" w:line="360" w:lineRule="auto"/>
        <w:ind w:firstLine="480" w:firstLineChars="200"/>
        <w:rPr>
          <w:rFonts w:hint="eastAsia" w:eastAsia="仿宋_GB2312"/>
          <w:sz w:val="24"/>
        </w:rPr>
      </w:pPr>
      <w:r>
        <w:rPr>
          <w:rFonts w:hint="eastAsia" w:eastAsia="仿宋_GB2312"/>
          <w:sz w:val="24"/>
        </w:rPr>
        <w:t>（2）地表水环境</w:t>
      </w:r>
    </w:p>
    <w:p>
      <w:pPr>
        <w:spacing w:before="120" w:beforeLines="50" w:line="360" w:lineRule="auto"/>
        <w:ind w:firstLine="480" w:firstLineChars="200"/>
        <w:rPr>
          <w:rFonts w:hint="eastAsia" w:eastAsia="仿宋_GB2312"/>
          <w:sz w:val="24"/>
        </w:rPr>
      </w:pPr>
      <w:r>
        <w:rPr>
          <w:rFonts w:hint="eastAsia" w:eastAsia="仿宋_GB2312"/>
          <w:sz w:val="24"/>
        </w:rPr>
        <w:t>本项目处于北江流域，项目附近水体为铁龙水（石角河支流），最后汇入北江。铁龙水在《广东省地表水环境功能区划》（粤府函[2011]29号文）中未划定环境功能区，翁源县政府办在《关于划分粤北危险废物处理处置中心所在区域环境功能区的复函》（翁府办函[2007]4号）中已确定其使用功能为工农用水，水环境质量执行《地表水环境质量标准》（GB3838-2002）中的III类标准。</w:t>
      </w:r>
    </w:p>
    <w:p>
      <w:pPr>
        <w:spacing w:before="120" w:beforeLines="50" w:line="360" w:lineRule="auto"/>
        <w:ind w:firstLine="480" w:firstLineChars="200"/>
        <w:rPr>
          <w:rFonts w:hint="eastAsia" w:eastAsia="仿宋_GB2312"/>
          <w:sz w:val="24"/>
        </w:rPr>
      </w:pPr>
      <w:r>
        <w:rPr>
          <w:rFonts w:hint="eastAsia" w:eastAsia="仿宋_GB2312"/>
          <w:sz w:val="24"/>
        </w:rPr>
        <w:t>（3）声环境</w:t>
      </w:r>
    </w:p>
    <w:p>
      <w:pPr>
        <w:spacing w:before="120" w:beforeLines="50" w:line="360" w:lineRule="auto"/>
        <w:ind w:firstLine="480" w:firstLineChars="200"/>
        <w:rPr>
          <w:rFonts w:hint="eastAsia" w:eastAsia="仿宋_GB2312"/>
          <w:sz w:val="24"/>
        </w:rPr>
      </w:pPr>
      <w:r>
        <w:rPr>
          <w:rFonts w:hint="eastAsia" w:eastAsia="仿宋_GB2312"/>
          <w:sz w:val="24"/>
          <w:lang w:eastAsia="zh-CN"/>
        </w:rPr>
        <w:t>翁源县中源发展有限公司</w:t>
      </w:r>
      <w:r>
        <w:rPr>
          <w:rFonts w:hint="eastAsia" w:eastAsia="仿宋_GB2312"/>
          <w:sz w:val="24"/>
        </w:rPr>
        <w:t>属于声环境3类标准适用区，声环境质量执行《声环境质量标准》（GB3096-2008）中的3 类标准。</w:t>
      </w:r>
    </w:p>
    <w:p>
      <w:pPr>
        <w:pStyle w:val="2"/>
        <w:rPr>
          <w:rFonts w:hint="eastAsia" w:eastAsia="仿宋_GB2312"/>
          <w:sz w:val="24"/>
        </w:rPr>
      </w:pPr>
    </w:p>
    <w:p>
      <w:pPr>
        <w:pStyle w:val="2"/>
        <w:rPr>
          <w:rFonts w:hint="eastAsia" w:eastAsia="仿宋_GB2312"/>
          <w:sz w:val="24"/>
        </w:rPr>
      </w:pPr>
    </w:p>
    <w:p>
      <w:pPr>
        <w:pStyle w:val="2"/>
        <w:rPr>
          <w:rFonts w:hint="eastAsia" w:eastAsia="仿宋_GB2312"/>
          <w:sz w:val="24"/>
        </w:rPr>
      </w:pPr>
    </w:p>
    <w:p>
      <w:pPr>
        <w:pStyle w:val="2"/>
        <w:rPr>
          <w:rFonts w:hint="eastAsia" w:eastAsia="仿宋_GB2312"/>
          <w:sz w:val="24"/>
        </w:rPr>
      </w:pPr>
    </w:p>
    <w:p>
      <w:pPr>
        <w:pStyle w:val="2"/>
        <w:rPr>
          <w:rFonts w:hint="eastAsia" w:eastAsia="仿宋_GB2312"/>
          <w:sz w:val="24"/>
        </w:rPr>
      </w:pPr>
    </w:p>
    <w:p>
      <w:pPr>
        <w:spacing w:before="240" w:beforeLines="100" w:line="360" w:lineRule="auto"/>
        <w:outlineLvl w:val="1"/>
        <w:rPr>
          <w:b/>
          <w:sz w:val="30"/>
          <w:szCs w:val="30"/>
        </w:rPr>
      </w:pPr>
      <w:bookmarkStart w:id="44" w:name="_Toc4441"/>
      <w:r>
        <w:rPr>
          <w:rFonts w:hint="eastAsia"/>
          <w:b/>
          <w:sz w:val="30"/>
          <w:szCs w:val="30"/>
        </w:rPr>
        <w:t>2</w:t>
      </w:r>
      <w:r>
        <w:rPr>
          <w:b/>
          <w:sz w:val="30"/>
          <w:szCs w:val="30"/>
        </w:rPr>
        <w:t>.</w:t>
      </w:r>
      <w:r>
        <w:rPr>
          <w:rFonts w:hint="eastAsia"/>
          <w:b/>
          <w:sz w:val="30"/>
          <w:szCs w:val="30"/>
        </w:rPr>
        <w:t>6周边环境风险受体</w:t>
      </w:r>
      <w:bookmarkEnd w:id="44"/>
    </w:p>
    <w:p>
      <w:pPr>
        <w:spacing w:before="120" w:beforeLines="50" w:line="360" w:lineRule="auto"/>
        <w:outlineLvl w:val="2"/>
        <w:rPr>
          <w:b/>
          <w:sz w:val="30"/>
          <w:szCs w:val="30"/>
        </w:rPr>
      </w:pPr>
      <w:bookmarkStart w:id="45" w:name="_Toc2956"/>
      <w:r>
        <w:rPr>
          <w:rFonts w:hint="eastAsia"/>
          <w:b/>
          <w:sz w:val="30"/>
          <w:szCs w:val="30"/>
        </w:rPr>
        <w:t>2.6.1</w:t>
      </w:r>
      <w:r>
        <w:rPr>
          <w:b/>
          <w:sz w:val="30"/>
          <w:szCs w:val="30"/>
        </w:rPr>
        <w:t>环境保护目标</w:t>
      </w:r>
      <w:bookmarkEnd w:id="45"/>
    </w:p>
    <w:p>
      <w:pPr>
        <w:spacing w:before="120" w:beforeLines="50" w:line="360" w:lineRule="auto"/>
        <w:ind w:firstLine="480" w:firstLineChars="200"/>
        <w:rPr>
          <w:rFonts w:eastAsia="仿宋_GB2312"/>
          <w:sz w:val="24"/>
        </w:rPr>
      </w:pPr>
      <w:r>
        <w:rPr>
          <w:rFonts w:hint="eastAsia" w:ascii="宋体" w:hAnsi="宋体" w:eastAsia="仿宋_GB2312" w:cs="宋体"/>
          <w:sz w:val="24"/>
        </w:rPr>
        <w:t>（1）</w:t>
      </w:r>
      <w:r>
        <w:rPr>
          <w:rFonts w:eastAsia="仿宋_GB2312"/>
          <w:sz w:val="24"/>
        </w:rPr>
        <w:t>水环境保护目标</w:t>
      </w:r>
    </w:p>
    <w:p>
      <w:pPr>
        <w:spacing w:line="360" w:lineRule="auto"/>
        <w:ind w:firstLine="480" w:firstLineChars="200"/>
        <w:rPr>
          <w:rFonts w:eastAsia="仿宋_GB2312"/>
          <w:sz w:val="24"/>
        </w:rPr>
      </w:pPr>
      <w:r>
        <w:rPr>
          <w:rFonts w:hint="eastAsia" w:eastAsia="仿宋_GB2312"/>
          <w:sz w:val="24"/>
          <w:lang w:eastAsia="zh-CN"/>
        </w:rPr>
        <w:t>翁源县中源发展有限公司</w:t>
      </w:r>
      <w:r>
        <w:rPr>
          <w:rFonts w:eastAsia="仿宋_GB2312"/>
          <w:sz w:val="24"/>
        </w:rPr>
        <w:t>选址于</w:t>
      </w:r>
      <w:r>
        <w:rPr>
          <w:rFonts w:hint="eastAsia" w:ascii="仿宋_GB2312" w:eastAsia="仿宋_GB2312"/>
          <w:sz w:val="24"/>
          <w:lang w:eastAsia="zh-CN"/>
        </w:rPr>
        <w:t>翁源县铁龙镇龙体工区</w:t>
      </w:r>
      <w:r>
        <w:rPr>
          <w:rFonts w:eastAsia="仿宋_GB2312"/>
          <w:sz w:val="24"/>
        </w:rPr>
        <w:t>，其受纳水体为</w:t>
      </w:r>
      <w:r>
        <w:rPr>
          <w:rFonts w:hint="eastAsia" w:eastAsia="仿宋_GB2312"/>
          <w:sz w:val="24"/>
          <w:lang w:val="en-US" w:eastAsia="zh-CN"/>
        </w:rPr>
        <w:t>无名溪</w:t>
      </w:r>
      <w:r>
        <w:rPr>
          <w:rFonts w:eastAsia="仿宋_GB2312"/>
          <w:sz w:val="24"/>
        </w:rPr>
        <w:t>，故水环境保护目标为</w:t>
      </w:r>
      <w:r>
        <w:rPr>
          <w:rFonts w:hint="eastAsia" w:eastAsia="仿宋_GB2312"/>
          <w:sz w:val="24"/>
          <w:lang w:val="en-US" w:eastAsia="zh-CN"/>
        </w:rPr>
        <w:t>无名溪</w:t>
      </w:r>
      <w:r>
        <w:rPr>
          <w:rFonts w:eastAsia="仿宋_GB2312"/>
          <w:sz w:val="24"/>
        </w:rPr>
        <w:t>。</w:t>
      </w:r>
    </w:p>
    <w:p>
      <w:pPr>
        <w:spacing w:line="360" w:lineRule="auto"/>
        <w:ind w:firstLine="480" w:firstLineChars="200"/>
        <w:rPr>
          <w:rFonts w:eastAsia="仿宋_GB2312"/>
          <w:sz w:val="24"/>
        </w:rPr>
      </w:pPr>
      <w:r>
        <w:rPr>
          <w:rFonts w:hint="eastAsia" w:ascii="宋体" w:hAnsi="宋体" w:eastAsia="仿宋_GB2312" w:cs="宋体"/>
          <w:sz w:val="24"/>
        </w:rPr>
        <w:t>（2）</w:t>
      </w:r>
      <w:r>
        <w:rPr>
          <w:rFonts w:eastAsia="仿宋_GB2312"/>
          <w:sz w:val="24"/>
        </w:rPr>
        <w:t>大气环境保护目标</w:t>
      </w:r>
    </w:p>
    <w:p>
      <w:pPr>
        <w:spacing w:line="360" w:lineRule="auto"/>
        <w:ind w:firstLine="480" w:firstLineChars="200"/>
        <w:rPr>
          <w:rFonts w:eastAsia="仿宋_GB2312"/>
          <w:sz w:val="24"/>
        </w:rPr>
      </w:pPr>
      <w:r>
        <w:rPr>
          <w:rFonts w:eastAsia="仿宋_GB2312"/>
          <w:sz w:val="24"/>
        </w:rPr>
        <w:t>保护厂区厂址外5km内的环境敏感点，使得该项目的大气影响控制在允许范围之内。</w:t>
      </w:r>
    </w:p>
    <w:p>
      <w:pPr>
        <w:pStyle w:val="65"/>
        <w:spacing w:line="360" w:lineRule="auto"/>
        <w:ind w:left="420" w:leftChars="200" w:firstLine="0" w:firstLineChars="0"/>
        <w:rPr>
          <w:rFonts w:eastAsia="仿宋_GB2312"/>
          <w:sz w:val="24"/>
        </w:rPr>
      </w:pPr>
      <w:r>
        <w:rPr>
          <w:rFonts w:hint="eastAsia" w:eastAsia="仿宋_GB2312"/>
          <w:sz w:val="24"/>
        </w:rPr>
        <w:t>（3）固体废弃物控制目标</w:t>
      </w:r>
    </w:p>
    <w:p>
      <w:pPr>
        <w:spacing w:line="360" w:lineRule="auto"/>
        <w:ind w:firstLine="480" w:firstLineChars="200"/>
        <w:rPr>
          <w:rFonts w:ascii="仿宋_GB2312" w:eastAsia="仿宋_GB2312"/>
          <w:sz w:val="24"/>
        </w:rPr>
      </w:pPr>
      <w:r>
        <w:rPr>
          <w:rFonts w:hint="eastAsia" w:ascii="仿宋_GB2312" w:eastAsia="仿宋_GB2312"/>
          <w:sz w:val="24"/>
        </w:rPr>
        <w:t>主要控制运营期间产生的固体废物对周围环境的影响，确保厂区的固体废弃物得到妥善处理。</w:t>
      </w:r>
    </w:p>
    <w:p>
      <w:pPr>
        <w:pStyle w:val="65"/>
        <w:numPr>
          <w:ilvl w:val="255"/>
          <w:numId w:val="0"/>
        </w:numPr>
        <w:spacing w:line="360" w:lineRule="auto"/>
        <w:ind w:left="420" w:leftChars="200"/>
        <w:rPr>
          <w:rFonts w:eastAsia="仿宋_GB2312"/>
          <w:sz w:val="24"/>
        </w:rPr>
      </w:pPr>
      <w:r>
        <w:rPr>
          <w:rFonts w:hint="eastAsia" w:eastAsia="仿宋_GB2312"/>
          <w:sz w:val="24"/>
        </w:rPr>
        <w:t>（4）</w:t>
      </w:r>
      <w:r>
        <w:rPr>
          <w:rFonts w:eastAsia="仿宋_GB2312"/>
          <w:sz w:val="24"/>
        </w:rPr>
        <w:t>声环境保护目标</w:t>
      </w:r>
    </w:p>
    <w:p>
      <w:pPr>
        <w:spacing w:line="360" w:lineRule="auto"/>
        <w:ind w:firstLine="480" w:firstLineChars="200"/>
        <w:rPr>
          <w:rFonts w:eastAsia="仿宋_GB2312"/>
          <w:sz w:val="24"/>
        </w:rPr>
      </w:pPr>
      <w:r>
        <w:rPr>
          <w:rFonts w:eastAsia="仿宋_GB2312"/>
          <w:sz w:val="24"/>
        </w:rPr>
        <w:t>保护</w:t>
      </w:r>
      <w:r>
        <w:rPr>
          <w:rFonts w:hint="eastAsia" w:eastAsia="仿宋_GB2312"/>
          <w:sz w:val="24"/>
          <w:lang w:eastAsia="zh-CN"/>
        </w:rPr>
        <w:t>翁源县中源发展有限公司</w:t>
      </w:r>
      <w:r>
        <w:rPr>
          <w:rFonts w:eastAsia="仿宋_GB2312"/>
          <w:sz w:val="24"/>
        </w:rPr>
        <w:t>厂址200米内的声环境符合功能区要求，使得厂址附近的敏感点不受本公司的噪声影响。</w:t>
      </w:r>
    </w:p>
    <w:p>
      <w:pPr>
        <w:spacing w:before="120" w:beforeLines="50" w:line="360" w:lineRule="auto"/>
        <w:outlineLvl w:val="2"/>
        <w:rPr>
          <w:b/>
          <w:sz w:val="30"/>
          <w:szCs w:val="30"/>
        </w:rPr>
      </w:pPr>
      <w:bookmarkStart w:id="46" w:name="_Toc8798"/>
      <w:r>
        <w:rPr>
          <w:rFonts w:hint="eastAsia"/>
          <w:b/>
          <w:sz w:val="30"/>
          <w:szCs w:val="30"/>
        </w:rPr>
        <w:t>2.6.2环境风险受体</w:t>
      </w:r>
      <w:bookmarkEnd w:id="46"/>
    </w:p>
    <w:p>
      <w:pPr>
        <w:spacing w:before="120" w:beforeLines="50" w:line="360" w:lineRule="auto"/>
        <w:ind w:firstLine="480" w:firstLineChars="200"/>
        <w:rPr>
          <w:rFonts w:eastAsia="仿宋_GB2312"/>
          <w:sz w:val="24"/>
        </w:rPr>
      </w:pPr>
      <w:r>
        <w:rPr>
          <w:rFonts w:hint="eastAsia" w:eastAsia="仿宋_GB2312"/>
          <w:sz w:val="24"/>
          <w:lang w:eastAsia="zh-CN"/>
        </w:rPr>
        <w:t>翁源县中源发展有限公司</w:t>
      </w:r>
      <w:r>
        <w:rPr>
          <w:rFonts w:eastAsia="仿宋_GB2312"/>
          <w:sz w:val="24"/>
        </w:rPr>
        <w:t>位于</w:t>
      </w:r>
      <w:r>
        <w:rPr>
          <w:rFonts w:hint="eastAsia" w:eastAsia="仿宋_GB2312"/>
          <w:sz w:val="24"/>
          <w:lang w:eastAsia="zh-CN"/>
        </w:rPr>
        <w:t>翁源县铁龙镇龙体工区</w:t>
      </w:r>
      <w:r>
        <w:rPr>
          <w:rFonts w:eastAsia="仿宋_GB2312"/>
          <w:sz w:val="24"/>
        </w:rPr>
        <w:t>。结合本公司环境危险源和环境影响程度的分析，周边环境敏感点分布情况见图</w:t>
      </w:r>
      <w:r>
        <w:rPr>
          <w:rFonts w:hint="eastAsia" w:eastAsia="仿宋_GB2312"/>
          <w:sz w:val="24"/>
        </w:rPr>
        <w:t>3.6-</w:t>
      </w:r>
      <w:r>
        <w:rPr>
          <w:rFonts w:eastAsia="仿宋_GB2312"/>
          <w:sz w:val="24"/>
        </w:rPr>
        <w:t>1。</w:t>
      </w:r>
    </w:p>
    <w:p>
      <w:pPr>
        <w:jc w:val="center"/>
      </w:pPr>
      <w:r>
        <w:drawing>
          <wp:inline distT="0" distB="0" distL="114300" distR="114300">
            <wp:extent cx="4526280" cy="3977640"/>
            <wp:effectExtent l="0" t="0" r="0" b="0"/>
            <wp:docPr id="1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
                    <pic:cNvPicPr>
                      <a:picLocks noChangeAspect="1"/>
                    </pic:cNvPicPr>
                  </pic:nvPicPr>
                  <pic:blipFill>
                    <a:blip r:embed="rId26"/>
                    <a:stretch>
                      <a:fillRect/>
                    </a:stretch>
                  </pic:blipFill>
                  <pic:spPr>
                    <a:xfrm>
                      <a:off x="0" y="0"/>
                      <a:ext cx="4526280" cy="3977640"/>
                    </a:xfrm>
                    <a:prstGeom prst="rect">
                      <a:avLst/>
                    </a:prstGeom>
                    <a:noFill/>
                    <a:ln>
                      <a:noFill/>
                    </a:ln>
                  </pic:spPr>
                </pic:pic>
              </a:graphicData>
            </a:graphic>
          </wp:inline>
        </w:drawing>
      </w:r>
    </w:p>
    <w:p>
      <w:pPr>
        <w:spacing w:before="240" w:beforeLines="100" w:line="360" w:lineRule="auto"/>
        <w:jc w:val="center"/>
        <w:rPr>
          <w:rFonts w:eastAsia="仿宋"/>
          <w:b/>
          <w:szCs w:val="21"/>
        </w:rPr>
      </w:pPr>
      <w:r>
        <w:rPr>
          <w:rFonts w:hint="eastAsia" w:eastAsia="仿宋"/>
          <w:b/>
          <w:szCs w:val="21"/>
        </w:rPr>
        <w:t>图2.6-1 本公司周边环境敏感点分布图</w:t>
      </w:r>
    </w:p>
    <w:p>
      <w:pPr>
        <w:spacing w:line="360" w:lineRule="auto"/>
        <w:ind w:firstLine="480" w:firstLineChars="200"/>
        <w:rPr>
          <w:rFonts w:eastAsia="仿宋_GB2312"/>
          <w:sz w:val="24"/>
        </w:rPr>
      </w:pPr>
      <w:r>
        <w:rPr>
          <w:rFonts w:eastAsia="仿宋_GB2312"/>
          <w:sz w:val="24"/>
        </w:rPr>
        <w:t>根据厂区周边的水系分布图</w:t>
      </w:r>
      <w:r>
        <w:rPr>
          <w:rFonts w:hint="eastAsia" w:eastAsia="仿宋_GB2312"/>
          <w:sz w:val="24"/>
        </w:rPr>
        <w:t>2.6-2</w:t>
      </w:r>
      <w:r>
        <w:rPr>
          <w:rFonts w:eastAsia="仿宋_GB2312"/>
          <w:sz w:val="24"/>
        </w:rPr>
        <w:t>，环境敏感区域内水环境敏感点为</w:t>
      </w:r>
      <w:r>
        <w:rPr>
          <w:rFonts w:hint="eastAsia" w:eastAsia="仿宋_GB2312"/>
          <w:sz w:val="24"/>
          <w:lang w:val="en-US" w:eastAsia="zh-CN"/>
        </w:rPr>
        <w:t>无名溪</w:t>
      </w:r>
      <w:r>
        <w:rPr>
          <w:rFonts w:eastAsia="仿宋_GB2312"/>
          <w:sz w:val="24"/>
        </w:rPr>
        <w:t>。</w:t>
      </w:r>
    </w:p>
    <w:p>
      <w:pPr>
        <w:pStyle w:val="2"/>
      </w:pPr>
    </w:p>
    <w:p>
      <w:pPr>
        <w:spacing w:line="360" w:lineRule="auto"/>
        <w:rPr>
          <w:rFonts w:eastAsia="仿宋_GB2312"/>
          <w:sz w:val="24"/>
        </w:rPr>
      </w:pPr>
      <w:r>
        <w:drawing>
          <wp:inline distT="0" distB="0" distL="114300" distR="114300">
            <wp:extent cx="5272405" cy="4394835"/>
            <wp:effectExtent l="0" t="0" r="635" b="9525"/>
            <wp:docPr id="1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1"/>
                    <pic:cNvPicPr>
                      <a:picLocks noChangeAspect="1"/>
                    </pic:cNvPicPr>
                  </pic:nvPicPr>
                  <pic:blipFill>
                    <a:blip r:embed="rId27"/>
                    <a:stretch>
                      <a:fillRect/>
                    </a:stretch>
                  </pic:blipFill>
                  <pic:spPr>
                    <a:xfrm>
                      <a:off x="0" y="0"/>
                      <a:ext cx="5272405" cy="4394835"/>
                    </a:xfrm>
                    <a:prstGeom prst="rect">
                      <a:avLst/>
                    </a:prstGeom>
                    <a:noFill/>
                    <a:ln>
                      <a:noFill/>
                    </a:ln>
                  </pic:spPr>
                </pic:pic>
              </a:graphicData>
            </a:graphic>
          </wp:inline>
        </w:drawing>
      </w:r>
    </w:p>
    <w:p>
      <w:pPr>
        <w:spacing w:before="120" w:beforeLines="50" w:line="360" w:lineRule="auto"/>
        <w:jc w:val="center"/>
        <w:rPr>
          <w:rFonts w:eastAsia="仿宋"/>
          <w:b/>
          <w:szCs w:val="21"/>
        </w:rPr>
      </w:pPr>
      <w:r>
        <w:rPr>
          <w:rFonts w:hint="eastAsia" w:eastAsia="仿宋"/>
          <w:b/>
          <w:szCs w:val="21"/>
        </w:rPr>
        <w:t>图2.6-2　厂区周边的水系分布图</w:t>
      </w:r>
    </w:p>
    <w:p>
      <w:pPr>
        <w:spacing w:line="360" w:lineRule="auto"/>
        <w:ind w:firstLine="480" w:firstLineChars="200"/>
        <w:rPr>
          <w:rFonts w:eastAsia="仿宋_GB2312"/>
          <w:sz w:val="24"/>
        </w:rPr>
      </w:pPr>
      <w:r>
        <w:rPr>
          <w:rFonts w:eastAsia="仿宋_GB2312"/>
          <w:sz w:val="24"/>
        </w:rPr>
        <w:t>本公司周边环境敏感点及其基本情况如表</w:t>
      </w:r>
      <w:r>
        <w:rPr>
          <w:rFonts w:hint="eastAsia" w:eastAsia="仿宋_GB2312"/>
          <w:sz w:val="24"/>
        </w:rPr>
        <w:t>2.6-1</w:t>
      </w:r>
      <w:r>
        <w:rPr>
          <w:rFonts w:eastAsia="仿宋_GB2312"/>
          <w:sz w:val="24"/>
        </w:rPr>
        <w:t>所示：</w:t>
      </w:r>
    </w:p>
    <w:p>
      <w:pPr>
        <w:spacing w:line="360" w:lineRule="auto"/>
        <w:jc w:val="center"/>
        <w:rPr>
          <w:rFonts w:hint="eastAsia" w:ascii="宋体" w:hAnsi="宋体" w:eastAsia="宋体" w:cs="宋体"/>
          <w:b/>
          <w:szCs w:val="21"/>
        </w:rPr>
      </w:pPr>
      <w:r>
        <w:rPr>
          <w:rFonts w:hint="eastAsia" w:ascii="宋体" w:hAnsi="宋体" w:eastAsia="宋体" w:cs="宋体"/>
          <w:b/>
          <w:szCs w:val="21"/>
        </w:rPr>
        <w:t>表2.6-1　环境敏感点一览表</w:t>
      </w:r>
    </w:p>
    <w:tbl>
      <w:tblPr>
        <w:tblStyle w:val="32"/>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44"/>
        <w:gridCol w:w="1481"/>
        <w:gridCol w:w="1459"/>
        <w:gridCol w:w="1429"/>
        <w:gridCol w:w="2011"/>
        <w:gridCol w:w="139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1"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序 号</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风险受体名称</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敏感特性</w:t>
            </w:r>
          </w:p>
        </w:tc>
        <w:tc>
          <w:tcPr>
            <w:tcW w:w="849"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相对方位</w:t>
            </w:r>
          </w:p>
        </w:tc>
        <w:tc>
          <w:tcPr>
            <w:tcW w:w="1127"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与企业最近距离(m)</w:t>
            </w:r>
          </w:p>
        </w:tc>
        <w:tc>
          <w:tcPr>
            <w:tcW w:w="828"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规模 (人)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1"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坑头</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大气污染</w:t>
            </w:r>
          </w:p>
        </w:tc>
        <w:tc>
          <w:tcPr>
            <w:tcW w:w="849"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东北</w:t>
            </w:r>
          </w:p>
        </w:tc>
        <w:tc>
          <w:tcPr>
            <w:tcW w:w="1127"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641</w:t>
            </w:r>
          </w:p>
        </w:tc>
        <w:tc>
          <w:tcPr>
            <w:tcW w:w="828"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1"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徐屋</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大气污染</w:t>
            </w:r>
          </w:p>
        </w:tc>
        <w:tc>
          <w:tcPr>
            <w:tcW w:w="849"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东南</w:t>
            </w:r>
          </w:p>
        </w:tc>
        <w:tc>
          <w:tcPr>
            <w:tcW w:w="1127"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1180</w:t>
            </w:r>
          </w:p>
        </w:tc>
        <w:tc>
          <w:tcPr>
            <w:tcW w:w="828"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1"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铁龙镇政府</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大气污染</w:t>
            </w:r>
          </w:p>
        </w:tc>
        <w:tc>
          <w:tcPr>
            <w:tcW w:w="849"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东南</w:t>
            </w:r>
          </w:p>
        </w:tc>
        <w:tc>
          <w:tcPr>
            <w:tcW w:w="1127"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1210</w:t>
            </w:r>
          </w:p>
        </w:tc>
        <w:tc>
          <w:tcPr>
            <w:tcW w:w="828"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1"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铁龙镇卫生院</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大气污染</w:t>
            </w:r>
          </w:p>
        </w:tc>
        <w:tc>
          <w:tcPr>
            <w:tcW w:w="849"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东南</w:t>
            </w:r>
          </w:p>
        </w:tc>
        <w:tc>
          <w:tcPr>
            <w:tcW w:w="1127"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1 300</w:t>
            </w:r>
          </w:p>
        </w:tc>
        <w:tc>
          <w:tcPr>
            <w:tcW w:w="828"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1"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龙体村</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大气污染</w:t>
            </w:r>
          </w:p>
        </w:tc>
        <w:tc>
          <w:tcPr>
            <w:tcW w:w="849"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东南</w:t>
            </w:r>
          </w:p>
        </w:tc>
        <w:tc>
          <w:tcPr>
            <w:tcW w:w="1127"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1310</w:t>
            </w:r>
          </w:p>
        </w:tc>
        <w:tc>
          <w:tcPr>
            <w:tcW w:w="828"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1"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墩头村</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大气污染</w:t>
            </w:r>
          </w:p>
        </w:tc>
        <w:tc>
          <w:tcPr>
            <w:tcW w:w="849"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南</w:t>
            </w:r>
          </w:p>
        </w:tc>
        <w:tc>
          <w:tcPr>
            <w:tcW w:w="1127"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1790</w:t>
            </w:r>
          </w:p>
        </w:tc>
        <w:tc>
          <w:tcPr>
            <w:tcW w:w="828"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1"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沙岭李</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大气污染</w:t>
            </w:r>
          </w:p>
        </w:tc>
        <w:tc>
          <w:tcPr>
            <w:tcW w:w="849"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东南</w:t>
            </w:r>
          </w:p>
        </w:tc>
        <w:tc>
          <w:tcPr>
            <w:tcW w:w="1127"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1950</w:t>
            </w:r>
          </w:p>
        </w:tc>
        <w:tc>
          <w:tcPr>
            <w:tcW w:w="828"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1 50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1"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将军屯村</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大气污染</w:t>
            </w:r>
          </w:p>
        </w:tc>
        <w:tc>
          <w:tcPr>
            <w:tcW w:w="849"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西南</w:t>
            </w:r>
          </w:p>
        </w:tc>
        <w:tc>
          <w:tcPr>
            <w:tcW w:w="1127"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2320</w:t>
            </w:r>
          </w:p>
        </w:tc>
        <w:tc>
          <w:tcPr>
            <w:tcW w:w="828"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1"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无名溪</w:t>
            </w:r>
          </w:p>
        </w:tc>
        <w:tc>
          <w:tcPr>
            <w:tcW w:w="876"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水污染</w:t>
            </w:r>
          </w:p>
        </w:tc>
        <w:tc>
          <w:tcPr>
            <w:tcW w:w="849"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东南</w:t>
            </w:r>
          </w:p>
        </w:tc>
        <w:tc>
          <w:tcPr>
            <w:tcW w:w="1127"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w:t>
            </w:r>
          </w:p>
        </w:tc>
        <w:tc>
          <w:tcPr>
            <w:tcW w:w="828" w:type="pct"/>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bl>
    <w:p>
      <w:pPr>
        <w:pStyle w:val="2"/>
        <w:rPr>
          <w:rFonts w:hint="eastAsia" w:eastAsia="仿宋"/>
          <w:b/>
          <w:szCs w:val="21"/>
        </w:rPr>
      </w:pPr>
    </w:p>
    <w:p>
      <w:pPr>
        <w:pStyle w:val="2"/>
        <w:rPr>
          <w:rFonts w:hint="eastAsia" w:eastAsia="仿宋"/>
          <w:b/>
          <w:szCs w:val="21"/>
        </w:rPr>
      </w:pPr>
    </w:p>
    <w:p>
      <w:pPr>
        <w:pStyle w:val="2"/>
        <w:rPr>
          <w:rFonts w:hint="eastAsia" w:eastAsia="仿宋"/>
          <w:b/>
          <w:szCs w:val="21"/>
        </w:rPr>
      </w:pPr>
    </w:p>
    <w:p>
      <w:pPr>
        <w:spacing w:before="240" w:beforeLines="100" w:line="360" w:lineRule="auto"/>
        <w:outlineLvl w:val="1"/>
        <w:rPr>
          <w:b/>
          <w:sz w:val="30"/>
          <w:szCs w:val="30"/>
        </w:rPr>
      </w:pPr>
      <w:bookmarkStart w:id="47" w:name="_Toc9429"/>
      <w:r>
        <w:rPr>
          <w:rFonts w:hint="eastAsia"/>
          <w:b/>
          <w:sz w:val="30"/>
          <w:szCs w:val="30"/>
        </w:rPr>
        <w:t>2</w:t>
      </w:r>
      <w:r>
        <w:rPr>
          <w:b/>
          <w:sz w:val="30"/>
          <w:szCs w:val="30"/>
        </w:rPr>
        <w:t>.</w:t>
      </w:r>
      <w:r>
        <w:rPr>
          <w:rFonts w:hint="eastAsia"/>
          <w:b/>
          <w:sz w:val="30"/>
          <w:szCs w:val="30"/>
        </w:rPr>
        <w:t>7环境风险物质</w:t>
      </w:r>
      <w:bookmarkEnd w:id="47"/>
    </w:p>
    <w:p>
      <w:pPr>
        <w:spacing w:line="360" w:lineRule="auto"/>
        <w:outlineLvl w:val="2"/>
        <w:rPr>
          <w:b/>
          <w:sz w:val="28"/>
          <w:szCs w:val="28"/>
        </w:rPr>
      </w:pPr>
      <w:bookmarkStart w:id="48" w:name="_Toc797"/>
      <w:r>
        <w:rPr>
          <w:rFonts w:hint="eastAsia"/>
          <w:b/>
          <w:sz w:val="28"/>
          <w:szCs w:val="28"/>
        </w:rPr>
        <w:t>2</w:t>
      </w:r>
      <w:r>
        <w:rPr>
          <w:b/>
          <w:sz w:val="28"/>
          <w:szCs w:val="28"/>
        </w:rPr>
        <w:t>.</w:t>
      </w:r>
      <w:r>
        <w:rPr>
          <w:rFonts w:hint="eastAsia"/>
          <w:b/>
          <w:sz w:val="28"/>
          <w:szCs w:val="28"/>
        </w:rPr>
        <w:t>7</w:t>
      </w:r>
      <w:r>
        <w:rPr>
          <w:b/>
          <w:sz w:val="28"/>
          <w:szCs w:val="28"/>
        </w:rPr>
        <w:t>.1</w:t>
      </w:r>
      <w:r>
        <w:rPr>
          <w:rFonts w:hint="eastAsia"/>
          <w:b/>
          <w:sz w:val="28"/>
          <w:szCs w:val="28"/>
        </w:rPr>
        <w:t>生产原辅材料</w:t>
      </w:r>
      <w:bookmarkEnd w:id="48"/>
    </w:p>
    <w:p>
      <w:pPr>
        <w:spacing w:before="120" w:beforeLines="50" w:line="360" w:lineRule="auto"/>
        <w:ind w:firstLine="480" w:firstLineChars="200"/>
        <w:rPr>
          <w:rFonts w:eastAsia="仿宋_GB2312"/>
          <w:sz w:val="24"/>
        </w:rPr>
      </w:pPr>
      <w:r>
        <w:rPr>
          <w:rFonts w:hint="eastAsia" w:eastAsia="仿宋_GB2312"/>
          <w:sz w:val="24"/>
        </w:rPr>
        <w:t>（1）原辅材料用量</w:t>
      </w:r>
    </w:p>
    <w:p>
      <w:pPr>
        <w:spacing w:before="120" w:beforeLines="50" w:line="360" w:lineRule="auto"/>
        <w:ind w:firstLine="480" w:firstLineChars="200"/>
        <w:rPr>
          <w:rFonts w:eastAsia="仿宋_GB2312"/>
          <w:sz w:val="24"/>
        </w:rPr>
      </w:pPr>
      <w:r>
        <w:rPr>
          <w:rFonts w:eastAsia="仿宋_GB2312"/>
          <w:sz w:val="24"/>
        </w:rPr>
        <w:t>公司的主要原辅材料及其消耗量见表</w:t>
      </w:r>
      <w:r>
        <w:rPr>
          <w:rFonts w:hint="eastAsia" w:eastAsia="仿宋_GB2312"/>
          <w:sz w:val="24"/>
        </w:rPr>
        <w:t>2</w:t>
      </w:r>
      <w:r>
        <w:rPr>
          <w:rFonts w:eastAsia="仿宋_GB2312"/>
          <w:sz w:val="24"/>
        </w:rPr>
        <w:t>.</w:t>
      </w:r>
      <w:r>
        <w:rPr>
          <w:rFonts w:hint="eastAsia" w:eastAsia="仿宋_GB2312"/>
          <w:sz w:val="24"/>
        </w:rPr>
        <w:t>7-1</w:t>
      </w:r>
      <w:r>
        <w:rPr>
          <w:rFonts w:eastAsia="仿宋_GB2312"/>
          <w:sz w:val="24"/>
        </w:rPr>
        <w:t>。</w:t>
      </w:r>
    </w:p>
    <w:p>
      <w:pPr>
        <w:spacing w:before="120" w:beforeLines="50" w:line="360" w:lineRule="auto"/>
        <w:jc w:val="center"/>
        <w:rPr>
          <w:rFonts w:hint="eastAsia" w:eastAsia="仿宋_GB2312"/>
          <w:b/>
          <w:szCs w:val="21"/>
        </w:rPr>
      </w:pPr>
      <w:r>
        <w:rPr>
          <w:rFonts w:hint="eastAsia" w:eastAsia="仿宋_GB2312"/>
          <w:b/>
          <w:szCs w:val="21"/>
        </w:rPr>
        <w:t>表2.7-1</w:t>
      </w:r>
      <w:r>
        <w:rPr>
          <w:rFonts w:eastAsia="仿宋_GB2312"/>
          <w:b/>
          <w:szCs w:val="21"/>
        </w:rPr>
        <w:t xml:space="preserve">  </w:t>
      </w:r>
      <w:r>
        <w:rPr>
          <w:rFonts w:hint="eastAsia" w:eastAsia="仿宋_GB2312"/>
          <w:b/>
          <w:szCs w:val="21"/>
        </w:rPr>
        <w:t>主要原辅材料一览表</w:t>
      </w:r>
    </w:p>
    <w:tbl>
      <w:tblPr>
        <w:tblStyle w:val="32"/>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958"/>
        <w:gridCol w:w="643"/>
        <w:gridCol w:w="908"/>
        <w:gridCol w:w="1266"/>
        <w:gridCol w:w="1155"/>
        <w:gridCol w:w="1605"/>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名称</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形态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最大储</w:t>
            </w:r>
            <w:r>
              <w:rPr>
                <w:rStyle w:val="99"/>
                <w:rFonts w:hint="eastAsia" w:ascii="宋体" w:hAnsi="宋体" w:eastAsia="宋体" w:cs="宋体"/>
                <w:sz w:val="21"/>
                <w:szCs w:val="21"/>
                <w:lang w:val="en-US" w:eastAsia="zh-CN" w:bidi="ar"/>
              </w:rPr>
              <w:t xml:space="preserve"> 存量(t)</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年用量（t）</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用途</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储存方式</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储存位置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石灰石</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30000</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1361433.79</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生料配料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全封闭堆棚</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圆堆棚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低硅黏土</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50000</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233340.25</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生料配料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半封闭堆棚</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长堆棚/粘土堆棚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高硅黏土</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8000</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48538.2</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生料配料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半封闭堆棚</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长堆棚/粘土堆棚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烟煤</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16800</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200756.33</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燃料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半封闭堆棚</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长堆棚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硫酸渣</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1000</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26421.59</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生料配料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半封闭堆棚</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铁粉堆棚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粉煤灰</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600</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32535.86</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水泥配料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半封闭堆棚</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混合材堆棚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5"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矿渣粉</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600</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22596.12</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水泥配料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半封闭堆棚</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混合材堆棚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废石</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30000</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387941.21</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水泥配料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半封闭堆棚</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混合材堆棚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天然二水石膏</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10000</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74885.12</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水泥配料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半封闭堆棚</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混合材堆棚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氟石膏</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2000</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9400.43</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水泥配料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半封闭堆棚</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混合材堆棚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助磨剂</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液态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30t</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1716.3</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水泥配料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密闭储罐</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水泥配料站靠立磨侧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缓凝剂</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液态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77</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水泥配料</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密闭储罐</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水泥配料站旁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阻垢剂</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液态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余热发电循</w:t>
            </w:r>
            <w:r>
              <w:rPr>
                <w:rStyle w:val="99"/>
                <w:rFonts w:hint="eastAsia" w:ascii="宋体" w:hAnsi="宋体" w:eastAsia="宋体" w:cs="宋体"/>
                <w:sz w:val="21"/>
                <w:szCs w:val="21"/>
                <w:lang w:val="en-US" w:eastAsia="zh-CN" w:bidi="ar"/>
              </w:rPr>
              <w:t xml:space="preserve"> 环水池用</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密闭胶桶</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余热发</w:t>
            </w:r>
            <w:r>
              <w:rPr>
                <w:rStyle w:val="99"/>
                <w:rFonts w:hint="eastAsia" w:ascii="宋体" w:hAnsi="宋体" w:eastAsia="宋体" w:cs="宋体"/>
                <w:sz w:val="21"/>
                <w:szCs w:val="21"/>
                <w:lang w:val="en-US" w:eastAsia="zh-CN" w:bidi="ar"/>
              </w:rPr>
              <w:t>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杀菌剂</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液态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0.3</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余热发电循</w:t>
            </w:r>
            <w:r>
              <w:rPr>
                <w:rStyle w:val="99"/>
                <w:rFonts w:hint="eastAsia" w:ascii="宋体" w:hAnsi="宋体" w:eastAsia="宋体" w:cs="宋体"/>
                <w:sz w:val="21"/>
                <w:szCs w:val="21"/>
                <w:lang w:val="en-US" w:eastAsia="zh-CN" w:bidi="ar"/>
              </w:rPr>
              <w:t xml:space="preserve"> 环水池用</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密闭胶桶</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余热发</w:t>
            </w:r>
            <w:r>
              <w:rPr>
                <w:rStyle w:val="99"/>
                <w:rFonts w:hint="eastAsia" w:ascii="宋体" w:hAnsi="宋体" w:eastAsia="宋体" w:cs="宋体"/>
                <w:sz w:val="21"/>
                <w:szCs w:val="21"/>
                <w:lang w:val="en-US" w:eastAsia="zh-CN" w:bidi="ar"/>
              </w:rPr>
              <w:t>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絮凝剂</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液态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0.2</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余热发电循</w:t>
            </w:r>
            <w:r>
              <w:rPr>
                <w:rStyle w:val="99"/>
                <w:rFonts w:hint="eastAsia" w:ascii="宋体" w:hAnsi="宋体" w:eastAsia="宋体" w:cs="宋体"/>
                <w:sz w:val="21"/>
                <w:szCs w:val="21"/>
                <w:lang w:val="en-US" w:eastAsia="zh-CN" w:bidi="ar"/>
              </w:rPr>
              <w:t xml:space="preserve"> 环水池用</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密闭胶桶</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余热发</w:t>
            </w:r>
            <w:r>
              <w:rPr>
                <w:rStyle w:val="99"/>
                <w:rFonts w:hint="eastAsia" w:ascii="宋体" w:hAnsi="宋体" w:eastAsia="宋体" w:cs="宋体"/>
                <w:sz w:val="21"/>
                <w:szCs w:val="21"/>
                <w:lang w:val="en-US" w:eastAsia="zh-CN" w:bidi="ar"/>
              </w:rPr>
              <w:t>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氨水</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液态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45</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4277</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脱硝固氮</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密闭储罐</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氨水罐房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盐酸</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液态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0.15</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100L</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化验室</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密闭容器</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中央控制楼化学品仓库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硫酸</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液态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0.1</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40L</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化验室</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密闭容器</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中央控制楼化学品仓库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硝酸</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液态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0.01</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2L</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化验室</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密闭容器，专用化学品仓</w:t>
            </w:r>
            <w:r>
              <w:rPr>
                <w:rStyle w:val="99"/>
                <w:rFonts w:hint="eastAsia" w:ascii="宋体" w:hAnsi="宋体" w:eastAsia="宋体" w:cs="宋体"/>
                <w:sz w:val="21"/>
                <w:szCs w:val="21"/>
                <w:lang w:val="en-US" w:eastAsia="zh-CN" w:bidi="ar"/>
              </w:rPr>
              <w:t xml:space="preserve"> 库</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中央控制楼化学品仓库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磷酸</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液态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0.01</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3.5L</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化验室</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密闭容器</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中央控制楼化学品仓库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聚合化二铝</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0.5</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150KG</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废水处理</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袋装，25kg/袋</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污水处理站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聚丙烯酰胺</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0.5</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270KG</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废水处理</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袋装，25kg/袋</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污水处理站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污泥净水剂</w:t>
            </w:r>
          </w:p>
        </w:tc>
        <w:tc>
          <w:tcPr>
            <w:tcW w:w="4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固态</w:t>
            </w:r>
          </w:p>
        </w:tc>
        <w:tc>
          <w:tcPr>
            <w:tcW w:w="55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5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99</w:t>
            </w:r>
          </w:p>
        </w:tc>
        <w:tc>
          <w:tcPr>
            <w:tcW w:w="703"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骨料线污泥沉降</w:t>
            </w:r>
          </w:p>
        </w:tc>
        <w:tc>
          <w:tcPr>
            <w:tcW w:w="967"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袋装，25kg/袋</w:t>
            </w:r>
          </w:p>
        </w:tc>
        <w:tc>
          <w:tcPr>
            <w:tcW w:w="1188" w:type="pct"/>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骨料线仓库</w:t>
            </w:r>
          </w:p>
        </w:tc>
      </w:tr>
    </w:tbl>
    <w:p>
      <w:pPr>
        <w:pStyle w:val="2"/>
        <w:jc w:val="center"/>
        <w:rPr>
          <w:rFonts w:hint="eastAsia" w:eastAsia="仿宋_GB2312"/>
          <w:b/>
          <w:szCs w:val="21"/>
        </w:rPr>
      </w:pPr>
    </w:p>
    <w:p>
      <w:pPr>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jc w:val="left"/>
        <w:textAlignment w:val="auto"/>
        <w:rPr>
          <w:rFonts w:eastAsia="仿宋_GB2312"/>
          <w:sz w:val="24"/>
        </w:rPr>
      </w:pPr>
      <w:r>
        <w:rPr>
          <w:rFonts w:eastAsia="仿宋_GB2312"/>
          <w:sz w:val="24"/>
        </w:rPr>
        <w:t>（</w:t>
      </w:r>
      <w:r>
        <w:rPr>
          <w:rFonts w:hint="eastAsia" w:eastAsia="仿宋_GB2312"/>
          <w:sz w:val="24"/>
        </w:rPr>
        <w:t>2</w:t>
      </w:r>
      <w:r>
        <w:rPr>
          <w:rFonts w:eastAsia="仿宋_GB2312"/>
          <w:sz w:val="24"/>
        </w:rPr>
        <w:t>）有关化学品特性</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eastAsia="仿宋_GB2312"/>
          <w:sz w:val="24"/>
        </w:rPr>
        <w:t>根据《危险化学品名录》（2015版）、《剧毒化学品名录》（2002 版）等规范性文件，公司所涉及的危险化学品</w:t>
      </w:r>
      <w:r>
        <w:rPr>
          <w:rFonts w:hint="eastAsia" w:eastAsia="仿宋_GB2312"/>
          <w:sz w:val="24"/>
          <w:lang w:val="en-US" w:eastAsia="zh-CN"/>
        </w:rPr>
        <w:t>特性见下表</w:t>
      </w:r>
      <w:r>
        <w:rPr>
          <w:rFonts w:hint="eastAsia" w:eastAsia="仿宋_GB2312"/>
          <w:sz w:val="24"/>
        </w:rPr>
        <w:t>。</w:t>
      </w:r>
    </w:p>
    <w:p>
      <w:pPr>
        <w:adjustRightInd w:val="0"/>
        <w:snapToGrid w:val="0"/>
        <w:spacing w:line="360" w:lineRule="auto"/>
        <w:jc w:val="center"/>
        <w:rPr>
          <w:rFonts w:hint="eastAsia" w:eastAsia="仿宋_GB2312"/>
          <w:b/>
          <w:szCs w:val="21"/>
          <w:lang w:val="en-US" w:eastAsia="zh-CN"/>
        </w:rPr>
      </w:pPr>
      <w:r>
        <w:rPr>
          <w:rFonts w:hint="eastAsia" w:eastAsia="仿宋_GB2312"/>
          <w:b/>
          <w:szCs w:val="21"/>
        </w:rPr>
        <w:t>表2.7-2</w:t>
      </w:r>
      <w:r>
        <w:rPr>
          <w:rFonts w:hint="eastAsia" w:eastAsia="仿宋_GB2312"/>
          <w:b/>
          <w:szCs w:val="21"/>
          <w:lang w:val="en-US" w:eastAsia="zh-CN"/>
        </w:rPr>
        <w:t xml:space="preserve"> 氨水危险特性表</w:t>
      </w:r>
    </w:p>
    <w:tbl>
      <w:tblPr>
        <w:tblStyle w:val="98"/>
        <w:tblW w:w="832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58"/>
        <w:gridCol w:w="1439"/>
        <w:gridCol w:w="995"/>
        <w:gridCol w:w="1595"/>
        <w:gridCol w:w="828"/>
        <w:gridCol w:w="1351"/>
        <w:gridCol w:w="378"/>
        <w:gridCol w:w="97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758" w:type="dxa"/>
            <w:vMerge w:val="restart"/>
            <w:tcBorders>
              <w:bottom w:val="nil"/>
            </w:tcBorders>
            <w:vAlign w:val="top"/>
          </w:tcPr>
          <w:p>
            <w:pPr>
              <w:spacing w:before="232" w:line="184" w:lineRule="auto"/>
              <w:ind w:firstLine="204"/>
              <w:rPr>
                <w:rFonts w:ascii="宋体" w:hAnsi="宋体" w:eastAsia="宋体" w:cs="宋体"/>
                <w:sz w:val="18"/>
                <w:szCs w:val="18"/>
              </w:rPr>
            </w:pPr>
            <w:r>
              <w:rPr>
                <w:rFonts w:ascii="宋体" w:hAnsi="宋体" w:eastAsia="宋体" w:cs="宋体"/>
                <w:spacing w:val="-4"/>
                <w:sz w:val="18"/>
                <w:szCs w:val="18"/>
              </w:rPr>
              <w:t>标识</w:t>
            </w:r>
          </w:p>
        </w:tc>
        <w:tc>
          <w:tcPr>
            <w:tcW w:w="4857" w:type="dxa"/>
            <w:gridSpan w:val="4"/>
            <w:vAlign w:val="top"/>
          </w:tcPr>
          <w:p>
            <w:pPr>
              <w:spacing w:before="72" w:line="184" w:lineRule="auto"/>
              <w:ind w:firstLine="634"/>
              <w:rPr>
                <w:rFonts w:ascii="宋体" w:hAnsi="宋体" w:eastAsia="宋体" w:cs="宋体"/>
                <w:sz w:val="18"/>
                <w:szCs w:val="18"/>
              </w:rPr>
            </w:pPr>
            <w:r>
              <w:rPr>
                <w:rFonts w:ascii="宋体" w:hAnsi="宋体" w:eastAsia="宋体" w:cs="宋体"/>
                <w:spacing w:val="-11"/>
                <w:sz w:val="18"/>
                <w:szCs w:val="18"/>
              </w:rPr>
              <w:t>中文名：</w:t>
            </w:r>
            <w:r>
              <w:rPr>
                <w:rFonts w:ascii="宋体" w:hAnsi="宋体" w:eastAsia="宋体" w:cs="宋体"/>
                <w:spacing w:val="52"/>
                <w:sz w:val="18"/>
                <w:szCs w:val="18"/>
              </w:rPr>
              <w:t xml:space="preserve"> </w:t>
            </w:r>
            <w:r>
              <w:rPr>
                <w:rFonts w:ascii="宋体" w:hAnsi="宋体" w:eastAsia="宋体" w:cs="宋体"/>
                <w:spacing w:val="-11"/>
                <w:sz w:val="18"/>
                <w:szCs w:val="18"/>
              </w:rPr>
              <w:t>氨溶液[10%&lt;含氨≤35%]；</w:t>
            </w:r>
            <w:r>
              <w:rPr>
                <w:rFonts w:ascii="宋体" w:hAnsi="宋体" w:eastAsia="宋体" w:cs="宋体"/>
                <w:spacing w:val="42"/>
                <w:sz w:val="18"/>
                <w:szCs w:val="18"/>
              </w:rPr>
              <w:t xml:space="preserve"> </w:t>
            </w:r>
            <w:r>
              <w:rPr>
                <w:rFonts w:ascii="宋体" w:hAnsi="宋体" w:eastAsia="宋体" w:cs="宋体"/>
                <w:spacing w:val="-11"/>
                <w:sz w:val="18"/>
                <w:szCs w:val="18"/>
              </w:rPr>
              <w:t>氢氧化铵，氨水</w:t>
            </w:r>
          </w:p>
        </w:tc>
        <w:tc>
          <w:tcPr>
            <w:tcW w:w="2707" w:type="dxa"/>
            <w:gridSpan w:val="3"/>
            <w:vAlign w:val="top"/>
          </w:tcPr>
          <w:p>
            <w:pPr>
              <w:spacing w:before="72" w:line="184" w:lineRule="auto"/>
              <w:ind w:firstLine="504"/>
              <w:rPr>
                <w:rFonts w:ascii="宋体" w:hAnsi="宋体" w:eastAsia="宋体" w:cs="宋体"/>
                <w:sz w:val="18"/>
                <w:szCs w:val="18"/>
              </w:rPr>
            </w:pPr>
            <w:r>
              <w:rPr>
                <w:rFonts w:ascii="宋体" w:hAnsi="宋体" w:eastAsia="宋体" w:cs="宋体"/>
                <w:spacing w:val="-12"/>
                <w:sz w:val="18"/>
                <w:szCs w:val="18"/>
              </w:rPr>
              <w:t>危险货物编号：</w:t>
            </w:r>
            <w:r>
              <w:rPr>
                <w:rFonts w:ascii="宋体" w:hAnsi="宋体" w:eastAsia="宋体" w:cs="宋体"/>
                <w:spacing w:val="45"/>
                <w:w w:val="101"/>
                <w:sz w:val="18"/>
                <w:szCs w:val="18"/>
              </w:rPr>
              <w:t xml:space="preserve"> </w:t>
            </w:r>
            <w:r>
              <w:rPr>
                <w:rFonts w:ascii="宋体" w:hAnsi="宋体" w:eastAsia="宋体" w:cs="宋体"/>
                <w:spacing w:val="-12"/>
                <w:sz w:val="18"/>
                <w:szCs w:val="18"/>
              </w:rPr>
              <w:t>82503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58" w:type="dxa"/>
            <w:vMerge w:val="continue"/>
            <w:tcBorders>
              <w:top w:val="nil"/>
            </w:tcBorders>
            <w:vAlign w:val="top"/>
          </w:tcPr>
          <w:p>
            <w:pPr>
              <w:rPr>
                <w:rFonts w:ascii="宋体"/>
                <w:sz w:val="21"/>
              </w:rPr>
            </w:pPr>
          </w:p>
        </w:tc>
        <w:tc>
          <w:tcPr>
            <w:tcW w:w="2434" w:type="dxa"/>
            <w:gridSpan w:val="2"/>
            <w:vAlign w:val="top"/>
          </w:tcPr>
          <w:p>
            <w:pPr>
              <w:spacing w:before="67" w:line="186" w:lineRule="auto"/>
              <w:ind w:firstLine="869"/>
              <w:rPr>
                <w:rFonts w:ascii="宋体" w:hAnsi="宋体" w:eastAsia="宋体" w:cs="宋体"/>
                <w:sz w:val="18"/>
                <w:szCs w:val="18"/>
              </w:rPr>
            </w:pPr>
            <w:r>
              <w:rPr>
                <w:rFonts w:ascii="宋体" w:hAnsi="宋体" w:eastAsia="宋体" w:cs="宋体"/>
                <w:spacing w:val="-4"/>
                <w:w w:val="91"/>
                <w:sz w:val="18"/>
                <w:szCs w:val="18"/>
              </w:rPr>
              <w:t>分子式：</w:t>
            </w:r>
            <w:r>
              <w:rPr>
                <w:rFonts w:ascii="宋体" w:hAnsi="宋体" w:eastAsia="宋体" w:cs="宋体"/>
                <w:spacing w:val="39"/>
                <w:sz w:val="18"/>
                <w:szCs w:val="18"/>
              </w:rPr>
              <w:t xml:space="preserve"> </w:t>
            </w:r>
            <w:r>
              <w:rPr>
                <w:rFonts w:ascii="宋体" w:hAnsi="宋体" w:eastAsia="宋体" w:cs="宋体"/>
                <w:spacing w:val="-4"/>
                <w:w w:val="91"/>
                <w:sz w:val="18"/>
                <w:szCs w:val="18"/>
              </w:rPr>
              <w:t>NH</w:t>
            </w:r>
            <w:r>
              <w:rPr>
                <w:rFonts w:ascii="宋体" w:hAnsi="宋体" w:eastAsia="宋体" w:cs="宋体"/>
                <w:spacing w:val="-4"/>
                <w:w w:val="91"/>
                <w:position w:val="-2"/>
                <w:sz w:val="9"/>
                <w:szCs w:val="9"/>
              </w:rPr>
              <w:t>4</w:t>
            </w:r>
            <w:r>
              <w:rPr>
                <w:rFonts w:ascii="宋体" w:hAnsi="宋体" w:eastAsia="宋体" w:cs="宋体"/>
                <w:spacing w:val="-4"/>
                <w:w w:val="91"/>
                <w:sz w:val="18"/>
                <w:szCs w:val="18"/>
              </w:rPr>
              <w:t>OH</w:t>
            </w:r>
          </w:p>
        </w:tc>
        <w:tc>
          <w:tcPr>
            <w:tcW w:w="2423" w:type="dxa"/>
            <w:gridSpan w:val="2"/>
            <w:vAlign w:val="top"/>
          </w:tcPr>
          <w:p>
            <w:pPr>
              <w:spacing w:before="67" w:line="184" w:lineRule="auto"/>
              <w:ind w:firstLine="844"/>
              <w:rPr>
                <w:rFonts w:ascii="宋体" w:hAnsi="宋体" w:eastAsia="宋体" w:cs="宋体"/>
                <w:sz w:val="18"/>
                <w:szCs w:val="18"/>
              </w:rPr>
            </w:pPr>
            <w:r>
              <w:rPr>
                <w:rFonts w:ascii="宋体" w:hAnsi="宋体" w:eastAsia="宋体" w:cs="宋体"/>
                <w:spacing w:val="-16"/>
                <w:sz w:val="18"/>
                <w:szCs w:val="18"/>
              </w:rPr>
              <w:t>分子量：</w:t>
            </w:r>
            <w:r>
              <w:rPr>
                <w:rFonts w:ascii="宋体" w:hAnsi="宋体" w:eastAsia="宋体" w:cs="宋体"/>
                <w:spacing w:val="45"/>
                <w:w w:val="101"/>
                <w:sz w:val="18"/>
                <w:szCs w:val="18"/>
              </w:rPr>
              <w:t xml:space="preserve"> </w:t>
            </w:r>
            <w:r>
              <w:rPr>
                <w:rFonts w:ascii="宋体" w:hAnsi="宋体" w:eastAsia="宋体" w:cs="宋体"/>
                <w:spacing w:val="-16"/>
                <w:sz w:val="18"/>
                <w:szCs w:val="18"/>
              </w:rPr>
              <w:t>35.05</w:t>
            </w:r>
          </w:p>
        </w:tc>
        <w:tc>
          <w:tcPr>
            <w:tcW w:w="2707" w:type="dxa"/>
            <w:gridSpan w:val="3"/>
            <w:vAlign w:val="top"/>
          </w:tcPr>
          <w:p>
            <w:pPr>
              <w:spacing w:before="67" w:line="184" w:lineRule="auto"/>
              <w:ind w:firstLine="614"/>
              <w:rPr>
                <w:rFonts w:ascii="宋体" w:hAnsi="宋体" w:eastAsia="宋体" w:cs="宋体"/>
                <w:sz w:val="18"/>
                <w:szCs w:val="18"/>
              </w:rPr>
            </w:pPr>
            <w:r>
              <w:rPr>
                <w:rFonts w:ascii="宋体" w:hAnsi="宋体" w:eastAsia="宋体" w:cs="宋体"/>
                <w:spacing w:val="-8"/>
                <w:w w:val="95"/>
                <w:sz w:val="18"/>
                <w:szCs w:val="18"/>
              </w:rPr>
              <w:t>CAS</w:t>
            </w:r>
            <w:r>
              <w:rPr>
                <w:rFonts w:ascii="宋体" w:hAnsi="宋体" w:eastAsia="宋体" w:cs="宋体"/>
                <w:spacing w:val="-29"/>
                <w:sz w:val="18"/>
                <w:szCs w:val="18"/>
              </w:rPr>
              <w:t xml:space="preserve"> </w:t>
            </w:r>
            <w:r>
              <w:rPr>
                <w:rFonts w:ascii="宋体" w:hAnsi="宋体" w:eastAsia="宋体" w:cs="宋体"/>
                <w:spacing w:val="-8"/>
                <w:w w:val="95"/>
                <w:sz w:val="18"/>
                <w:szCs w:val="18"/>
              </w:rPr>
              <w:t>号：</w:t>
            </w:r>
            <w:r>
              <w:rPr>
                <w:rFonts w:ascii="宋体" w:hAnsi="宋体" w:eastAsia="宋体" w:cs="宋体"/>
                <w:spacing w:val="51"/>
                <w:sz w:val="18"/>
                <w:szCs w:val="18"/>
              </w:rPr>
              <w:t xml:space="preserve"> </w:t>
            </w:r>
            <w:r>
              <w:rPr>
                <w:rFonts w:ascii="宋体" w:hAnsi="宋体" w:eastAsia="宋体" w:cs="宋体"/>
                <w:spacing w:val="-8"/>
                <w:w w:val="95"/>
                <w:sz w:val="18"/>
                <w:szCs w:val="18"/>
              </w:rPr>
              <w:t>1336</w:t>
            </w:r>
            <w:r>
              <w:rPr>
                <w:rFonts w:ascii="宋体" w:hAnsi="宋体" w:eastAsia="宋体" w:cs="宋体"/>
                <w:spacing w:val="9"/>
                <w:sz w:val="18"/>
                <w:szCs w:val="18"/>
              </w:rPr>
              <w:t xml:space="preserve"> </w:t>
            </w:r>
            <w:r>
              <w:rPr>
                <w:rFonts w:ascii="宋体" w:hAnsi="宋体" w:eastAsia="宋体" w:cs="宋体"/>
                <w:spacing w:val="-8"/>
                <w:w w:val="95"/>
                <w:sz w:val="18"/>
                <w:szCs w:val="18"/>
              </w:rPr>
              <w:t>21-6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758" w:type="dxa"/>
            <w:vMerge w:val="restart"/>
            <w:tcBorders>
              <w:bottom w:val="nil"/>
            </w:tcBorders>
            <w:textDirection w:val="tbRlV"/>
            <w:vAlign w:val="top"/>
          </w:tcPr>
          <w:p>
            <w:pPr>
              <w:spacing w:before="286" w:line="180" w:lineRule="auto"/>
              <w:rPr>
                <w:rFonts w:ascii="宋体" w:hAnsi="宋体" w:eastAsia="宋体" w:cs="宋体"/>
                <w:sz w:val="18"/>
                <w:szCs w:val="18"/>
              </w:rPr>
            </w:pPr>
            <w:r>
              <w:rPr>
                <w:rFonts w:ascii="宋体" w:hAnsi="宋体" w:eastAsia="宋体" w:cs="宋体"/>
                <w:spacing w:val="-1"/>
                <w:sz w:val="18"/>
                <w:szCs w:val="18"/>
              </w:rPr>
              <w:t>理</w:t>
            </w:r>
            <w:r>
              <w:rPr>
                <w:rFonts w:ascii="宋体" w:hAnsi="宋体" w:eastAsia="宋体" w:cs="宋体"/>
                <w:spacing w:val="45"/>
                <w:sz w:val="18"/>
                <w:szCs w:val="18"/>
              </w:rPr>
              <w:t xml:space="preserve"> </w:t>
            </w:r>
            <w:r>
              <w:rPr>
                <w:rFonts w:ascii="宋体" w:hAnsi="宋体" w:eastAsia="宋体" w:cs="宋体"/>
                <w:spacing w:val="-1"/>
                <w:sz w:val="18"/>
                <w:szCs w:val="18"/>
              </w:rPr>
              <w:t>化</w:t>
            </w:r>
            <w:r>
              <w:rPr>
                <w:rFonts w:ascii="宋体" w:hAnsi="宋体" w:eastAsia="宋体" w:cs="宋体"/>
                <w:spacing w:val="42"/>
                <w:sz w:val="18"/>
                <w:szCs w:val="18"/>
              </w:rPr>
              <w:t xml:space="preserve"> </w:t>
            </w:r>
            <w:r>
              <w:rPr>
                <w:rFonts w:ascii="宋体" w:hAnsi="宋体" w:eastAsia="宋体" w:cs="宋体"/>
                <w:spacing w:val="-1"/>
                <w:sz w:val="18"/>
                <w:szCs w:val="18"/>
              </w:rPr>
              <w:t>性</w:t>
            </w:r>
            <w:r>
              <w:rPr>
                <w:rFonts w:ascii="宋体" w:hAnsi="宋体" w:eastAsia="宋体" w:cs="宋体"/>
                <w:spacing w:val="42"/>
                <w:w w:val="101"/>
                <w:sz w:val="18"/>
                <w:szCs w:val="18"/>
              </w:rPr>
              <w:t xml:space="preserve"> </w:t>
            </w:r>
            <w:r>
              <w:rPr>
                <w:rFonts w:ascii="宋体" w:hAnsi="宋体" w:eastAsia="宋体" w:cs="宋体"/>
                <w:spacing w:val="-1"/>
                <w:sz w:val="18"/>
                <w:szCs w:val="18"/>
              </w:rPr>
              <w:t>质</w:t>
            </w:r>
          </w:p>
        </w:tc>
        <w:tc>
          <w:tcPr>
            <w:tcW w:w="1439" w:type="dxa"/>
            <w:vAlign w:val="top"/>
          </w:tcPr>
          <w:p>
            <w:pPr>
              <w:spacing w:before="67" w:line="184" w:lineRule="auto"/>
              <w:ind w:firstLine="275"/>
              <w:rPr>
                <w:rFonts w:ascii="宋体" w:hAnsi="宋体" w:eastAsia="宋体" w:cs="宋体"/>
                <w:sz w:val="18"/>
                <w:szCs w:val="18"/>
              </w:rPr>
            </w:pPr>
            <w:r>
              <w:rPr>
                <w:rFonts w:ascii="宋体" w:hAnsi="宋体" w:eastAsia="宋体" w:cs="宋体"/>
                <w:spacing w:val="-3"/>
                <w:sz w:val="18"/>
                <w:szCs w:val="18"/>
              </w:rPr>
              <w:t>外观与性状</w:t>
            </w:r>
          </w:p>
        </w:tc>
        <w:tc>
          <w:tcPr>
            <w:tcW w:w="6125" w:type="dxa"/>
            <w:gridSpan w:val="6"/>
            <w:vAlign w:val="top"/>
          </w:tcPr>
          <w:p>
            <w:pPr>
              <w:spacing w:before="67" w:line="184" w:lineRule="auto"/>
              <w:ind w:firstLine="1836"/>
              <w:rPr>
                <w:rFonts w:ascii="宋体" w:hAnsi="宋体" w:eastAsia="宋体" w:cs="宋体"/>
                <w:sz w:val="18"/>
                <w:szCs w:val="18"/>
              </w:rPr>
            </w:pPr>
            <w:r>
              <w:rPr>
                <w:rFonts w:ascii="宋体" w:hAnsi="宋体" w:eastAsia="宋体" w:cs="宋体"/>
                <w:spacing w:val="-1"/>
                <w:sz w:val="18"/>
                <w:szCs w:val="18"/>
              </w:rPr>
              <w:t>无色透明液体，有强烈的刺激性臭味</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758" w:type="dxa"/>
            <w:vMerge w:val="continue"/>
            <w:tcBorders>
              <w:top w:val="nil"/>
              <w:bottom w:val="nil"/>
            </w:tcBorders>
            <w:textDirection w:val="tbRlV"/>
            <w:vAlign w:val="top"/>
          </w:tcPr>
          <w:p>
            <w:pPr>
              <w:rPr>
                <w:rFonts w:ascii="宋体"/>
                <w:sz w:val="21"/>
              </w:rPr>
            </w:pPr>
          </w:p>
        </w:tc>
        <w:tc>
          <w:tcPr>
            <w:tcW w:w="1439" w:type="dxa"/>
            <w:vAlign w:val="top"/>
          </w:tcPr>
          <w:p>
            <w:pPr>
              <w:spacing w:before="67" w:line="184" w:lineRule="auto"/>
              <w:ind w:firstLine="296"/>
              <w:rPr>
                <w:rFonts w:ascii="宋体" w:hAnsi="宋体" w:eastAsia="宋体" w:cs="宋体"/>
                <w:sz w:val="18"/>
                <w:szCs w:val="18"/>
              </w:rPr>
            </w:pPr>
            <w:r>
              <w:rPr>
                <w:rFonts w:ascii="宋体" w:hAnsi="宋体" w:eastAsia="宋体" w:cs="宋体"/>
                <w:spacing w:val="-2"/>
                <w:sz w:val="18"/>
                <w:szCs w:val="18"/>
              </w:rPr>
              <w:t>熔点（</w:t>
            </w:r>
            <w:r>
              <w:rPr>
                <w:rFonts w:ascii="宋体" w:hAnsi="宋体" w:eastAsia="宋体" w:cs="宋体"/>
                <w:spacing w:val="-2"/>
                <w:position w:val="8"/>
                <w:sz w:val="9"/>
                <w:szCs w:val="9"/>
              </w:rPr>
              <w:t>0</w:t>
            </w:r>
            <w:r>
              <w:rPr>
                <w:rFonts w:ascii="宋体" w:hAnsi="宋体" w:eastAsia="宋体" w:cs="宋体"/>
                <w:spacing w:val="-2"/>
                <w:sz w:val="18"/>
                <w:szCs w:val="18"/>
              </w:rPr>
              <w:t>C）</w:t>
            </w:r>
          </w:p>
        </w:tc>
        <w:tc>
          <w:tcPr>
            <w:tcW w:w="995" w:type="dxa"/>
            <w:vAlign w:val="top"/>
          </w:tcPr>
          <w:p>
            <w:pPr>
              <w:spacing w:before="67" w:line="184" w:lineRule="auto"/>
              <w:ind w:firstLine="665"/>
              <w:rPr>
                <w:rFonts w:ascii="宋体" w:hAnsi="宋体" w:eastAsia="宋体" w:cs="宋体"/>
                <w:sz w:val="18"/>
                <w:szCs w:val="18"/>
              </w:rPr>
            </w:pPr>
            <w:r>
              <w:rPr>
                <w:rFonts w:ascii="宋体" w:hAnsi="宋体" w:eastAsia="宋体" w:cs="宋体"/>
                <w:sz w:val="18"/>
                <w:szCs w:val="18"/>
              </w:rPr>
              <w:t>/</w:t>
            </w:r>
          </w:p>
        </w:tc>
        <w:tc>
          <w:tcPr>
            <w:tcW w:w="1595" w:type="dxa"/>
            <w:vAlign w:val="top"/>
          </w:tcPr>
          <w:p>
            <w:pPr>
              <w:spacing w:before="67" w:line="184" w:lineRule="auto"/>
              <w:ind w:firstLine="113"/>
              <w:rPr>
                <w:rFonts w:ascii="宋体" w:hAnsi="宋体" w:eastAsia="宋体" w:cs="宋体"/>
                <w:sz w:val="18"/>
                <w:szCs w:val="18"/>
              </w:rPr>
            </w:pPr>
            <w:r>
              <w:rPr>
                <w:rFonts w:ascii="宋体" w:hAnsi="宋体" w:eastAsia="宋体" w:cs="宋体"/>
                <w:spacing w:val="-1"/>
                <w:sz w:val="18"/>
                <w:szCs w:val="18"/>
              </w:rPr>
              <w:t>相对密度（水=1）</w:t>
            </w:r>
          </w:p>
        </w:tc>
        <w:tc>
          <w:tcPr>
            <w:tcW w:w="828" w:type="dxa"/>
            <w:vAlign w:val="top"/>
          </w:tcPr>
          <w:p>
            <w:pPr>
              <w:spacing w:before="95" w:line="180" w:lineRule="auto"/>
              <w:ind w:firstLine="240"/>
              <w:rPr>
                <w:rFonts w:ascii="宋体" w:hAnsi="宋体" w:eastAsia="宋体" w:cs="宋体"/>
                <w:sz w:val="18"/>
                <w:szCs w:val="18"/>
              </w:rPr>
            </w:pPr>
            <w:r>
              <w:rPr>
                <w:rFonts w:ascii="宋体" w:hAnsi="宋体" w:eastAsia="宋体" w:cs="宋体"/>
                <w:spacing w:val="-2"/>
                <w:sz w:val="18"/>
                <w:szCs w:val="18"/>
              </w:rPr>
              <w:t>0.91</w:t>
            </w:r>
          </w:p>
        </w:tc>
        <w:tc>
          <w:tcPr>
            <w:tcW w:w="1729" w:type="dxa"/>
            <w:gridSpan w:val="2"/>
            <w:vAlign w:val="top"/>
          </w:tcPr>
          <w:p>
            <w:pPr>
              <w:spacing w:before="67" w:line="184" w:lineRule="auto"/>
              <w:ind w:firstLine="114"/>
              <w:rPr>
                <w:rFonts w:ascii="宋体" w:hAnsi="宋体" w:eastAsia="宋体" w:cs="宋体"/>
                <w:sz w:val="18"/>
                <w:szCs w:val="18"/>
              </w:rPr>
            </w:pPr>
            <w:r>
              <w:rPr>
                <w:rFonts w:ascii="宋体" w:hAnsi="宋体" w:eastAsia="宋体" w:cs="宋体"/>
                <w:spacing w:val="-3"/>
                <w:sz w:val="18"/>
                <w:szCs w:val="18"/>
              </w:rPr>
              <w:t>相对密度（空气=1）</w:t>
            </w:r>
          </w:p>
        </w:tc>
        <w:tc>
          <w:tcPr>
            <w:tcW w:w="978" w:type="dxa"/>
            <w:vAlign w:val="top"/>
          </w:tcPr>
          <w:p>
            <w:pPr>
              <w:spacing w:before="67" w:line="184" w:lineRule="auto"/>
              <w:ind w:firstLine="657"/>
              <w:rPr>
                <w:rFonts w:ascii="宋体" w:hAnsi="宋体" w:eastAsia="宋体" w:cs="宋体"/>
                <w:sz w:val="18"/>
                <w:szCs w:val="18"/>
              </w:rPr>
            </w:pPr>
            <w:r>
              <w:rPr>
                <w:rFonts w:ascii="宋体" w:hAnsi="宋体" w:eastAsia="宋体" w:cs="宋体"/>
                <w:sz w:val="18"/>
                <w:szCs w:val="18"/>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58" w:type="dxa"/>
            <w:vMerge w:val="continue"/>
            <w:tcBorders>
              <w:top w:val="nil"/>
              <w:bottom w:val="nil"/>
            </w:tcBorders>
            <w:textDirection w:val="tbRlV"/>
            <w:vAlign w:val="top"/>
          </w:tcPr>
          <w:p>
            <w:pPr>
              <w:rPr>
                <w:rFonts w:ascii="宋体"/>
                <w:sz w:val="21"/>
              </w:rPr>
            </w:pPr>
          </w:p>
        </w:tc>
        <w:tc>
          <w:tcPr>
            <w:tcW w:w="1439" w:type="dxa"/>
            <w:vAlign w:val="top"/>
          </w:tcPr>
          <w:p>
            <w:pPr>
              <w:spacing w:before="68" w:line="184" w:lineRule="auto"/>
              <w:ind w:firstLine="296"/>
              <w:rPr>
                <w:rFonts w:ascii="宋体" w:hAnsi="宋体" w:eastAsia="宋体" w:cs="宋体"/>
                <w:sz w:val="18"/>
                <w:szCs w:val="18"/>
              </w:rPr>
            </w:pPr>
            <w:r>
              <w:rPr>
                <w:rFonts w:ascii="宋体" w:hAnsi="宋体" w:eastAsia="宋体" w:cs="宋体"/>
                <w:spacing w:val="-2"/>
                <w:sz w:val="18"/>
                <w:szCs w:val="18"/>
              </w:rPr>
              <w:t>沸点（</w:t>
            </w:r>
            <w:r>
              <w:rPr>
                <w:rFonts w:ascii="宋体" w:hAnsi="宋体" w:eastAsia="宋体" w:cs="宋体"/>
                <w:spacing w:val="-2"/>
                <w:position w:val="8"/>
                <w:sz w:val="9"/>
                <w:szCs w:val="9"/>
              </w:rPr>
              <w:t>0</w:t>
            </w:r>
            <w:r>
              <w:rPr>
                <w:rFonts w:ascii="宋体" w:hAnsi="宋体" w:eastAsia="宋体" w:cs="宋体"/>
                <w:spacing w:val="-2"/>
                <w:sz w:val="18"/>
                <w:szCs w:val="18"/>
              </w:rPr>
              <w:t>C）</w:t>
            </w:r>
          </w:p>
        </w:tc>
        <w:tc>
          <w:tcPr>
            <w:tcW w:w="995" w:type="dxa"/>
            <w:vAlign w:val="top"/>
          </w:tcPr>
          <w:p>
            <w:pPr>
              <w:spacing w:before="68" w:line="184" w:lineRule="auto"/>
              <w:ind w:firstLine="665"/>
              <w:rPr>
                <w:rFonts w:ascii="宋体" w:hAnsi="宋体" w:eastAsia="宋体" w:cs="宋体"/>
                <w:sz w:val="18"/>
                <w:szCs w:val="18"/>
              </w:rPr>
            </w:pPr>
            <w:r>
              <w:rPr>
                <w:rFonts w:ascii="宋体" w:hAnsi="宋体" w:eastAsia="宋体" w:cs="宋体"/>
                <w:sz w:val="18"/>
                <w:szCs w:val="18"/>
              </w:rPr>
              <w:t>/</w:t>
            </w:r>
          </w:p>
        </w:tc>
        <w:tc>
          <w:tcPr>
            <w:tcW w:w="2423" w:type="dxa"/>
            <w:gridSpan w:val="2"/>
            <w:vAlign w:val="top"/>
          </w:tcPr>
          <w:p>
            <w:pPr>
              <w:spacing w:before="68" w:line="184" w:lineRule="auto"/>
              <w:ind w:firstLine="661"/>
              <w:rPr>
                <w:rFonts w:ascii="宋体" w:hAnsi="宋体" w:eastAsia="宋体" w:cs="宋体"/>
                <w:sz w:val="18"/>
                <w:szCs w:val="18"/>
              </w:rPr>
            </w:pPr>
            <w:r>
              <w:rPr>
                <w:rFonts w:ascii="宋体" w:hAnsi="宋体" w:eastAsia="宋体" w:cs="宋体"/>
                <w:spacing w:val="-1"/>
                <w:sz w:val="18"/>
                <w:szCs w:val="18"/>
              </w:rPr>
              <w:t>饱和蒸汽压（kPa）</w:t>
            </w:r>
          </w:p>
        </w:tc>
        <w:tc>
          <w:tcPr>
            <w:tcW w:w="2707" w:type="dxa"/>
            <w:gridSpan w:val="3"/>
            <w:vAlign w:val="top"/>
          </w:tcPr>
          <w:p>
            <w:pPr>
              <w:spacing w:before="68" w:line="184" w:lineRule="auto"/>
              <w:ind w:firstLine="1197"/>
              <w:rPr>
                <w:rFonts w:ascii="宋体" w:hAnsi="宋体" w:eastAsia="宋体" w:cs="宋体"/>
                <w:sz w:val="18"/>
                <w:szCs w:val="18"/>
              </w:rPr>
            </w:pPr>
            <w:r>
              <w:rPr>
                <w:rFonts w:ascii="宋体" w:hAnsi="宋体" w:eastAsia="宋体" w:cs="宋体"/>
                <w:spacing w:val="-3"/>
                <w:sz w:val="18"/>
                <w:szCs w:val="18"/>
              </w:rPr>
              <w:t>1.59/20</w:t>
            </w:r>
            <w:r>
              <w:rPr>
                <w:rFonts w:ascii="宋体" w:hAnsi="宋体" w:eastAsia="宋体" w:cs="宋体"/>
                <w:spacing w:val="-3"/>
                <w:position w:val="8"/>
                <w:sz w:val="9"/>
                <w:szCs w:val="9"/>
              </w:rPr>
              <w:t>0</w:t>
            </w:r>
            <w:r>
              <w:rPr>
                <w:rFonts w:ascii="宋体" w:hAnsi="宋体" w:eastAsia="宋体" w:cs="宋体"/>
                <w:spacing w:val="-3"/>
                <w:sz w:val="18"/>
                <w:szCs w:val="18"/>
              </w:rPr>
              <w:t>C</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58" w:type="dxa"/>
            <w:vMerge w:val="continue"/>
            <w:tcBorders>
              <w:top w:val="nil"/>
            </w:tcBorders>
            <w:textDirection w:val="tbRlV"/>
            <w:vAlign w:val="top"/>
          </w:tcPr>
          <w:p>
            <w:pPr>
              <w:rPr>
                <w:rFonts w:ascii="宋体"/>
                <w:sz w:val="21"/>
              </w:rPr>
            </w:pPr>
          </w:p>
        </w:tc>
        <w:tc>
          <w:tcPr>
            <w:tcW w:w="1439" w:type="dxa"/>
            <w:vAlign w:val="top"/>
          </w:tcPr>
          <w:p>
            <w:pPr>
              <w:spacing w:before="70" w:line="184" w:lineRule="auto"/>
              <w:ind w:firstLine="665"/>
              <w:rPr>
                <w:rFonts w:ascii="宋体" w:hAnsi="宋体" w:eastAsia="宋体" w:cs="宋体"/>
                <w:sz w:val="18"/>
                <w:szCs w:val="18"/>
              </w:rPr>
            </w:pPr>
            <w:r>
              <w:rPr>
                <w:rFonts w:ascii="宋体" w:hAnsi="宋体" w:eastAsia="宋体" w:cs="宋体"/>
                <w:spacing w:val="-4"/>
                <w:sz w:val="18"/>
                <w:szCs w:val="18"/>
              </w:rPr>
              <w:t>溶解性</w:t>
            </w:r>
          </w:p>
        </w:tc>
        <w:tc>
          <w:tcPr>
            <w:tcW w:w="6125" w:type="dxa"/>
            <w:gridSpan w:val="6"/>
            <w:vAlign w:val="top"/>
          </w:tcPr>
          <w:p>
            <w:pPr>
              <w:spacing w:before="70" w:line="184" w:lineRule="auto"/>
              <w:ind w:firstLine="2828"/>
              <w:rPr>
                <w:rFonts w:ascii="宋体" w:hAnsi="宋体" w:eastAsia="宋体" w:cs="宋体"/>
                <w:sz w:val="18"/>
                <w:szCs w:val="18"/>
              </w:rPr>
            </w:pPr>
            <w:r>
              <w:rPr>
                <w:rFonts w:ascii="宋体" w:hAnsi="宋体" w:eastAsia="宋体" w:cs="宋体"/>
                <w:sz w:val="18"/>
                <w:szCs w:val="18"/>
              </w:rPr>
              <w:t>溶于水、醇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58" w:type="dxa"/>
            <w:vMerge w:val="restart"/>
            <w:tcBorders>
              <w:bottom w:val="nil"/>
            </w:tcBorders>
            <w:textDirection w:val="tbRlV"/>
            <w:vAlign w:val="top"/>
          </w:tcPr>
          <w:p>
            <w:pPr>
              <w:spacing w:before="287" w:line="180" w:lineRule="auto"/>
              <w:ind w:firstLine="552"/>
              <w:rPr>
                <w:rFonts w:ascii="宋体" w:hAnsi="宋体" w:eastAsia="宋体" w:cs="宋体"/>
                <w:sz w:val="18"/>
                <w:szCs w:val="18"/>
              </w:rPr>
            </w:pPr>
            <w:r>
              <w:rPr>
                <w:rFonts w:ascii="宋体" w:hAnsi="宋体" w:eastAsia="宋体" w:cs="宋体"/>
                <w:spacing w:val="-1"/>
                <w:sz w:val="18"/>
                <w:szCs w:val="18"/>
              </w:rPr>
              <w:t>毒</w:t>
            </w:r>
            <w:r>
              <w:rPr>
                <w:rFonts w:ascii="宋体" w:hAnsi="宋体" w:eastAsia="宋体" w:cs="宋体"/>
                <w:spacing w:val="48"/>
                <w:sz w:val="18"/>
                <w:szCs w:val="18"/>
              </w:rPr>
              <w:t xml:space="preserve"> </w:t>
            </w:r>
            <w:r>
              <w:rPr>
                <w:rFonts w:ascii="宋体" w:hAnsi="宋体" w:eastAsia="宋体" w:cs="宋体"/>
                <w:spacing w:val="-1"/>
                <w:sz w:val="18"/>
                <w:szCs w:val="18"/>
              </w:rPr>
              <w:t>性</w:t>
            </w:r>
            <w:r>
              <w:rPr>
                <w:rFonts w:ascii="宋体" w:hAnsi="宋体" w:eastAsia="宋体" w:cs="宋体"/>
                <w:spacing w:val="42"/>
                <w:sz w:val="18"/>
                <w:szCs w:val="18"/>
              </w:rPr>
              <w:t xml:space="preserve"> </w:t>
            </w:r>
            <w:r>
              <w:rPr>
                <w:rFonts w:ascii="宋体" w:hAnsi="宋体" w:eastAsia="宋体" w:cs="宋体"/>
                <w:spacing w:val="-1"/>
                <w:sz w:val="18"/>
                <w:szCs w:val="18"/>
              </w:rPr>
              <w:t>及</w:t>
            </w:r>
            <w:r>
              <w:rPr>
                <w:rFonts w:ascii="宋体" w:hAnsi="宋体" w:eastAsia="宋体" w:cs="宋体"/>
                <w:spacing w:val="42"/>
                <w:sz w:val="18"/>
                <w:szCs w:val="18"/>
              </w:rPr>
              <w:t xml:space="preserve"> </w:t>
            </w:r>
            <w:r>
              <w:rPr>
                <w:rFonts w:ascii="宋体" w:hAnsi="宋体" w:eastAsia="宋体" w:cs="宋体"/>
                <w:spacing w:val="-1"/>
                <w:sz w:val="18"/>
                <w:szCs w:val="18"/>
              </w:rPr>
              <w:t>健</w:t>
            </w:r>
            <w:r>
              <w:rPr>
                <w:rFonts w:ascii="宋体" w:hAnsi="宋体" w:eastAsia="宋体" w:cs="宋体"/>
                <w:spacing w:val="42"/>
                <w:sz w:val="18"/>
                <w:szCs w:val="18"/>
              </w:rPr>
              <w:t xml:space="preserve"> </w:t>
            </w:r>
            <w:r>
              <w:rPr>
                <w:rFonts w:ascii="宋体" w:hAnsi="宋体" w:eastAsia="宋体" w:cs="宋体"/>
                <w:spacing w:val="-1"/>
                <w:sz w:val="18"/>
                <w:szCs w:val="18"/>
              </w:rPr>
              <w:t>康</w:t>
            </w:r>
            <w:r>
              <w:rPr>
                <w:rFonts w:ascii="宋体" w:hAnsi="宋体" w:eastAsia="宋体" w:cs="宋体"/>
                <w:spacing w:val="42"/>
                <w:sz w:val="18"/>
                <w:szCs w:val="18"/>
              </w:rPr>
              <w:t xml:space="preserve"> </w:t>
            </w:r>
            <w:r>
              <w:rPr>
                <w:rFonts w:ascii="宋体" w:hAnsi="宋体" w:eastAsia="宋体" w:cs="宋体"/>
                <w:spacing w:val="-1"/>
                <w:sz w:val="18"/>
                <w:szCs w:val="18"/>
              </w:rPr>
              <w:t>危</w:t>
            </w:r>
            <w:r>
              <w:rPr>
                <w:rFonts w:ascii="宋体" w:hAnsi="宋体" w:eastAsia="宋体" w:cs="宋体"/>
                <w:spacing w:val="42"/>
                <w:w w:val="101"/>
                <w:sz w:val="18"/>
                <w:szCs w:val="18"/>
              </w:rPr>
              <w:t xml:space="preserve"> </w:t>
            </w:r>
            <w:r>
              <w:rPr>
                <w:rFonts w:ascii="宋体" w:hAnsi="宋体" w:eastAsia="宋体" w:cs="宋体"/>
                <w:spacing w:val="-1"/>
                <w:sz w:val="18"/>
                <w:szCs w:val="18"/>
              </w:rPr>
              <w:t>害</w:t>
            </w:r>
          </w:p>
        </w:tc>
        <w:tc>
          <w:tcPr>
            <w:tcW w:w="1439" w:type="dxa"/>
            <w:vAlign w:val="top"/>
          </w:tcPr>
          <w:p>
            <w:pPr>
              <w:spacing w:before="70" w:line="184" w:lineRule="auto"/>
              <w:ind w:firstLine="573"/>
              <w:rPr>
                <w:rFonts w:ascii="宋体" w:hAnsi="宋体" w:eastAsia="宋体" w:cs="宋体"/>
                <w:sz w:val="18"/>
                <w:szCs w:val="18"/>
              </w:rPr>
            </w:pPr>
            <w:r>
              <w:rPr>
                <w:rFonts w:ascii="宋体" w:hAnsi="宋体" w:eastAsia="宋体" w:cs="宋体"/>
                <w:spacing w:val="-3"/>
                <w:sz w:val="18"/>
                <w:szCs w:val="18"/>
              </w:rPr>
              <w:t>侵入途径</w:t>
            </w:r>
          </w:p>
        </w:tc>
        <w:tc>
          <w:tcPr>
            <w:tcW w:w="6125" w:type="dxa"/>
            <w:gridSpan w:val="6"/>
            <w:vAlign w:val="top"/>
          </w:tcPr>
          <w:p>
            <w:pPr>
              <w:spacing w:before="70" w:line="184" w:lineRule="auto"/>
              <w:ind w:firstLine="2382"/>
              <w:rPr>
                <w:rFonts w:ascii="宋体" w:hAnsi="宋体" w:eastAsia="宋体" w:cs="宋体"/>
                <w:sz w:val="18"/>
                <w:szCs w:val="18"/>
              </w:rPr>
            </w:pPr>
            <w:r>
              <w:rPr>
                <w:rFonts w:ascii="宋体" w:hAnsi="宋体" w:eastAsia="宋体" w:cs="宋体"/>
                <w:spacing w:val="-2"/>
                <w:sz w:val="18"/>
                <w:szCs w:val="18"/>
              </w:rPr>
              <w:t>吸入、食入、经皮吸收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58" w:type="dxa"/>
            <w:vMerge w:val="continue"/>
            <w:tcBorders>
              <w:top w:val="nil"/>
              <w:bottom w:val="nil"/>
            </w:tcBorders>
            <w:textDirection w:val="tbRlV"/>
            <w:vAlign w:val="top"/>
          </w:tcPr>
          <w:p>
            <w:pPr>
              <w:rPr>
                <w:rFonts w:ascii="宋体"/>
                <w:sz w:val="21"/>
              </w:rPr>
            </w:pPr>
          </w:p>
        </w:tc>
        <w:tc>
          <w:tcPr>
            <w:tcW w:w="1439" w:type="dxa"/>
            <w:vAlign w:val="top"/>
          </w:tcPr>
          <w:p>
            <w:pPr>
              <w:spacing w:before="69" w:line="184" w:lineRule="auto"/>
              <w:ind w:firstLine="753"/>
              <w:rPr>
                <w:rFonts w:ascii="宋体" w:hAnsi="宋体" w:eastAsia="宋体" w:cs="宋体"/>
                <w:sz w:val="18"/>
                <w:szCs w:val="18"/>
              </w:rPr>
            </w:pPr>
            <w:r>
              <w:rPr>
                <w:rFonts w:ascii="宋体" w:hAnsi="宋体" w:eastAsia="宋体" w:cs="宋体"/>
                <w:spacing w:val="-5"/>
                <w:sz w:val="18"/>
                <w:szCs w:val="18"/>
              </w:rPr>
              <w:t>毒性</w:t>
            </w:r>
          </w:p>
        </w:tc>
        <w:tc>
          <w:tcPr>
            <w:tcW w:w="6125" w:type="dxa"/>
            <w:gridSpan w:val="6"/>
            <w:vAlign w:val="top"/>
          </w:tcPr>
          <w:p>
            <w:pPr>
              <w:spacing w:before="69" w:line="186" w:lineRule="auto"/>
              <w:ind w:firstLine="1924"/>
              <w:rPr>
                <w:rFonts w:ascii="宋体" w:hAnsi="宋体" w:eastAsia="宋体" w:cs="宋体"/>
                <w:sz w:val="9"/>
                <w:szCs w:val="9"/>
              </w:rPr>
            </w:pPr>
            <w:r>
              <w:rPr>
                <w:rFonts w:ascii="宋体" w:hAnsi="宋体" w:eastAsia="宋体" w:cs="宋体"/>
                <w:spacing w:val="-1"/>
                <w:sz w:val="18"/>
                <w:szCs w:val="18"/>
              </w:rPr>
              <w:t>LD</w:t>
            </w:r>
            <w:r>
              <w:rPr>
                <w:rFonts w:ascii="宋体" w:hAnsi="宋体" w:eastAsia="宋体" w:cs="宋体"/>
                <w:spacing w:val="-1"/>
                <w:position w:val="-2"/>
                <w:sz w:val="9"/>
                <w:szCs w:val="9"/>
              </w:rPr>
              <w:t>50</w:t>
            </w:r>
            <w:r>
              <w:rPr>
                <w:rFonts w:ascii="宋体" w:hAnsi="宋体" w:eastAsia="宋体" w:cs="宋体"/>
                <w:spacing w:val="-23"/>
                <w:position w:val="-2"/>
                <w:sz w:val="9"/>
                <w:szCs w:val="9"/>
              </w:rPr>
              <w:t xml:space="preserve"> </w:t>
            </w:r>
            <w:r>
              <w:rPr>
                <w:rFonts w:ascii="宋体" w:hAnsi="宋体" w:eastAsia="宋体" w:cs="宋体"/>
                <w:spacing w:val="-1"/>
                <w:sz w:val="18"/>
                <w:szCs w:val="18"/>
              </w:rPr>
              <w:t>：350mg/kg（大鼠口径</w:t>
            </w:r>
            <w:r>
              <w:rPr>
                <w:rFonts w:ascii="宋体" w:hAnsi="宋体" w:eastAsia="宋体" w:cs="宋体"/>
                <w:spacing w:val="-53"/>
                <w:sz w:val="18"/>
                <w:szCs w:val="18"/>
              </w:rPr>
              <w:t>）</w:t>
            </w:r>
            <w:r>
              <w:rPr>
                <w:rFonts w:ascii="宋体" w:hAnsi="宋体" w:eastAsia="宋体" w:cs="宋体"/>
                <w:spacing w:val="9"/>
                <w:sz w:val="18"/>
                <w:szCs w:val="18"/>
              </w:rPr>
              <w:t xml:space="preserve"> </w:t>
            </w:r>
            <w:r>
              <w:rPr>
                <w:rFonts w:ascii="宋体" w:hAnsi="宋体" w:eastAsia="宋体" w:cs="宋体"/>
                <w:spacing w:val="-53"/>
                <w:sz w:val="18"/>
                <w:szCs w:val="18"/>
              </w:rPr>
              <w:t>；</w:t>
            </w:r>
            <w:r>
              <w:rPr>
                <w:rFonts w:ascii="宋体" w:hAnsi="宋体" w:eastAsia="宋体" w:cs="宋体"/>
                <w:spacing w:val="-1"/>
                <w:sz w:val="18"/>
                <w:szCs w:val="18"/>
              </w:rPr>
              <w:t>LC</w:t>
            </w:r>
            <w:r>
              <w:rPr>
                <w:rFonts w:ascii="宋体" w:hAnsi="宋体" w:eastAsia="宋体" w:cs="宋体"/>
                <w:spacing w:val="-1"/>
                <w:position w:val="-2"/>
                <w:sz w:val="9"/>
                <w:szCs w:val="9"/>
              </w:rPr>
              <w:t>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758" w:type="dxa"/>
            <w:vMerge w:val="continue"/>
            <w:tcBorders>
              <w:top w:val="nil"/>
              <w:bottom w:val="nil"/>
            </w:tcBorders>
            <w:textDirection w:val="tbRlV"/>
            <w:vAlign w:val="top"/>
          </w:tcPr>
          <w:p>
            <w:pPr>
              <w:rPr>
                <w:rFonts w:ascii="宋体"/>
                <w:sz w:val="21"/>
              </w:rPr>
            </w:pPr>
          </w:p>
        </w:tc>
        <w:tc>
          <w:tcPr>
            <w:tcW w:w="1439" w:type="dxa"/>
            <w:vAlign w:val="top"/>
          </w:tcPr>
          <w:p>
            <w:pPr>
              <w:spacing w:line="421" w:lineRule="auto"/>
              <w:rPr>
                <w:rFonts w:ascii="宋体"/>
                <w:sz w:val="21"/>
              </w:rPr>
            </w:pPr>
          </w:p>
          <w:p>
            <w:pPr>
              <w:spacing w:before="58" w:line="184" w:lineRule="auto"/>
              <w:ind w:firstLine="363"/>
              <w:rPr>
                <w:rFonts w:ascii="宋体" w:hAnsi="宋体" w:eastAsia="宋体" w:cs="宋体"/>
                <w:sz w:val="18"/>
                <w:szCs w:val="18"/>
              </w:rPr>
            </w:pPr>
            <w:r>
              <w:rPr>
                <w:rFonts w:ascii="宋体" w:hAnsi="宋体" w:eastAsia="宋体" w:cs="宋体"/>
                <w:spacing w:val="-2"/>
                <w:sz w:val="18"/>
                <w:szCs w:val="18"/>
              </w:rPr>
              <w:t>健康危害</w:t>
            </w:r>
          </w:p>
        </w:tc>
        <w:tc>
          <w:tcPr>
            <w:tcW w:w="6125" w:type="dxa"/>
            <w:gridSpan w:val="6"/>
            <w:vAlign w:val="top"/>
          </w:tcPr>
          <w:p>
            <w:pPr>
              <w:spacing w:before="69" w:line="286" w:lineRule="auto"/>
              <w:ind w:left="115" w:right="106" w:firstLine="3"/>
              <w:rPr>
                <w:rFonts w:ascii="宋体" w:hAnsi="宋体" w:eastAsia="宋体" w:cs="宋体"/>
                <w:sz w:val="18"/>
                <w:szCs w:val="18"/>
              </w:rPr>
            </w:pPr>
            <w:r>
              <w:rPr>
                <w:rFonts w:ascii="宋体" w:hAnsi="宋体" w:eastAsia="宋体" w:cs="宋体"/>
                <w:spacing w:val="-6"/>
                <w:sz w:val="18"/>
                <w:szCs w:val="18"/>
              </w:rPr>
              <w:t>吸入后对鼻、喉、肺有刺激性引起咳嗽、气短和哮喘等；可因喉头水肿而窒</w:t>
            </w:r>
            <w:r>
              <w:rPr>
                <w:rFonts w:ascii="宋体" w:hAnsi="宋体" w:eastAsia="宋体" w:cs="宋体"/>
                <w:spacing w:val="-5"/>
                <w:sz w:val="18"/>
                <w:szCs w:val="18"/>
              </w:rPr>
              <w:t>息死亡；可发生肺水肿，引起死亡。氨水溅入眼内，可造成严重损害，甚至</w:t>
            </w:r>
            <w:r>
              <w:rPr>
                <w:rFonts w:ascii="宋体" w:hAnsi="宋体" w:eastAsia="宋体" w:cs="宋体"/>
                <w:spacing w:val="-9"/>
                <w:sz w:val="18"/>
                <w:szCs w:val="18"/>
              </w:rPr>
              <w:t>导致失明；皮肤接触可致灼伤。慢性影响：反复低浓度接触，可引起支气管</w:t>
            </w:r>
            <w:r>
              <w:rPr>
                <w:rFonts w:ascii="宋体" w:hAnsi="宋体" w:eastAsia="宋体" w:cs="宋体"/>
                <w:spacing w:val="-1"/>
                <w:sz w:val="18"/>
                <w:szCs w:val="18"/>
              </w:rPr>
              <w:t>炎。皮肤反复接触，可致皮炎，表现为皮肤干燥、痒、发红。</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4" w:hRule="atLeast"/>
        </w:trPr>
        <w:tc>
          <w:tcPr>
            <w:tcW w:w="758" w:type="dxa"/>
            <w:vMerge w:val="continue"/>
            <w:tcBorders>
              <w:top w:val="nil"/>
            </w:tcBorders>
            <w:textDirection w:val="tbRlV"/>
            <w:vAlign w:val="top"/>
          </w:tcPr>
          <w:p>
            <w:pPr>
              <w:rPr>
                <w:rFonts w:ascii="宋体"/>
                <w:sz w:val="21"/>
              </w:rPr>
            </w:pPr>
          </w:p>
        </w:tc>
        <w:tc>
          <w:tcPr>
            <w:tcW w:w="1439" w:type="dxa"/>
            <w:vAlign w:val="top"/>
          </w:tcPr>
          <w:p>
            <w:pPr>
              <w:spacing w:line="421" w:lineRule="auto"/>
              <w:rPr>
                <w:rFonts w:ascii="宋体"/>
                <w:sz w:val="21"/>
              </w:rPr>
            </w:pPr>
          </w:p>
          <w:p>
            <w:pPr>
              <w:spacing w:before="59" w:line="184" w:lineRule="auto"/>
              <w:ind w:firstLine="368"/>
              <w:rPr>
                <w:rFonts w:ascii="宋体" w:hAnsi="宋体" w:eastAsia="宋体" w:cs="宋体"/>
                <w:sz w:val="18"/>
                <w:szCs w:val="18"/>
              </w:rPr>
            </w:pPr>
            <w:r>
              <w:rPr>
                <w:rFonts w:ascii="宋体" w:hAnsi="宋体" w:eastAsia="宋体" w:cs="宋体"/>
                <w:spacing w:val="-4"/>
                <w:sz w:val="18"/>
                <w:szCs w:val="18"/>
              </w:rPr>
              <w:t>急救方法</w:t>
            </w:r>
          </w:p>
        </w:tc>
        <w:tc>
          <w:tcPr>
            <w:tcW w:w="6125" w:type="dxa"/>
            <w:gridSpan w:val="6"/>
            <w:vAlign w:val="top"/>
          </w:tcPr>
          <w:p>
            <w:pPr>
              <w:spacing w:before="69" w:line="286" w:lineRule="auto"/>
              <w:ind w:left="112" w:right="57" w:firstLine="2"/>
              <w:rPr>
                <w:rFonts w:ascii="宋体" w:hAnsi="宋体" w:eastAsia="宋体" w:cs="宋体"/>
                <w:sz w:val="18"/>
                <w:szCs w:val="18"/>
              </w:rPr>
            </w:pPr>
            <w:r>
              <w:rPr>
                <w:rFonts w:ascii="宋体" w:hAnsi="宋体" w:eastAsia="宋体" w:cs="宋体"/>
                <w:spacing w:val="-4"/>
                <w:sz w:val="18"/>
                <w:szCs w:val="18"/>
              </w:rPr>
              <w:t>皮肤接触，应立即用水冲洗至少</w:t>
            </w:r>
            <w:r>
              <w:rPr>
                <w:rFonts w:ascii="宋体" w:hAnsi="宋体" w:eastAsia="宋体" w:cs="宋体"/>
                <w:spacing w:val="-1"/>
                <w:sz w:val="18"/>
                <w:szCs w:val="18"/>
              </w:rPr>
              <w:t xml:space="preserve"> </w:t>
            </w:r>
            <w:r>
              <w:rPr>
                <w:rFonts w:ascii="宋体" w:hAnsi="宋体" w:eastAsia="宋体" w:cs="宋体"/>
                <w:spacing w:val="-4"/>
                <w:sz w:val="18"/>
                <w:szCs w:val="18"/>
              </w:rPr>
              <w:t>15</w:t>
            </w:r>
            <w:r>
              <w:rPr>
                <w:rFonts w:ascii="宋体" w:hAnsi="宋体" w:eastAsia="宋体" w:cs="宋体"/>
                <w:spacing w:val="-36"/>
                <w:sz w:val="18"/>
                <w:szCs w:val="18"/>
              </w:rPr>
              <w:t xml:space="preserve"> </w:t>
            </w:r>
            <w:r>
              <w:rPr>
                <w:rFonts w:ascii="宋体" w:hAnsi="宋体" w:eastAsia="宋体" w:cs="宋体"/>
                <w:spacing w:val="-4"/>
                <w:sz w:val="18"/>
                <w:szCs w:val="18"/>
              </w:rPr>
              <w:t>分钟。若有灼伤，就医治疗。眼睛接触，立即提前眼睑，用流动清水或生理盐水冲洗至少15</w:t>
            </w:r>
            <w:r>
              <w:rPr>
                <w:rFonts w:ascii="宋体" w:hAnsi="宋体" w:eastAsia="宋体" w:cs="宋体"/>
                <w:spacing w:val="-36"/>
                <w:sz w:val="18"/>
                <w:szCs w:val="18"/>
              </w:rPr>
              <w:t xml:space="preserve"> </w:t>
            </w:r>
            <w:r>
              <w:rPr>
                <w:rFonts w:ascii="宋体" w:hAnsi="宋体" w:eastAsia="宋体" w:cs="宋体"/>
                <w:spacing w:val="-4"/>
                <w:sz w:val="18"/>
                <w:szCs w:val="18"/>
              </w:rPr>
              <w:t>分钟。或用</w:t>
            </w:r>
            <w:r>
              <w:rPr>
                <w:rFonts w:ascii="宋体" w:hAnsi="宋体" w:eastAsia="宋体" w:cs="宋体"/>
                <w:spacing w:val="-34"/>
                <w:sz w:val="18"/>
                <w:szCs w:val="18"/>
              </w:rPr>
              <w:t xml:space="preserve"> </w:t>
            </w:r>
            <w:r>
              <w:rPr>
                <w:rFonts w:ascii="宋体" w:hAnsi="宋体" w:eastAsia="宋体" w:cs="宋体"/>
                <w:spacing w:val="-4"/>
                <w:sz w:val="18"/>
                <w:szCs w:val="18"/>
              </w:rPr>
              <w:t>30%硼酸溶液</w:t>
            </w:r>
            <w:r>
              <w:rPr>
                <w:rFonts w:ascii="宋体" w:hAnsi="宋体" w:eastAsia="宋体" w:cs="宋体"/>
                <w:spacing w:val="-5"/>
                <w:sz w:val="18"/>
                <w:szCs w:val="18"/>
              </w:rPr>
              <w:t>冲洗，立即就医。吸入：迅速脱离现场至空气新鲜处，保持呼吸道畅通，呼</w:t>
            </w:r>
            <w:r>
              <w:rPr>
                <w:rFonts w:ascii="宋体" w:hAnsi="宋体" w:eastAsia="宋体" w:cs="宋体"/>
                <w:spacing w:val="-6"/>
                <w:sz w:val="18"/>
                <w:szCs w:val="18"/>
              </w:rPr>
              <w:t>吸困难时给输氧。呼吸停止时，立即进行人工呼吸，就医。食入：误服者立</w:t>
            </w:r>
            <w:r>
              <w:rPr>
                <w:rFonts w:ascii="宋体" w:hAnsi="宋体" w:eastAsia="宋体" w:cs="宋体"/>
                <w:spacing w:val="-2"/>
                <w:sz w:val="18"/>
                <w:szCs w:val="18"/>
              </w:rPr>
              <w:t>即漱口，口服稀释的醋或柠檬汁，就医。</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58" w:type="dxa"/>
            <w:vMerge w:val="restart"/>
            <w:tcBorders>
              <w:bottom w:val="nil"/>
            </w:tcBorders>
            <w:textDirection w:val="tbRlV"/>
            <w:vAlign w:val="top"/>
          </w:tcPr>
          <w:p>
            <w:pPr>
              <w:spacing w:before="287" w:line="180" w:lineRule="auto"/>
              <w:jc w:val="center"/>
              <w:rPr>
                <w:rFonts w:ascii="宋体" w:hAnsi="宋体" w:eastAsia="宋体" w:cs="宋体"/>
                <w:sz w:val="18"/>
                <w:szCs w:val="18"/>
              </w:rPr>
            </w:pPr>
            <w:r>
              <w:rPr>
                <w:rFonts w:ascii="宋体" w:hAnsi="宋体" w:eastAsia="宋体" w:cs="宋体"/>
                <w:spacing w:val="-1"/>
                <w:sz w:val="18"/>
                <w:szCs w:val="18"/>
              </w:rPr>
              <w:t>燃烧爆炸危险性</w:t>
            </w:r>
          </w:p>
        </w:tc>
        <w:tc>
          <w:tcPr>
            <w:tcW w:w="1439" w:type="dxa"/>
            <w:vAlign w:val="top"/>
          </w:tcPr>
          <w:p>
            <w:pPr>
              <w:spacing w:before="67" w:line="184" w:lineRule="auto"/>
              <w:ind w:firstLine="452"/>
              <w:rPr>
                <w:rFonts w:ascii="宋体" w:hAnsi="宋体" w:eastAsia="宋体" w:cs="宋体"/>
                <w:sz w:val="18"/>
                <w:szCs w:val="18"/>
              </w:rPr>
            </w:pPr>
            <w:r>
              <w:rPr>
                <w:rFonts w:ascii="宋体" w:hAnsi="宋体" w:eastAsia="宋体" w:cs="宋体"/>
                <w:spacing w:val="-3"/>
                <w:sz w:val="18"/>
                <w:szCs w:val="18"/>
              </w:rPr>
              <w:t>燃烧性</w:t>
            </w:r>
          </w:p>
        </w:tc>
        <w:tc>
          <w:tcPr>
            <w:tcW w:w="995" w:type="dxa"/>
            <w:vAlign w:val="top"/>
          </w:tcPr>
          <w:p>
            <w:pPr>
              <w:spacing w:before="67" w:line="184" w:lineRule="auto"/>
              <w:ind w:firstLine="322"/>
              <w:rPr>
                <w:rFonts w:ascii="宋体" w:hAnsi="宋体" w:eastAsia="宋体" w:cs="宋体"/>
                <w:sz w:val="18"/>
                <w:szCs w:val="18"/>
              </w:rPr>
            </w:pPr>
            <w:r>
              <w:rPr>
                <w:rFonts w:ascii="宋体" w:hAnsi="宋体" w:eastAsia="宋体" w:cs="宋体"/>
                <w:spacing w:val="-5"/>
                <w:sz w:val="18"/>
                <w:szCs w:val="18"/>
              </w:rPr>
              <w:t>可燃</w:t>
            </w:r>
          </w:p>
        </w:tc>
        <w:tc>
          <w:tcPr>
            <w:tcW w:w="1595" w:type="dxa"/>
            <w:vAlign w:val="top"/>
          </w:tcPr>
          <w:p>
            <w:pPr>
              <w:spacing w:before="67" w:line="184" w:lineRule="auto"/>
              <w:ind w:firstLine="353"/>
              <w:rPr>
                <w:rFonts w:ascii="宋体" w:hAnsi="宋体" w:eastAsia="宋体" w:cs="宋体"/>
                <w:sz w:val="18"/>
                <w:szCs w:val="18"/>
              </w:rPr>
            </w:pPr>
            <w:r>
              <w:rPr>
                <w:rFonts w:ascii="宋体" w:hAnsi="宋体" w:eastAsia="宋体" w:cs="宋体"/>
                <w:spacing w:val="-2"/>
                <w:sz w:val="18"/>
                <w:szCs w:val="18"/>
              </w:rPr>
              <w:t>燃烧分解物</w:t>
            </w:r>
          </w:p>
        </w:tc>
        <w:tc>
          <w:tcPr>
            <w:tcW w:w="3535" w:type="dxa"/>
            <w:gridSpan w:val="4"/>
            <w:vAlign w:val="top"/>
          </w:tcPr>
          <w:p>
            <w:pPr>
              <w:spacing w:before="67" w:line="184" w:lineRule="auto"/>
              <w:ind w:firstLine="1592"/>
              <w:rPr>
                <w:rFonts w:ascii="宋体" w:hAnsi="宋体" w:eastAsia="宋体" w:cs="宋体"/>
                <w:sz w:val="18"/>
                <w:szCs w:val="18"/>
              </w:rPr>
            </w:pPr>
            <w:r>
              <w:rPr>
                <w:rFonts w:ascii="宋体" w:hAnsi="宋体" w:eastAsia="宋体" w:cs="宋体"/>
                <w:spacing w:val="-4"/>
                <w:sz w:val="18"/>
                <w:szCs w:val="18"/>
              </w:rPr>
              <w:t>氨气</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58" w:type="dxa"/>
            <w:vMerge w:val="continue"/>
            <w:tcBorders>
              <w:top w:val="nil"/>
              <w:bottom w:val="nil"/>
            </w:tcBorders>
            <w:textDirection w:val="tbRlV"/>
            <w:vAlign w:val="top"/>
          </w:tcPr>
          <w:p>
            <w:pPr>
              <w:rPr>
                <w:rFonts w:ascii="宋体"/>
                <w:sz w:val="21"/>
              </w:rPr>
            </w:pPr>
          </w:p>
        </w:tc>
        <w:tc>
          <w:tcPr>
            <w:tcW w:w="1439" w:type="dxa"/>
            <w:vAlign w:val="top"/>
          </w:tcPr>
          <w:p>
            <w:pPr>
              <w:spacing w:before="67" w:line="184" w:lineRule="auto"/>
              <w:ind w:firstLine="312"/>
              <w:rPr>
                <w:rFonts w:ascii="宋体" w:hAnsi="宋体" w:eastAsia="宋体" w:cs="宋体"/>
                <w:sz w:val="18"/>
                <w:szCs w:val="18"/>
              </w:rPr>
            </w:pPr>
            <w:r>
              <w:rPr>
                <w:rFonts w:ascii="宋体" w:hAnsi="宋体" w:eastAsia="宋体" w:cs="宋体"/>
                <w:spacing w:val="-4"/>
                <w:w w:val="99"/>
                <w:sz w:val="18"/>
                <w:szCs w:val="18"/>
              </w:rPr>
              <w:t>闪点（</w:t>
            </w:r>
            <w:r>
              <w:rPr>
                <w:rFonts w:ascii="宋体" w:hAnsi="宋体" w:eastAsia="宋体" w:cs="宋体"/>
                <w:spacing w:val="-4"/>
                <w:w w:val="99"/>
                <w:position w:val="8"/>
                <w:sz w:val="9"/>
                <w:szCs w:val="9"/>
              </w:rPr>
              <w:t>0</w:t>
            </w:r>
            <w:r>
              <w:rPr>
                <w:rFonts w:ascii="宋体" w:hAnsi="宋体" w:eastAsia="宋体" w:cs="宋体"/>
                <w:spacing w:val="-4"/>
                <w:w w:val="99"/>
                <w:sz w:val="18"/>
                <w:szCs w:val="18"/>
              </w:rPr>
              <w:t>C）</w:t>
            </w:r>
          </w:p>
        </w:tc>
        <w:tc>
          <w:tcPr>
            <w:tcW w:w="995" w:type="dxa"/>
            <w:vAlign w:val="top"/>
          </w:tcPr>
          <w:p>
            <w:pPr>
              <w:spacing w:before="67" w:line="184" w:lineRule="auto"/>
              <w:ind w:firstLine="456"/>
              <w:rPr>
                <w:rFonts w:ascii="宋体" w:hAnsi="宋体" w:eastAsia="宋体" w:cs="宋体"/>
                <w:sz w:val="18"/>
                <w:szCs w:val="18"/>
              </w:rPr>
            </w:pPr>
            <w:r>
              <w:rPr>
                <w:rFonts w:ascii="宋体" w:hAnsi="宋体" w:eastAsia="宋体" w:cs="宋体"/>
                <w:sz w:val="18"/>
                <w:szCs w:val="18"/>
              </w:rPr>
              <w:t>/</w:t>
            </w:r>
          </w:p>
        </w:tc>
        <w:tc>
          <w:tcPr>
            <w:tcW w:w="1595" w:type="dxa"/>
            <w:vAlign w:val="top"/>
          </w:tcPr>
          <w:p>
            <w:pPr>
              <w:spacing w:before="67" w:line="184" w:lineRule="auto"/>
              <w:ind w:firstLine="441"/>
              <w:rPr>
                <w:rFonts w:ascii="宋体" w:hAnsi="宋体" w:eastAsia="宋体" w:cs="宋体"/>
                <w:sz w:val="18"/>
                <w:szCs w:val="18"/>
              </w:rPr>
            </w:pPr>
            <w:r>
              <w:rPr>
                <w:rFonts w:ascii="宋体" w:hAnsi="宋体" w:eastAsia="宋体" w:cs="宋体"/>
                <w:spacing w:val="-2"/>
                <w:sz w:val="18"/>
                <w:szCs w:val="18"/>
              </w:rPr>
              <w:t>爆炸上限</w:t>
            </w:r>
          </w:p>
        </w:tc>
        <w:tc>
          <w:tcPr>
            <w:tcW w:w="3535" w:type="dxa"/>
            <w:gridSpan w:val="4"/>
            <w:vAlign w:val="top"/>
          </w:tcPr>
          <w:p>
            <w:pPr>
              <w:spacing w:before="95" w:line="180" w:lineRule="auto"/>
              <w:ind w:firstLine="1594"/>
              <w:rPr>
                <w:rFonts w:ascii="宋体" w:hAnsi="宋体" w:eastAsia="宋体" w:cs="宋体"/>
                <w:sz w:val="18"/>
                <w:szCs w:val="18"/>
              </w:rPr>
            </w:pPr>
            <w:r>
              <w:rPr>
                <w:rFonts w:ascii="宋体" w:hAnsi="宋体" w:eastAsia="宋体" w:cs="宋体"/>
                <w:sz w:val="18"/>
                <w:szCs w:val="18"/>
              </w:rPr>
              <w:t>25.0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58" w:type="dxa"/>
            <w:vMerge w:val="continue"/>
            <w:tcBorders>
              <w:top w:val="nil"/>
              <w:bottom w:val="nil"/>
            </w:tcBorders>
            <w:textDirection w:val="tbRlV"/>
            <w:vAlign w:val="top"/>
          </w:tcPr>
          <w:p>
            <w:pPr>
              <w:rPr>
                <w:rFonts w:ascii="宋体"/>
                <w:sz w:val="21"/>
              </w:rPr>
            </w:pPr>
          </w:p>
        </w:tc>
        <w:tc>
          <w:tcPr>
            <w:tcW w:w="1439" w:type="dxa"/>
            <w:vAlign w:val="top"/>
          </w:tcPr>
          <w:p>
            <w:pPr>
              <w:spacing w:before="66" w:line="184" w:lineRule="auto"/>
              <w:ind w:firstLine="129"/>
              <w:rPr>
                <w:rFonts w:ascii="宋体" w:hAnsi="宋体" w:eastAsia="宋体" w:cs="宋体"/>
                <w:sz w:val="18"/>
                <w:szCs w:val="18"/>
              </w:rPr>
            </w:pPr>
            <w:r>
              <w:rPr>
                <w:rFonts w:ascii="宋体" w:hAnsi="宋体" w:eastAsia="宋体" w:cs="宋体"/>
                <w:spacing w:val="-3"/>
                <w:sz w:val="18"/>
                <w:szCs w:val="18"/>
              </w:rPr>
              <w:t>引燃温度（</w:t>
            </w:r>
            <w:r>
              <w:rPr>
                <w:rFonts w:ascii="宋体" w:hAnsi="宋体" w:eastAsia="宋体" w:cs="宋体"/>
                <w:spacing w:val="-3"/>
                <w:position w:val="8"/>
                <w:sz w:val="9"/>
                <w:szCs w:val="9"/>
              </w:rPr>
              <w:t>0</w:t>
            </w:r>
            <w:r>
              <w:rPr>
                <w:rFonts w:ascii="宋体" w:hAnsi="宋体" w:eastAsia="宋体" w:cs="宋体"/>
                <w:spacing w:val="-3"/>
                <w:sz w:val="18"/>
                <w:szCs w:val="18"/>
              </w:rPr>
              <w:t>C）</w:t>
            </w:r>
          </w:p>
        </w:tc>
        <w:tc>
          <w:tcPr>
            <w:tcW w:w="995" w:type="dxa"/>
            <w:vAlign w:val="top"/>
          </w:tcPr>
          <w:p>
            <w:pPr>
              <w:spacing w:before="66" w:line="184" w:lineRule="auto"/>
              <w:ind w:firstLine="456"/>
              <w:rPr>
                <w:rFonts w:ascii="宋体" w:hAnsi="宋体" w:eastAsia="宋体" w:cs="宋体"/>
                <w:sz w:val="18"/>
                <w:szCs w:val="18"/>
              </w:rPr>
            </w:pPr>
            <w:r>
              <w:rPr>
                <w:rFonts w:ascii="宋体" w:hAnsi="宋体" w:eastAsia="宋体" w:cs="宋体"/>
                <w:sz w:val="18"/>
                <w:szCs w:val="18"/>
              </w:rPr>
              <w:t>/</w:t>
            </w:r>
          </w:p>
        </w:tc>
        <w:tc>
          <w:tcPr>
            <w:tcW w:w="1595" w:type="dxa"/>
            <w:vAlign w:val="top"/>
          </w:tcPr>
          <w:p>
            <w:pPr>
              <w:spacing w:before="66" w:line="184" w:lineRule="auto"/>
              <w:ind w:firstLine="441"/>
              <w:rPr>
                <w:rFonts w:ascii="宋体" w:hAnsi="宋体" w:eastAsia="宋体" w:cs="宋体"/>
                <w:sz w:val="18"/>
                <w:szCs w:val="18"/>
              </w:rPr>
            </w:pPr>
            <w:r>
              <w:rPr>
                <w:rFonts w:ascii="宋体" w:hAnsi="宋体" w:eastAsia="宋体" w:cs="宋体"/>
                <w:spacing w:val="-2"/>
                <w:sz w:val="18"/>
                <w:szCs w:val="18"/>
              </w:rPr>
              <w:t>爆炸下限</w:t>
            </w:r>
          </w:p>
        </w:tc>
        <w:tc>
          <w:tcPr>
            <w:tcW w:w="3535" w:type="dxa"/>
            <w:gridSpan w:val="4"/>
            <w:vAlign w:val="top"/>
          </w:tcPr>
          <w:p>
            <w:pPr>
              <w:spacing w:before="94" w:line="180" w:lineRule="auto"/>
              <w:ind w:firstLine="1605"/>
              <w:rPr>
                <w:rFonts w:ascii="宋体" w:hAnsi="宋体" w:eastAsia="宋体" w:cs="宋体"/>
                <w:sz w:val="18"/>
                <w:szCs w:val="18"/>
              </w:rPr>
            </w:pPr>
            <w:r>
              <w:rPr>
                <w:rFonts w:ascii="宋体" w:hAnsi="宋体" w:eastAsia="宋体" w:cs="宋体"/>
                <w:spacing w:val="-3"/>
                <w:sz w:val="18"/>
                <w:szCs w:val="18"/>
              </w:rPr>
              <w:t>16.0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58" w:type="dxa"/>
            <w:vMerge w:val="continue"/>
            <w:tcBorders>
              <w:top w:val="nil"/>
              <w:bottom w:val="nil"/>
            </w:tcBorders>
            <w:textDirection w:val="tbRlV"/>
            <w:vAlign w:val="top"/>
          </w:tcPr>
          <w:p>
            <w:pPr>
              <w:rPr>
                <w:rFonts w:ascii="宋体"/>
                <w:sz w:val="21"/>
              </w:rPr>
            </w:pPr>
          </w:p>
        </w:tc>
        <w:tc>
          <w:tcPr>
            <w:tcW w:w="1439" w:type="dxa"/>
            <w:vAlign w:val="center"/>
          </w:tcPr>
          <w:p>
            <w:pPr>
              <w:adjustRightInd w:val="0"/>
              <w:snapToGrid w:val="0"/>
              <w:spacing w:before="0" w:line="360" w:lineRule="auto"/>
              <w:ind w:firstLine="0"/>
              <w:jc w:val="center"/>
              <w:rPr>
                <w:rFonts w:ascii="宋体" w:hAnsi="宋体" w:eastAsia="宋体" w:cs="宋体"/>
                <w:sz w:val="18"/>
                <w:szCs w:val="18"/>
              </w:rPr>
            </w:pPr>
            <w:r>
              <w:rPr>
                <w:rFonts w:ascii="宋体" w:hAnsi="宋体" w:eastAsia="宋体" w:cs="宋体"/>
                <w:spacing w:val="-4"/>
                <w:sz w:val="18"/>
                <w:szCs w:val="18"/>
              </w:rPr>
              <w:t>危险特性</w:t>
            </w:r>
          </w:p>
        </w:tc>
        <w:tc>
          <w:tcPr>
            <w:tcW w:w="6125" w:type="dxa"/>
            <w:gridSpan w:val="6"/>
            <w:vAlign w:val="center"/>
          </w:tcPr>
          <w:p>
            <w:pPr>
              <w:spacing w:before="66" w:line="252" w:lineRule="auto"/>
              <w:ind w:left="114" w:right="57" w:firstLine="9"/>
              <w:jc w:val="center"/>
              <w:rPr>
                <w:rFonts w:ascii="宋体" w:hAnsi="宋体" w:eastAsia="宋体" w:cs="宋体"/>
                <w:sz w:val="18"/>
                <w:szCs w:val="18"/>
              </w:rPr>
            </w:pPr>
            <w:r>
              <w:rPr>
                <w:rFonts w:ascii="宋体" w:hAnsi="宋体" w:eastAsia="宋体" w:cs="宋体"/>
                <w:spacing w:val="-6"/>
                <w:sz w:val="18"/>
                <w:szCs w:val="18"/>
              </w:rPr>
              <w:t>易分解放出氨气，温度越高，分解速度越快，可形成爆炸性气体。若遇高热，</w:t>
            </w:r>
            <w:r>
              <w:rPr>
                <w:rFonts w:ascii="宋体" w:hAnsi="宋体" w:eastAsia="宋体" w:cs="宋体"/>
                <w:spacing w:val="22"/>
                <w:sz w:val="18"/>
                <w:szCs w:val="18"/>
              </w:rPr>
              <w:t xml:space="preserve"> </w:t>
            </w:r>
            <w:r>
              <w:rPr>
                <w:rFonts w:ascii="宋体" w:hAnsi="宋体" w:eastAsia="宋体" w:cs="宋体"/>
                <w:spacing w:val="-1"/>
                <w:sz w:val="18"/>
                <w:szCs w:val="18"/>
              </w:rPr>
              <w:t>容器内压增大，有开裂和爆炸的危险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58" w:type="dxa"/>
            <w:vMerge w:val="continue"/>
            <w:tcBorders>
              <w:top w:val="nil"/>
              <w:bottom w:val="nil"/>
            </w:tcBorders>
            <w:textDirection w:val="tbRlV"/>
            <w:vAlign w:val="top"/>
          </w:tcPr>
          <w:p>
            <w:pPr>
              <w:rPr>
                <w:rFonts w:ascii="宋体"/>
                <w:sz w:val="21"/>
              </w:rPr>
            </w:pPr>
          </w:p>
        </w:tc>
        <w:tc>
          <w:tcPr>
            <w:tcW w:w="1439" w:type="dxa"/>
            <w:vAlign w:val="top"/>
          </w:tcPr>
          <w:p>
            <w:pPr>
              <w:spacing w:before="69" w:line="184" w:lineRule="auto"/>
              <w:ind w:firstLine="185"/>
              <w:rPr>
                <w:rFonts w:ascii="宋体" w:hAnsi="宋体" w:eastAsia="宋体" w:cs="宋体"/>
                <w:sz w:val="18"/>
                <w:szCs w:val="18"/>
              </w:rPr>
            </w:pPr>
            <w:r>
              <w:rPr>
                <w:rFonts w:ascii="宋体" w:hAnsi="宋体" w:eastAsia="宋体" w:cs="宋体"/>
                <w:spacing w:val="-2"/>
                <w:sz w:val="18"/>
                <w:szCs w:val="18"/>
              </w:rPr>
              <w:t>建规火险分级</w:t>
            </w:r>
          </w:p>
        </w:tc>
        <w:tc>
          <w:tcPr>
            <w:tcW w:w="995" w:type="dxa"/>
            <w:vAlign w:val="top"/>
          </w:tcPr>
          <w:p>
            <w:pPr>
              <w:spacing w:before="69" w:line="184" w:lineRule="auto"/>
              <w:ind w:firstLine="532"/>
              <w:rPr>
                <w:rFonts w:ascii="宋体" w:hAnsi="宋体" w:eastAsia="宋体" w:cs="宋体"/>
                <w:sz w:val="18"/>
                <w:szCs w:val="18"/>
              </w:rPr>
            </w:pPr>
            <w:r>
              <w:rPr>
                <w:rFonts w:ascii="宋体" w:hAnsi="宋体" w:eastAsia="宋体" w:cs="宋体"/>
                <w:sz w:val="18"/>
                <w:szCs w:val="18"/>
              </w:rPr>
              <w:t>戊</w:t>
            </w:r>
          </w:p>
        </w:tc>
        <w:tc>
          <w:tcPr>
            <w:tcW w:w="1595" w:type="dxa"/>
            <w:vAlign w:val="top"/>
          </w:tcPr>
          <w:p>
            <w:pPr>
              <w:spacing w:before="69" w:line="184" w:lineRule="auto"/>
              <w:ind w:firstLine="533"/>
              <w:rPr>
                <w:rFonts w:ascii="宋体" w:hAnsi="宋体" w:eastAsia="宋体" w:cs="宋体"/>
                <w:sz w:val="18"/>
                <w:szCs w:val="18"/>
              </w:rPr>
            </w:pPr>
            <w:r>
              <w:rPr>
                <w:rFonts w:ascii="宋体" w:hAnsi="宋体" w:eastAsia="宋体" w:cs="宋体"/>
                <w:spacing w:val="-3"/>
                <w:sz w:val="18"/>
                <w:szCs w:val="18"/>
              </w:rPr>
              <w:t>稳定性</w:t>
            </w:r>
          </w:p>
        </w:tc>
        <w:tc>
          <w:tcPr>
            <w:tcW w:w="828" w:type="dxa"/>
            <w:vAlign w:val="top"/>
          </w:tcPr>
          <w:p>
            <w:pPr>
              <w:spacing w:before="69" w:line="184" w:lineRule="auto"/>
              <w:ind w:firstLine="114"/>
              <w:rPr>
                <w:rFonts w:ascii="宋体" w:hAnsi="宋体" w:eastAsia="宋体" w:cs="宋体"/>
                <w:sz w:val="18"/>
                <w:szCs w:val="18"/>
              </w:rPr>
            </w:pPr>
            <w:r>
              <w:rPr>
                <w:rFonts w:ascii="宋体" w:hAnsi="宋体" w:eastAsia="宋体" w:cs="宋体"/>
                <w:spacing w:val="-4"/>
                <w:sz w:val="18"/>
                <w:szCs w:val="18"/>
              </w:rPr>
              <w:t>稳定</w:t>
            </w:r>
          </w:p>
        </w:tc>
        <w:tc>
          <w:tcPr>
            <w:tcW w:w="1351" w:type="dxa"/>
            <w:vAlign w:val="top"/>
          </w:tcPr>
          <w:p>
            <w:pPr>
              <w:spacing w:before="69" w:line="184" w:lineRule="auto"/>
              <w:ind w:firstLine="121"/>
              <w:rPr>
                <w:rFonts w:ascii="宋体" w:hAnsi="宋体" w:eastAsia="宋体" w:cs="宋体"/>
                <w:sz w:val="18"/>
                <w:szCs w:val="18"/>
              </w:rPr>
            </w:pPr>
            <w:r>
              <w:rPr>
                <w:rFonts w:ascii="宋体" w:hAnsi="宋体" w:eastAsia="宋体" w:cs="宋体"/>
                <w:spacing w:val="-4"/>
                <w:sz w:val="18"/>
                <w:szCs w:val="18"/>
              </w:rPr>
              <w:t>聚合危害</w:t>
            </w:r>
          </w:p>
        </w:tc>
        <w:tc>
          <w:tcPr>
            <w:tcW w:w="1356" w:type="dxa"/>
            <w:gridSpan w:val="2"/>
            <w:vAlign w:val="top"/>
          </w:tcPr>
          <w:p>
            <w:pPr>
              <w:spacing w:before="69" w:line="184" w:lineRule="auto"/>
              <w:ind w:firstLine="537"/>
              <w:rPr>
                <w:rFonts w:ascii="宋体" w:hAnsi="宋体" w:eastAsia="宋体" w:cs="宋体"/>
                <w:sz w:val="18"/>
                <w:szCs w:val="18"/>
              </w:rPr>
            </w:pPr>
            <w:r>
              <w:rPr>
                <w:rFonts w:ascii="宋体" w:hAnsi="宋体" w:eastAsia="宋体" w:cs="宋体"/>
                <w:spacing w:val="-4"/>
                <w:sz w:val="18"/>
                <w:szCs w:val="18"/>
              </w:rPr>
              <w:t>不聚合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58" w:type="dxa"/>
            <w:vMerge w:val="continue"/>
            <w:tcBorders>
              <w:top w:val="nil"/>
              <w:bottom w:val="nil"/>
            </w:tcBorders>
            <w:textDirection w:val="tbRlV"/>
            <w:vAlign w:val="top"/>
          </w:tcPr>
          <w:p>
            <w:pPr>
              <w:rPr>
                <w:rFonts w:ascii="宋体"/>
                <w:sz w:val="21"/>
              </w:rPr>
            </w:pPr>
          </w:p>
        </w:tc>
        <w:tc>
          <w:tcPr>
            <w:tcW w:w="1439" w:type="dxa"/>
            <w:vAlign w:val="top"/>
          </w:tcPr>
          <w:p>
            <w:pPr>
              <w:spacing w:before="69" w:line="184" w:lineRule="auto"/>
              <w:ind w:firstLine="451"/>
              <w:rPr>
                <w:rFonts w:ascii="宋体" w:hAnsi="宋体" w:eastAsia="宋体" w:cs="宋体"/>
                <w:sz w:val="18"/>
                <w:szCs w:val="18"/>
              </w:rPr>
            </w:pPr>
            <w:r>
              <w:rPr>
                <w:rFonts w:ascii="宋体" w:hAnsi="宋体" w:eastAsia="宋体" w:cs="宋体"/>
                <w:spacing w:val="-3"/>
                <w:sz w:val="18"/>
                <w:szCs w:val="18"/>
              </w:rPr>
              <w:t>禁忌物</w:t>
            </w:r>
          </w:p>
        </w:tc>
        <w:tc>
          <w:tcPr>
            <w:tcW w:w="6125" w:type="dxa"/>
            <w:gridSpan w:val="6"/>
            <w:vAlign w:val="top"/>
          </w:tcPr>
          <w:p>
            <w:pPr>
              <w:spacing w:before="69" w:line="184" w:lineRule="auto"/>
              <w:ind w:firstLine="532"/>
              <w:rPr>
                <w:rFonts w:ascii="宋体" w:hAnsi="宋体" w:eastAsia="宋体" w:cs="宋体"/>
                <w:sz w:val="18"/>
                <w:szCs w:val="18"/>
              </w:rPr>
            </w:pPr>
            <w:r>
              <w:rPr>
                <w:rFonts w:ascii="宋体" w:hAnsi="宋体" w:eastAsia="宋体" w:cs="宋体"/>
                <w:spacing w:val="-1"/>
                <w:sz w:val="18"/>
                <w:szCs w:val="18"/>
              </w:rPr>
              <w:t>酸类、铝、铜</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0" w:hRule="atLeast"/>
        </w:trPr>
        <w:tc>
          <w:tcPr>
            <w:tcW w:w="758" w:type="dxa"/>
            <w:vMerge w:val="continue"/>
            <w:tcBorders>
              <w:top w:val="nil"/>
              <w:bottom w:val="nil"/>
            </w:tcBorders>
            <w:textDirection w:val="tbRlV"/>
            <w:vAlign w:val="top"/>
          </w:tcPr>
          <w:p>
            <w:pPr>
              <w:rPr>
                <w:rFonts w:ascii="宋体"/>
                <w:sz w:val="21"/>
              </w:rPr>
            </w:pPr>
          </w:p>
        </w:tc>
        <w:tc>
          <w:tcPr>
            <w:tcW w:w="1439" w:type="dxa"/>
            <w:vAlign w:val="top"/>
          </w:tcPr>
          <w:p>
            <w:pPr>
              <w:spacing w:line="242" w:lineRule="auto"/>
              <w:rPr>
                <w:rFonts w:ascii="宋体"/>
                <w:sz w:val="21"/>
              </w:rPr>
            </w:pPr>
          </w:p>
          <w:p>
            <w:pPr>
              <w:spacing w:line="242" w:lineRule="auto"/>
              <w:rPr>
                <w:rFonts w:ascii="宋体"/>
                <w:sz w:val="21"/>
              </w:rPr>
            </w:pPr>
          </w:p>
          <w:p>
            <w:pPr>
              <w:spacing w:line="242" w:lineRule="auto"/>
              <w:rPr>
                <w:rFonts w:ascii="宋体"/>
                <w:sz w:val="21"/>
              </w:rPr>
            </w:pPr>
          </w:p>
          <w:p>
            <w:pPr>
              <w:spacing w:line="242" w:lineRule="auto"/>
              <w:rPr>
                <w:rFonts w:ascii="宋体"/>
                <w:sz w:val="21"/>
              </w:rPr>
            </w:pPr>
          </w:p>
          <w:p>
            <w:pPr>
              <w:spacing w:before="59" w:line="320" w:lineRule="auto"/>
              <w:ind w:left="275" w:right="269" w:firstLine="86"/>
              <w:rPr>
                <w:rFonts w:ascii="宋体" w:hAnsi="宋体" w:eastAsia="宋体" w:cs="宋体"/>
                <w:sz w:val="18"/>
                <w:szCs w:val="18"/>
              </w:rPr>
            </w:pPr>
            <w:r>
              <w:rPr>
                <w:rFonts w:ascii="宋体" w:hAnsi="宋体" w:eastAsia="宋体" w:cs="宋体"/>
                <w:spacing w:val="-2"/>
                <w:sz w:val="18"/>
                <w:szCs w:val="18"/>
              </w:rPr>
              <w:t>储运条件</w:t>
            </w:r>
            <w:r>
              <w:rPr>
                <w:rFonts w:ascii="宋体" w:hAnsi="宋体" w:eastAsia="宋体" w:cs="宋体"/>
                <w:w w:val="101"/>
                <w:sz w:val="18"/>
                <w:szCs w:val="18"/>
              </w:rPr>
              <w:t xml:space="preserve">  </w:t>
            </w:r>
            <w:r>
              <w:rPr>
                <w:rFonts w:ascii="宋体" w:hAnsi="宋体" w:eastAsia="宋体" w:cs="宋体"/>
                <w:spacing w:val="-3"/>
                <w:sz w:val="18"/>
                <w:szCs w:val="18"/>
              </w:rPr>
              <w:t>与泄漏处理</w:t>
            </w:r>
          </w:p>
        </w:tc>
        <w:tc>
          <w:tcPr>
            <w:tcW w:w="6125" w:type="dxa"/>
            <w:gridSpan w:val="6"/>
            <w:vAlign w:val="top"/>
          </w:tcPr>
          <w:p>
            <w:pPr>
              <w:spacing w:before="68" w:line="320" w:lineRule="auto"/>
              <w:ind w:left="112" w:right="106" w:hanging="1"/>
              <w:rPr>
                <w:rFonts w:ascii="宋体" w:hAnsi="宋体" w:eastAsia="宋体" w:cs="宋体"/>
                <w:sz w:val="18"/>
                <w:szCs w:val="18"/>
              </w:rPr>
            </w:pPr>
            <w:r>
              <w:rPr>
                <w:rFonts w:ascii="宋体" w:hAnsi="宋体" w:eastAsia="宋体" w:cs="宋体"/>
                <w:spacing w:val="-5"/>
                <w:sz w:val="18"/>
                <w:szCs w:val="18"/>
              </w:rPr>
              <w:t>储运条件：</w:t>
            </w:r>
            <w:r>
              <w:rPr>
                <w:rFonts w:ascii="宋体" w:hAnsi="宋体" w:eastAsia="宋体" w:cs="宋体"/>
                <w:spacing w:val="37"/>
                <w:sz w:val="18"/>
                <w:szCs w:val="18"/>
              </w:rPr>
              <w:t xml:space="preserve"> </w:t>
            </w:r>
            <w:r>
              <w:rPr>
                <w:rFonts w:ascii="宋体" w:hAnsi="宋体" w:eastAsia="宋体" w:cs="宋体"/>
                <w:spacing w:val="-5"/>
                <w:sz w:val="18"/>
                <w:szCs w:val="18"/>
              </w:rPr>
              <w:t>储存于阴凉、干燥、通风良好的仓间内。远离火种、热源。防止</w:t>
            </w:r>
            <w:r>
              <w:rPr>
                <w:rFonts w:ascii="宋体" w:hAnsi="宋体" w:eastAsia="宋体" w:cs="宋体"/>
                <w:spacing w:val="-2"/>
                <w:sz w:val="18"/>
                <w:szCs w:val="18"/>
              </w:rPr>
              <w:t>阳光直射。应与酸类、金属类粉末分开存放。搬运时应轻装倾卸，防止包装和容器破损。</w:t>
            </w:r>
          </w:p>
          <w:p>
            <w:pPr>
              <w:spacing w:before="2" w:line="297" w:lineRule="auto"/>
              <w:ind w:left="111" w:right="106" w:firstLine="3"/>
              <w:rPr>
                <w:rFonts w:ascii="宋体" w:hAnsi="宋体" w:eastAsia="宋体" w:cs="宋体"/>
                <w:sz w:val="18"/>
                <w:szCs w:val="18"/>
              </w:rPr>
            </w:pPr>
            <w:r>
              <w:rPr>
                <w:rFonts w:ascii="宋体" w:hAnsi="宋体" w:eastAsia="宋体" w:cs="宋体"/>
                <w:spacing w:val="-5"/>
                <w:sz w:val="18"/>
                <w:szCs w:val="18"/>
              </w:rPr>
              <w:t>泄漏处理：疏散泄漏污染区人员至安全区，禁止无关人员进入污染区，建议处理人员戴自给式呼吸机，穿化学防护服；不要直接接触泄漏物，再确保安</w:t>
            </w:r>
            <w:r>
              <w:rPr>
                <w:rFonts w:ascii="宋体" w:hAnsi="宋体" w:eastAsia="宋体" w:cs="宋体"/>
                <w:spacing w:val="-2"/>
                <w:sz w:val="18"/>
                <w:szCs w:val="18"/>
              </w:rPr>
              <w:t>全情况下堵漏。用大量水冲洗，经稀释的洗水放入废水系统。用沙、土蛭石或其他惰性材料吸收，然后以少量加入大量水中，调节至中性，再放入废水系统。如大量泄漏，利用围堤收容，然后收集、转移、回收或无害化处理后</w:t>
            </w:r>
            <w:r>
              <w:rPr>
                <w:rFonts w:ascii="宋体" w:hAnsi="宋体" w:eastAsia="宋体" w:cs="宋体"/>
                <w:spacing w:val="-3"/>
                <w:sz w:val="18"/>
                <w:szCs w:val="18"/>
              </w:rPr>
              <w:t>废弃。</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758" w:type="dxa"/>
            <w:vMerge w:val="continue"/>
            <w:tcBorders>
              <w:top w:val="nil"/>
            </w:tcBorders>
            <w:textDirection w:val="tbRlV"/>
            <w:vAlign w:val="top"/>
          </w:tcPr>
          <w:p>
            <w:pPr>
              <w:rPr>
                <w:rFonts w:ascii="宋体"/>
                <w:sz w:val="21"/>
              </w:rPr>
            </w:pPr>
          </w:p>
        </w:tc>
        <w:tc>
          <w:tcPr>
            <w:tcW w:w="1439" w:type="dxa"/>
            <w:vAlign w:val="top"/>
          </w:tcPr>
          <w:p>
            <w:pPr>
              <w:spacing w:before="71" w:line="184" w:lineRule="auto"/>
              <w:ind w:firstLine="365"/>
              <w:rPr>
                <w:rFonts w:ascii="宋体" w:hAnsi="宋体" w:eastAsia="宋体" w:cs="宋体"/>
                <w:sz w:val="18"/>
                <w:szCs w:val="18"/>
              </w:rPr>
            </w:pPr>
            <w:r>
              <w:rPr>
                <w:rFonts w:ascii="宋体" w:hAnsi="宋体" w:eastAsia="宋体" w:cs="宋体"/>
                <w:spacing w:val="-3"/>
                <w:sz w:val="18"/>
                <w:szCs w:val="18"/>
              </w:rPr>
              <w:t>灭火方法</w:t>
            </w:r>
          </w:p>
        </w:tc>
        <w:tc>
          <w:tcPr>
            <w:tcW w:w="6125" w:type="dxa"/>
            <w:gridSpan w:val="6"/>
            <w:vAlign w:val="top"/>
          </w:tcPr>
          <w:p>
            <w:pPr>
              <w:spacing w:before="71" w:line="184" w:lineRule="auto"/>
              <w:ind w:firstLine="113"/>
              <w:rPr>
                <w:rFonts w:ascii="宋体" w:hAnsi="宋体" w:eastAsia="宋体" w:cs="宋体"/>
                <w:sz w:val="18"/>
                <w:szCs w:val="18"/>
              </w:rPr>
            </w:pPr>
            <w:r>
              <w:rPr>
                <w:rFonts w:ascii="宋体" w:hAnsi="宋体" w:eastAsia="宋体" w:cs="宋体"/>
                <w:spacing w:val="-1"/>
                <w:sz w:val="18"/>
                <w:szCs w:val="18"/>
              </w:rPr>
              <w:t>用雾状水、二氧化碳、沙土灭火</w:t>
            </w:r>
          </w:p>
        </w:tc>
      </w:tr>
    </w:tbl>
    <w:p>
      <w:pPr>
        <w:keepNext w:val="0"/>
        <w:keepLines w:val="0"/>
        <w:pageBreakBefore w:val="0"/>
        <w:widowControl w:val="0"/>
        <w:kinsoku/>
        <w:wordWrap/>
        <w:overflowPunct/>
        <w:topLinePunct w:val="0"/>
        <w:autoSpaceDE/>
        <w:autoSpaceDN/>
        <w:bidi w:val="0"/>
        <w:adjustRightInd w:val="0"/>
        <w:snapToGrid w:val="0"/>
        <w:spacing w:before="313" w:beforeLines="100" w:line="360" w:lineRule="auto"/>
        <w:jc w:val="center"/>
        <w:textAlignment w:val="auto"/>
        <w:rPr>
          <w:rFonts w:hint="eastAsia" w:eastAsia="仿宋_GB2312"/>
          <w:b/>
          <w:szCs w:val="21"/>
          <w:lang w:val="en-US" w:eastAsia="zh-CN"/>
        </w:rPr>
      </w:pPr>
      <w:r>
        <w:rPr>
          <w:rFonts w:hint="eastAsia" w:eastAsia="仿宋_GB2312"/>
          <w:b/>
          <w:szCs w:val="21"/>
        </w:rPr>
        <w:t>表2.7-</w:t>
      </w:r>
      <w:r>
        <w:rPr>
          <w:rFonts w:hint="eastAsia" w:eastAsia="仿宋_GB2312"/>
          <w:b/>
          <w:szCs w:val="21"/>
          <w:lang w:val="en-US" w:eastAsia="zh-CN"/>
        </w:rPr>
        <w:t>3 其他危险化学品危险特性表</w:t>
      </w:r>
    </w:p>
    <w:tbl>
      <w:tblPr>
        <w:tblStyle w:val="98"/>
        <w:tblW w:w="832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5"/>
        <w:gridCol w:w="812"/>
        <w:gridCol w:w="655"/>
        <w:gridCol w:w="916"/>
        <w:gridCol w:w="537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88" w:hRule="atLeast"/>
        </w:trPr>
        <w:tc>
          <w:tcPr>
            <w:tcW w:w="565" w:type="dxa"/>
            <w:textDirection w:val="tbRlV"/>
            <w:vAlign w:val="top"/>
          </w:tcPr>
          <w:p>
            <w:pPr>
              <w:spacing w:before="190" w:line="180" w:lineRule="auto"/>
              <w:ind w:firstLine="187"/>
              <w:rPr>
                <w:rFonts w:hint="eastAsia" w:ascii="宋体" w:hAnsi="宋体" w:eastAsia="宋体" w:cs="宋体"/>
                <w:sz w:val="18"/>
                <w:szCs w:val="18"/>
              </w:rPr>
            </w:pPr>
            <w:r>
              <w:rPr>
                <w:rFonts w:hint="eastAsia" w:ascii="宋体" w:hAnsi="宋体" w:eastAsia="宋体" w:cs="宋体"/>
                <w:spacing w:val="-1"/>
                <w:sz w:val="18"/>
                <w:szCs w:val="18"/>
                <w14:textOutline w14:w="3268" w14:cap="sq" w14:cmpd="sng">
                  <w14:solidFill>
                    <w14:srgbClr w14:val="000000"/>
                  </w14:solidFill>
                  <w14:prstDash w14:val="solid"/>
                  <w14:bevel/>
                </w14:textOutline>
              </w:rPr>
              <w:t>序</w:t>
            </w:r>
            <w:r>
              <w:rPr>
                <w:rFonts w:hint="eastAsia" w:ascii="宋体" w:hAnsi="宋体" w:eastAsia="宋体" w:cs="宋体"/>
                <w:spacing w:val="-36"/>
                <w:sz w:val="18"/>
                <w:szCs w:val="18"/>
              </w:rPr>
              <w:t xml:space="preserve"> </w:t>
            </w:r>
            <w:r>
              <w:rPr>
                <w:rFonts w:hint="eastAsia" w:ascii="宋体" w:hAnsi="宋体" w:eastAsia="宋体" w:cs="宋体"/>
                <w:spacing w:val="-1"/>
                <w:sz w:val="18"/>
                <w:szCs w:val="18"/>
                <w14:textOutline w14:w="3268" w14:cap="sq" w14:cmpd="sng">
                  <w14:solidFill>
                    <w14:srgbClr w14:val="000000"/>
                  </w14:solidFill>
                  <w14:prstDash w14:val="solid"/>
                  <w14:bevel/>
                </w14:textOutline>
              </w:rPr>
              <w:t>号</w:t>
            </w:r>
          </w:p>
        </w:tc>
        <w:tc>
          <w:tcPr>
            <w:tcW w:w="812" w:type="dxa"/>
            <w:vAlign w:val="top"/>
          </w:tcPr>
          <w:p>
            <w:pPr>
              <w:spacing w:before="187" w:line="239" w:lineRule="auto"/>
              <w:ind w:left="317" w:right="133" w:hanging="179"/>
              <w:rPr>
                <w:rFonts w:hint="eastAsia" w:ascii="宋体" w:hAnsi="宋体" w:eastAsia="宋体" w:cs="宋体"/>
                <w:sz w:val="18"/>
                <w:szCs w:val="18"/>
              </w:rPr>
            </w:pPr>
            <w:r>
              <w:rPr>
                <w:rFonts w:hint="eastAsia" w:ascii="宋体" w:hAnsi="宋体" w:eastAsia="宋体" w:cs="宋体"/>
                <w:spacing w:val="-2"/>
                <w:sz w:val="18"/>
                <w:szCs w:val="18"/>
                <w14:textOutline w14:w="3268" w14:cap="sq" w14:cmpd="sng">
                  <w14:solidFill>
                    <w14:srgbClr w14:val="000000"/>
                  </w14:solidFill>
                  <w14:prstDash w14:val="solid"/>
                  <w14:bevel/>
                </w14:textOutline>
              </w:rPr>
              <w:t>物质名</w:t>
            </w:r>
            <w:r>
              <w:rPr>
                <w:rFonts w:hint="eastAsia" w:ascii="宋体" w:hAnsi="宋体" w:eastAsia="宋体" w:cs="宋体"/>
                <w:spacing w:val="1"/>
                <w:sz w:val="18"/>
                <w:szCs w:val="18"/>
              </w:rPr>
              <w:t xml:space="preserve"> </w:t>
            </w:r>
            <w:r>
              <w:rPr>
                <w:rFonts w:hint="eastAsia" w:ascii="宋体" w:hAnsi="宋体" w:eastAsia="宋体" w:cs="宋体"/>
                <w:sz w:val="18"/>
                <w:szCs w:val="18"/>
                <w14:textOutline w14:w="3268" w14:cap="sq" w14:cmpd="sng">
                  <w14:solidFill>
                    <w14:srgbClr w14:val="000000"/>
                  </w14:solidFill>
                  <w14:prstDash w14:val="solid"/>
                  <w14:bevel/>
                </w14:textOutline>
              </w:rPr>
              <w:t>称</w:t>
            </w:r>
          </w:p>
        </w:tc>
        <w:tc>
          <w:tcPr>
            <w:tcW w:w="655" w:type="dxa"/>
            <w:vAlign w:val="top"/>
          </w:tcPr>
          <w:p>
            <w:pPr>
              <w:spacing w:before="305" w:line="184" w:lineRule="auto"/>
              <w:ind w:firstLine="149"/>
              <w:rPr>
                <w:rFonts w:hint="eastAsia" w:ascii="宋体" w:hAnsi="宋体" w:eastAsia="宋体" w:cs="宋体"/>
                <w:sz w:val="18"/>
                <w:szCs w:val="18"/>
              </w:rPr>
            </w:pPr>
            <w:r>
              <w:rPr>
                <w:rFonts w:hint="eastAsia" w:ascii="宋体" w:hAnsi="宋体" w:eastAsia="宋体" w:cs="宋体"/>
                <w:spacing w:val="-4"/>
                <w:sz w:val="18"/>
                <w:szCs w:val="18"/>
                <w14:textOutline w14:w="3268" w14:cap="sq" w14:cmpd="sng">
                  <w14:solidFill>
                    <w14:srgbClr w14:val="000000"/>
                  </w14:solidFill>
                  <w14:prstDash w14:val="solid"/>
                  <w14:bevel/>
                </w14:textOutline>
              </w:rPr>
              <w:t>物态</w:t>
            </w:r>
          </w:p>
        </w:tc>
        <w:tc>
          <w:tcPr>
            <w:tcW w:w="916" w:type="dxa"/>
            <w:vAlign w:val="top"/>
          </w:tcPr>
          <w:p>
            <w:pPr>
              <w:spacing w:before="305" w:line="184" w:lineRule="auto"/>
              <w:ind w:firstLine="213"/>
              <w:rPr>
                <w:rFonts w:hint="eastAsia" w:ascii="宋体" w:hAnsi="宋体" w:eastAsia="宋体" w:cs="宋体"/>
                <w:sz w:val="18"/>
                <w:szCs w:val="18"/>
              </w:rPr>
            </w:pPr>
            <w:r>
              <w:rPr>
                <w:rFonts w:hint="eastAsia" w:ascii="宋体" w:hAnsi="宋体" w:eastAsia="宋体" w:cs="宋体"/>
                <w:spacing w:val="-1"/>
                <w:sz w:val="18"/>
                <w:szCs w:val="18"/>
                <w14:textOutline w14:w="3268" w14:cap="sq" w14:cmpd="sng">
                  <w14:solidFill>
                    <w14:srgbClr w14:val="000000"/>
                  </w14:solidFill>
                  <w14:prstDash w14:val="solid"/>
                  <w14:bevel/>
                </w14:textOutline>
              </w:rPr>
              <w:t>CAS</w:t>
            </w:r>
            <w:r>
              <w:rPr>
                <w:rFonts w:hint="eastAsia" w:ascii="宋体" w:hAnsi="宋体" w:eastAsia="宋体" w:cs="宋体"/>
                <w:spacing w:val="-34"/>
                <w:sz w:val="18"/>
                <w:szCs w:val="18"/>
              </w:rPr>
              <w:t xml:space="preserve"> </w:t>
            </w:r>
            <w:r>
              <w:rPr>
                <w:rFonts w:hint="eastAsia" w:ascii="宋体" w:hAnsi="宋体" w:eastAsia="宋体" w:cs="宋体"/>
                <w:spacing w:val="-1"/>
                <w:sz w:val="18"/>
                <w:szCs w:val="18"/>
                <w14:textOutline w14:w="3268" w14:cap="sq" w14:cmpd="sng">
                  <w14:solidFill>
                    <w14:srgbClr w14:val="000000"/>
                  </w14:solidFill>
                  <w14:prstDash w14:val="solid"/>
                  <w14:bevel/>
                </w14:textOutline>
              </w:rPr>
              <w:t>号</w:t>
            </w:r>
          </w:p>
        </w:tc>
        <w:tc>
          <w:tcPr>
            <w:tcW w:w="5374" w:type="dxa"/>
            <w:vAlign w:val="top"/>
          </w:tcPr>
          <w:p>
            <w:pPr>
              <w:spacing w:before="305" w:line="184" w:lineRule="auto"/>
              <w:ind w:firstLine="2331"/>
              <w:rPr>
                <w:rFonts w:hint="eastAsia" w:ascii="宋体" w:hAnsi="宋体" w:eastAsia="宋体" w:cs="宋体"/>
                <w:sz w:val="18"/>
                <w:szCs w:val="18"/>
              </w:rPr>
            </w:pPr>
            <w:r>
              <w:rPr>
                <w:rFonts w:hint="eastAsia" w:ascii="宋体" w:hAnsi="宋体" w:eastAsia="宋体" w:cs="宋体"/>
                <w:spacing w:val="-2"/>
                <w:sz w:val="18"/>
                <w:szCs w:val="18"/>
                <w14:textOutline w14:w="3268" w14:cap="sq" w14:cmpd="sng">
                  <w14:solidFill>
                    <w14:srgbClr w14:val="000000"/>
                  </w14:solidFill>
                  <w14:prstDash w14:val="solid"/>
                  <w14:bevel/>
                </w14:textOutline>
              </w:rPr>
              <w:t>理化性质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63" w:hRule="atLeast"/>
        </w:trPr>
        <w:tc>
          <w:tcPr>
            <w:tcW w:w="565" w:type="dxa"/>
            <w:vAlign w:val="top"/>
          </w:tcPr>
          <w:p>
            <w:pPr>
              <w:spacing w:line="270" w:lineRule="auto"/>
              <w:rPr>
                <w:rFonts w:hint="eastAsia" w:ascii="宋体" w:hAnsi="宋体" w:eastAsia="宋体" w:cs="宋体"/>
                <w:sz w:val="18"/>
                <w:szCs w:val="18"/>
              </w:rPr>
            </w:pPr>
          </w:p>
          <w:p>
            <w:pPr>
              <w:spacing w:line="270" w:lineRule="auto"/>
              <w:rPr>
                <w:rFonts w:hint="eastAsia" w:ascii="宋体" w:hAnsi="宋体" w:eastAsia="宋体" w:cs="宋体"/>
                <w:sz w:val="18"/>
                <w:szCs w:val="18"/>
              </w:rPr>
            </w:pPr>
          </w:p>
          <w:p>
            <w:pPr>
              <w:spacing w:line="270" w:lineRule="auto"/>
              <w:rPr>
                <w:rFonts w:hint="eastAsia" w:ascii="宋体" w:hAnsi="宋体" w:eastAsia="宋体" w:cs="宋体"/>
                <w:sz w:val="18"/>
                <w:szCs w:val="18"/>
              </w:rPr>
            </w:pPr>
          </w:p>
          <w:p>
            <w:pPr>
              <w:spacing w:line="270" w:lineRule="auto"/>
              <w:rPr>
                <w:rFonts w:hint="eastAsia" w:ascii="宋体" w:hAnsi="宋体" w:eastAsia="宋体" w:cs="宋体"/>
                <w:sz w:val="18"/>
                <w:szCs w:val="18"/>
              </w:rPr>
            </w:pPr>
          </w:p>
          <w:p>
            <w:pPr>
              <w:spacing w:line="270" w:lineRule="auto"/>
              <w:rPr>
                <w:rFonts w:hint="eastAsia" w:ascii="宋体" w:hAnsi="宋体" w:eastAsia="宋体" w:cs="宋体"/>
                <w:sz w:val="18"/>
                <w:szCs w:val="18"/>
              </w:rPr>
            </w:pPr>
          </w:p>
          <w:p>
            <w:pPr>
              <w:spacing w:before="59" w:line="180" w:lineRule="auto"/>
              <w:ind w:firstLine="255"/>
              <w:rPr>
                <w:rFonts w:hint="eastAsia" w:ascii="宋体" w:hAnsi="宋体" w:eastAsia="宋体" w:cs="宋体"/>
                <w:sz w:val="18"/>
                <w:szCs w:val="18"/>
              </w:rPr>
            </w:pPr>
            <w:r>
              <w:rPr>
                <w:rFonts w:hint="eastAsia" w:ascii="宋体" w:hAnsi="宋体" w:eastAsia="宋体" w:cs="宋体"/>
                <w:sz w:val="18"/>
                <w:szCs w:val="18"/>
              </w:rPr>
              <w:t>1</w:t>
            </w:r>
          </w:p>
        </w:tc>
        <w:tc>
          <w:tcPr>
            <w:tcW w:w="812" w:type="dxa"/>
            <w:vAlign w:val="top"/>
          </w:tcPr>
          <w:p>
            <w:pPr>
              <w:spacing w:line="272" w:lineRule="auto"/>
              <w:rPr>
                <w:rFonts w:hint="eastAsia" w:ascii="宋体" w:hAnsi="宋体" w:eastAsia="宋体" w:cs="宋体"/>
                <w:sz w:val="18"/>
                <w:szCs w:val="18"/>
              </w:rPr>
            </w:pPr>
          </w:p>
          <w:p>
            <w:pPr>
              <w:spacing w:line="273" w:lineRule="auto"/>
              <w:rPr>
                <w:rFonts w:hint="eastAsia" w:ascii="宋体" w:hAnsi="宋体" w:eastAsia="宋体" w:cs="宋体"/>
                <w:sz w:val="18"/>
                <w:szCs w:val="18"/>
              </w:rPr>
            </w:pPr>
          </w:p>
          <w:p>
            <w:pPr>
              <w:spacing w:line="273" w:lineRule="auto"/>
              <w:rPr>
                <w:rFonts w:hint="eastAsia" w:ascii="宋体" w:hAnsi="宋体" w:eastAsia="宋体" w:cs="宋体"/>
                <w:sz w:val="18"/>
                <w:szCs w:val="18"/>
              </w:rPr>
            </w:pPr>
          </w:p>
          <w:p>
            <w:pPr>
              <w:spacing w:line="273" w:lineRule="auto"/>
              <w:rPr>
                <w:rFonts w:hint="eastAsia" w:ascii="宋体" w:hAnsi="宋体" w:eastAsia="宋体" w:cs="宋体"/>
                <w:sz w:val="18"/>
                <w:szCs w:val="18"/>
              </w:rPr>
            </w:pPr>
          </w:p>
          <w:p>
            <w:pPr>
              <w:spacing w:line="273" w:lineRule="auto"/>
              <w:rPr>
                <w:rFonts w:hint="eastAsia" w:ascii="宋体" w:hAnsi="宋体" w:eastAsia="宋体" w:cs="宋体"/>
                <w:sz w:val="18"/>
                <w:szCs w:val="18"/>
              </w:rPr>
            </w:pPr>
          </w:p>
          <w:p>
            <w:pPr>
              <w:spacing w:before="65" w:line="184" w:lineRule="auto"/>
              <w:ind w:firstLine="210"/>
              <w:rPr>
                <w:rFonts w:hint="eastAsia" w:ascii="宋体" w:hAnsi="宋体" w:eastAsia="宋体" w:cs="宋体"/>
                <w:sz w:val="18"/>
                <w:szCs w:val="18"/>
              </w:rPr>
            </w:pPr>
            <w:r>
              <w:rPr>
                <w:rFonts w:hint="eastAsia" w:ascii="宋体" w:hAnsi="宋体" w:eastAsia="宋体" w:cs="宋体"/>
                <w:spacing w:val="-6"/>
                <w:sz w:val="18"/>
                <w:szCs w:val="18"/>
              </w:rPr>
              <w:t>盐酸</w:t>
            </w:r>
          </w:p>
        </w:tc>
        <w:tc>
          <w:tcPr>
            <w:tcW w:w="655" w:type="dxa"/>
            <w:vAlign w:val="top"/>
          </w:tcPr>
          <w:p>
            <w:pPr>
              <w:spacing w:line="265" w:lineRule="auto"/>
              <w:rPr>
                <w:rFonts w:hint="eastAsia" w:ascii="宋体" w:hAnsi="宋体" w:eastAsia="宋体" w:cs="宋体"/>
                <w:sz w:val="18"/>
                <w:szCs w:val="18"/>
              </w:rPr>
            </w:pPr>
          </w:p>
          <w:p>
            <w:pPr>
              <w:spacing w:line="265" w:lineRule="auto"/>
              <w:rPr>
                <w:rFonts w:hint="eastAsia" w:ascii="宋体" w:hAnsi="宋体" w:eastAsia="宋体" w:cs="宋体"/>
                <w:sz w:val="18"/>
                <w:szCs w:val="18"/>
              </w:rPr>
            </w:pPr>
          </w:p>
          <w:p>
            <w:pPr>
              <w:spacing w:line="265" w:lineRule="auto"/>
              <w:rPr>
                <w:rFonts w:hint="eastAsia" w:ascii="宋体" w:hAnsi="宋体" w:eastAsia="宋体" w:cs="宋体"/>
                <w:sz w:val="18"/>
                <w:szCs w:val="18"/>
              </w:rPr>
            </w:pPr>
          </w:p>
          <w:p>
            <w:pPr>
              <w:spacing w:line="265" w:lineRule="auto"/>
              <w:rPr>
                <w:rFonts w:hint="eastAsia" w:ascii="宋体" w:hAnsi="宋体" w:eastAsia="宋体" w:cs="宋体"/>
                <w:sz w:val="18"/>
                <w:szCs w:val="18"/>
              </w:rPr>
            </w:pPr>
          </w:p>
          <w:p>
            <w:pPr>
              <w:spacing w:line="266" w:lineRule="auto"/>
              <w:rPr>
                <w:rFonts w:hint="eastAsia" w:ascii="宋体" w:hAnsi="宋体" w:eastAsia="宋体" w:cs="宋体"/>
                <w:sz w:val="18"/>
                <w:szCs w:val="18"/>
              </w:rPr>
            </w:pPr>
          </w:p>
          <w:p>
            <w:pPr>
              <w:spacing w:before="58" w:line="184" w:lineRule="auto"/>
              <w:ind w:firstLine="151"/>
              <w:rPr>
                <w:rFonts w:hint="eastAsia" w:ascii="宋体" w:hAnsi="宋体" w:eastAsia="宋体" w:cs="宋体"/>
                <w:sz w:val="18"/>
                <w:szCs w:val="18"/>
              </w:rPr>
            </w:pPr>
            <w:r>
              <w:rPr>
                <w:rFonts w:hint="eastAsia" w:ascii="宋体" w:hAnsi="宋体" w:eastAsia="宋体" w:cs="宋体"/>
                <w:spacing w:val="-5"/>
                <w:sz w:val="18"/>
                <w:szCs w:val="18"/>
              </w:rPr>
              <w:t>液态</w:t>
            </w:r>
          </w:p>
        </w:tc>
        <w:tc>
          <w:tcPr>
            <w:tcW w:w="916" w:type="dxa"/>
            <w:vAlign w:val="top"/>
          </w:tcPr>
          <w:p>
            <w:pPr>
              <w:spacing w:line="250" w:lineRule="auto"/>
              <w:rPr>
                <w:rFonts w:hint="eastAsia" w:ascii="宋体" w:hAnsi="宋体" w:eastAsia="宋体" w:cs="宋体"/>
                <w:sz w:val="18"/>
                <w:szCs w:val="18"/>
              </w:rPr>
            </w:pPr>
          </w:p>
          <w:p>
            <w:pPr>
              <w:spacing w:line="251" w:lineRule="auto"/>
              <w:rPr>
                <w:rFonts w:hint="eastAsia" w:ascii="宋体" w:hAnsi="宋体" w:eastAsia="宋体" w:cs="宋体"/>
                <w:sz w:val="18"/>
                <w:szCs w:val="18"/>
              </w:rPr>
            </w:pPr>
          </w:p>
          <w:p>
            <w:pPr>
              <w:spacing w:line="251" w:lineRule="auto"/>
              <w:rPr>
                <w:rFonts w:hint="eastAsia" w:ascii="宋体" w:hAnsi="宋体" w:eastAsia="宋体" w:cs="宋体"/>
                <w:sz w:val="18"/>
                <w:szCs w:val="18"/>
              </w:rPr>
            </w:pPr>
          </w:p>
          <w:p>
            <w:pPr>
              <w:spacing w:line="251" w:lineRule="auto"/>
              <w:rPr>
                <w:rFonts w:hint="eastAsia" w:ascii="宋体" w:hAnsi="宋体" w:eastAsia="宋体" w:cs="宋体"/>
                <w:sz w:val="18"/>
                <w:szCs w:val="18"/>
              </w:rPr>
            </w:pPr>
          </w:p>
          <w:p>
            <w:pPr>
              <w:spacing w:line="251" w:lineRule="auto"/>
              <w:rPr>
                <w:rFonts w:hint="eastAsia" w:ascii="宋体" w:hAnsi="宋体" w:eastAsia="宋体" w:cs="宋体"/>
                <w:sz w:val="18"/>
                <w:szCs w:val="18"/>
              </w:rPr>
            </w:pPr>
          </w:p>
          <w:p>
            <w:pPr>
              <w:spacing w:before="65" w:line="180" w:lineRule="auto"/>
              <w:ind w:firstLine="116"/>
              <w:rPr>
                <w:rFonts w:hint="eastAsia" w:ascii="宋体" w:hAnsi="宋体" w:eastAsia="宋体" w:cs="宋体"/>
                <w:sz w:val="18"/>
                <w:szCs w:val="18"/>
              </w:rPr>
            </w:pPr>
            <w:r>
              <w:rPr>
                <w:rFonts w:hint="eastAsia" w:ascii="宋体" w:hAnsi="宋体" w:eastAsia="宋体" w:cs="宋体"/>
                <w:spacing w:val="-2"/>
                <w:sz w:val="18"/>
                <w:szCs w:val="18"/>
              </w:rPr>
              <w:t>7647-01</w:t>
            </w:r>
          </w:p>
          <w:p>
            <w:pPr>
              <w:spacing w:before="118" w:line="180" w:lineRule="auto"/>
              <w:ind w:firstLine="110"/>
              <w:rPr>
                <w:rFonts w:hint="eastAsia" w:ascii="宋体" w:hAnsi="宋体" w:eastAsia="宋体" w:cs="宋体"/>
                <w:sz w:val="18"/>
                <w:szCs w:val="18"/>
              </w:rPr>
            </w:pPr>
            <w:r>
              <w:rPr>
                <w:rFonts w:hint="eastAsia" w:ascii="宋体" w:hAnsi="宋体" w:eastAsia="宋体" w:cs="宋体"/>
                <w:spacing w:val="-3"/>
                <w:sz w:val="18"/>
                <w:szCs w:val="18"/>
              </w:rPr>
              <w:t>-0</w:t>
            </w:r>
          </w:p>
        </w:tc>
        <w:tc>
          <w:tcPr>
            <w:tcW w:w="5374" w:type="dxa"/>
            <w:vAlign w:val="top"/>
          </w:tcPr>
          <w:p>
            <w:pPr>
              <w:spacing w:before="57" w:line="184" w:lineRule="auto"/>
              <w:ind w:firstLine="114"/>
              <w:rPr>
                <w:rFonts w:hint="eastAsia" w:ascii="宋体" w:hAnsi="宋体" w:eastAsia="宋体" w:cs="宋体"/>
                <w:sz w:val="18"/>
                <w:szCs w:val="18"/>
              </w:rPr>
            </w:pPr>
            <w:r>
              <w:rPr>
                <w:rFonts w:hint="eastAsia" w:ascii="宋体" w:hAnsi="宋体" w:eastAsia="宋体" w:cs="宋体"/>
                <w:spacing w:val="-1"/>
                <w:sz w:val="18"/>
                <w:szCs w:val="18"/>
              </w:rPr>
              <w:t>无色或微黄色发烟液体，有刺鼻的酸味；</w:t>
            </w:r>
          </w:p>
          <w:p>
            <w:pPr>
              <w:spacing w:before="113" w:line="288" w:lineRule="auto"/>
              <w:ind w:left="136" w:right="108" w:hanging="17"/>
              <w:rPr>
                <w:rFonts w:hint="eastAsia" w:ascii="宋体" w:hAnsi="宋体" w:eastAsia="宋体" w:cs="宋体"/>
                <w:sz w:val="18"/>
                <w:szCs w:val="18"/>
              </w:rPr>
            </w:pPr>
            <w:r>
              <w:rPr>
                <w:rFonts w:hint="eastAsia" w:ascii="宋体" w:hAnsi="宋体" w:eastAsia="宋体" w:cs="宋体"/>
                <w:spacing w:val="-10"/>
                <w:sz w:val="18"/>
                <w:szCs w:val="18"/>
              </w:rPr>
              <w:t>急性毒性：</w:t>
            </w:r>
            <w:r>
              <w:rPr>
                <w:rFonts w:hint="eastAsia" w:ascii="宋体" w:hAnsi="宋体" w:eastAsia="宋体" w:cs="宋体"/>
                <w:spacing w:val="-6"/>
                <w:sz w:val="18"/>
                <w:szCs w:val="18"/>
              </w:rPr>
              <w:t xml:space="preserve"> </w:t>
            </w:r>
            <w:r>
              <w:rPr>
                <w:rFonts w:hint="eastAsia" w:ascii="宋体" w:hAnsi="宋体" w:eastAsia="宋体" w:cs="宋体"/>
                <w:spacing w:val="-10"/>
                <w:sz w:val="18"/>
                <w:szCs w:val="18"/>
              </w:rPr>
              <w:t>LD50900mg/kg(兔经口)；</w:t>
            </w:r>
            <w:r>
              <w:rPr>
                <w:rFonts w:hint="eastAsia" w:ascii="宋体" w:hAnsi="宋体" w:eastAsia="宋体" w:cs="宋体"/>
                <w:spacing w:val="-18"/>
                <w:sz w:val="18"/>
                <w:szCs w:val="18"/>
              </w:rPr>
              <w:t xml:space="preserve"> </w:t>
            </w:r>
            <w:r>
              <w:rPr>
                <w:rFonts w:hint="eastAsia" w:ascii="宋体" w:hAnsi="宋体" w:eastAsia="宋体" w:cs="宋体"/>
                <w:spacing w:val="-10"/>
                <w:sz w:val="18"/>
                <w:szCs w:val="18"/>
              </w:rPr>
              <w:t>LC503124ppm，1</w:t>
            </w:r>
            <w:r>
              <w:rPr>
                <w:rFonts w:hint="eastAsia" w:ascii="宋体" w:hAnsi="宋体" w:eastAsia="宋体" w:cs="宋体"/>
                <w:spacing w:val="-35"/>
                <w:sz w:val="18"/>
                <w:szCs w:val="18"/>
              </w:rPr>
              <w:t xml:space="preserve"> </w:t>
            </w:r>
            <w:r>
              <w:rPr>
                <w:rFonts w:hint="eastAsia" w:ascii="宋体" w:hAnsi="宋体" w:eastAsia="宋体" w:cs="宋体"/>
                <w:spacing w:val="-10"/>
                <w:sz w:val="18"/>
                <w:szCs w:val="18"/>
              </w:rPr>
              <w:t>小时(大</w:t>
            </w:r>
            <w:r>
              <w:rPr>
                <w:rFonts w:hint="eastAsia" w:ascii="宋体" w:hAnsi="宋体" w:eastAsia="宋体" w:cs="宋体"/>
                <w:spacing w:val="-9"/>
                <w:sz w:val="18"/>
                <w:szCs w:val="18"/>
              </w:rPr>
              <w:t>鼠吸入)</w:t>
            </w:r>
          </w:p>
          <w:p>
            <w:pPr>
              <w:spacing w:line="288" w:lineRule="auto"/>
              <w:ind w:left="112" w:right="108" w:firstLine="3"/>
              <w:rPr>
                <w:rFonts w:hint="eastAsia" w:ascii="宋体" w:hAnsi="宋体" w:eastAsia="宋体" w:cs="宋体"/>
                <w:sz w:val="18"/>
                <w:szCs w:val="18"/>
              </w:rPr>
            </w:pPr>
            <w:r>
              <w:rPr>
                <w:rFonts w:hint="eastAsia" w:ascii="宋体" w:hAnsi="宋体" w:eastAsia="宋体" w:cs="宋体"/>
                <w:spacing w:val="-8"/>
                <w:sz w:val="18"/>
                <w:szCs w:val="18"/>
              </w:rPr>
              <w:t>危险特性：能与一些活性金属粉末发生反应，放出氢气。遇</w:t>
            </w:r>
            <w:r>
              <w:rPr>
                <w:rFonts w:hint="eastAsia" w:ascii="宋体" w:hAnsi="宋体" w:eastAsia="宋体" w:cs="宋体"/>
                <w:spacing w:val="-2"/>
                <w:sz w:val="18"/>
                <w:szCs w:val="18"/>
              </w:rPr>
              <w:t>氰化物能产生剧毒的氰化氢气体。与碱发生中合反应，并放</w:t>
            </w:r>
            <w:r>
              <w:rPr>
                <w:rFonts w:hint="eastAsia" w:ascii="宋体" w:hAnsi="宋体" w:eastAsia="宋体" w:cs="宋体"/>
                <w:spacing w:val="-1"/>
                <w:sz w:val="18"/>
                <w:szCs w:val="18"/>
              </w:rPr>
              <w:t>出大量的热。具有强腐蚀性。</w:t>
            </w:r>
          </w:p>
          <w:p>
            <w:pPr>
              <w:spacing w:line="202" w:lineRule="auto"/>
              <w:ind w:firstLine="113"/>
              <w:rPr>
                <w:rFonts w:hint="eastAsia" w:ascii="宋体" w:hAnsi="宋体" w:eastAsia="宋体" w:cs="宋体"/>
                <w:sz w:val="18"/>
                <w:szCs w:val="18"/>
              </w:rPr>
            </w:pPr>
            <w:r>
              <w:rPr>
                <w:rFonts w:hint="eastAsia" w:ascii="宋体" w:hAnsi="宋体" w:eastAsia="宋体" w:cs="宋体"/>
                <w:spacing w:val="-9"/>
                <w:w w:val="98"/>
                <w:sz w:val="18"/>
                <w:szCs w:val="18"/>
              </w:rPr>
              <w:t>燃烧(分解)产物：氯化氢。侵入途径：吸入、食入。</w:t>
            </w:r>
          </w:p>
          <w:p>
            <w:pPr>
              <w:spacing w:before="92" w:line="262" w:lineRule="auto"/>
              <w:ind w:left="112" w:right="51"/>
              <w:rPr>
                <w:rFonts w:hint="eastAsia" w:ascii="宋体" w:hAnsi="宋体" w:eastAsia="宋体" w:cs="宋体"/>
                <w:sz w:val="18"/>
                <w:szCs w:val="18"/>
              </w:rPr>
            </w:pPr>
            <w:r>
              <w:rPr>
                <w:rFonts w:hint="eastAsia" w:ascii="宋体" w:hAnsi="宋体" w:eastAsia="宋体" w:cs="宋体"/>
                <w:spacing w:val="-8"/>
                <w:sz w:val="18"/>
                <w:szCs w:val="18"/>
              </w:rPr>
              <w:t>健康危害：接触其蒸气或烟雾，引起眼结膜炎，鼻及口腔粘</w:t>
            </w:r>
            <w:r>
              <w:rPr>
                <w:rFonts w:hint="eastAsia" w:ascii="宋体" w:hAnsi="宋体" w:eastAsia="宋体" w:cs="宋体"/>
                <w:sz w:val="18"/>
                <w:szCs w:val="18"/>
              </w:rPr>
              <w:t xml:space="preserve"> </w:t>
            </w:r>
            <w:r>
              <w:rPr>
                <w:rFonts w:hint="eastAsia" w:ascii="宋体" w:hAnsi="宋体" w:eastAsia="宋体" w:cs="宋体"/>
                <w:spacing w:val="-12"/>
                <w:sz w:val="18"/>
                <w:szCs w:val="18"/>
              </w:rPr>
              <w:t>膜有烧灼感，鼻衄、齿龈出血、气管炎；刺激皮肤发生皮炎，</w:t>
            </w:r>
            <w:r>
              <w:rPr>
                <w:rFonts w:hint="eastAsia" w:ascii="宋体" w:hAnsi="宋体" w:eastAsia="宋体" w:cs="宋体"/>
                <w:sz w:val="18"/>
                <w:szCs w:val="18"/>
              </w:rPr>
              <w:t xml:space="preserve"> 慢性支气管炎等病变。误服盐酸中毒，可引起消化道灼伤、</w:t>
            </w:r>
            <w:r>
              <w:rPr>
                <w:rFonts w:hint="eastAsia" w:ascii="宋体" w:hAnsi="宋体" w:eastAsia="宋体" w:cs="宋体"/>
                <w:spacing w:val="4"/>
                <w:sz w:val="18"/>
                <w:szCs w:val="18"/>
              </w:rPr>
              <w:t xml:space="preserve"> </w:t>
            </w:r>
            <w:r>
              <w:rPr>
                <w:rFonts w:hint="eastAsia" w:ascii="宋体" w:hAnsi="宋体" w:eastAsia="宋体" w:cs="宋体"/>
                <w:spacing w:val="-1"/>
                <w:sz w:val="18"/>
                <w:szCs w:val="18"/>
              </w:rPr>
              <w:t>溃疡形成，有可能胃穿孔、腹膜炎等。</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88" w:hRule="atLeast"/>
        </w:trPr>
        <w:tc>
          <w:tcPr>
            <w:tcW w:w="565" w:type="dxa"/>
            <w:textDirection w:val="tbRlV"/>
            <w:vAlign w:val="top"/>
          </w:tcPr>
          <w:p>
            <w:pPr>
              <w:spacing w:before="190" w:line="180" w:lineRule="auto"/>
              <w:ind w:firstLine="189"/>
              <w:rPr>
                <w:rFonts w:hint="eastAsia" w:ascii="宋体" w:hAnsi="宋体" w:eastAsia="宋体" w:cs="宋体"/>
                <w:sz w:val="18"/>
                <w:szCs w:val="18"/>
              </w:rPr>
            </w:pPr>
            <w:r>
              <w:rPr>
                <w:rFonts w:hint="eastAsia" w:ascii="宋体" w:hAnsi="宋体" w:eastAsia="宋体" w:cs="宋体"/>
                <w:spacing w:val="-1"/>
                <w:sz w:val="18"/>
                <w:szCs w:val="18"/>
                <w14:textOutline w14:w="3268" w14:cap="sq" w14:cmpd="sng">
                  <w14:solidFill>
                    <w14:srgbClr w14:val="000000"/>
                  </w14:solidFill>
                  <w14:prstDash w14:val="solid"/>
                  <w14:bevel/>
                </w14:textOutline>
              </w:rPr>
              <w:t>序</w:t>
            </w:r>
            <w:r>
              <w:rPr>
                <w:rFonts w:hint="eastAsia" w:ascii="宋体" w:hAnsi="宋体" w:eastAsia="宋体" w:cs="宋体"/>
                <w:spacing w:val="-36"/>
                <w:sz w:val="18"/>
                <w:szCs w:val="18"/>
              </w:rPr>
              <w:t xml:space="preserve"> </w:t>
            </w:r>
            <w:r>
              <w:rPr>
                <w:rFonts w:hint="eastAsia" w:ascii="宋体" w:hAnsi="宋体" w:eastAsia="宋体" w:cs="宋体"/>
                <w:spacing w:val="-1"/>
                <w:sz w:val="18"/>
                <w:szCs w:val="18"/>
                <w14:textOutline w14:w="3268" w14:cap="sq" w14:cmpd="sng">
                  <w14:solidFill>
                    <w14:srgbClr w14:val="000000"/>
                  </w14:solidFill>
                  <w14:prstDash w14:val="solid"/>
                  <w14:bevel/>
                </w14:textOutline>
              </w:rPr>
              <w:t>号</w:t>
            </w:r>
          </w:p>
        </w:tc>
        <w:tc>
          <w:tcPr>
            <w:tcW w:w="812" w:type="dxa"/>
            <w:vAlign w:val="top"/>
          </w:tcPr>
          <w:p>
            <w:pPr>
              <w:spacing w:before="188" w:line="239" w:lineRule="auto"/>
              <w:ind w:left="317" w:right="133" w:hanging="179"/>
              <w:rPr>
                <w:rFonts w:hint="eastAsia" w:ascii="宋体" w:hAnsi="宋体" w:eastAsia="宋体" w:cs="宋体"/>
                <w:sz w:val="18"/>
                <w:szCs w:val="18"/>
              </w:rPr>
            </w:pPr>
            <w:r>
              <w:rPr>
                <w:rFonts w:hint="eastAsia" w:ascii="宋体" w:hAnsi="宋体" w:eastAsia="宋体" w:cs="宋体"/>
                <w:spacing w:val="-2"/>
                <w:sz w:val="18"/>
                <w:szCs w:val="18"/>
                <w14:textOutline w14:w="3268" w14:cap="sq" w14:cmpd="sng">
                  <w14:solidFill>
                    <w14:srgbClr w14:val="000000"/>
                  </w14:solidFill>
                  <w14:prstDash w14:val="solid"/>
                  <w14:bevel/>
                </w14:textOutline>
              </w:rPr>
              <w:t>物质名</w:t>
            </w:r>
            <w:r>
              <w:rPr>
                <w:rFonts w:hint="eastAsia" w:ascii="宋体" w:hAnsi="宋体" w:eastAsia="宋体" w:cs="宋体"/>
                <w:spacing w:val="1"/>
                <w:sz w:val="18"/>
                <w:szCs w:val="18"/>
              </w:rPr>
              <w:t xml:space="preserve"> </w:t>
            </w:r>
            <w:r>
              <w:rPr>
                <w:rFonts w:hint="eastAsia" w:ascii="宋体" w:hAnsi="宋体" w:eastAsia="宋体" w:cs="宋体"/>
                <w:sz w:val="18"/>
                <w:szCs w:val="18"/>
                <w14:textOutline w14:w="3268" w14:cap="sq" w14:cmpd="sng">
                  <w14:solidFill>
                    <w14:srgbClr w14:val="000000"/>
                  </w14:solidFill>
                  <w14:prstDash w14:val="solid"/>
                  <w14:bevel/>
                </w14:textOutline>
              </w:rPr>
              <w:t>称</w:t>
            </w:r>
          </w:p>
        </w:tc>
        <w:tc>
          <w:tcPr>
            <w:tcW w:w="655" w:type="dxa"/>
            <w:vAlign w:val="top"/>
          </w:tcPr>
          <w:p>
            <w:pPr>
              <w:spacing w:before="304" w:line="184" w:lineRule="auto"/>
              <w:ind w:firstLine="149"/>
              <w:rPr>
                <w:rFonts w:hint="eastAsia" w:ascii="宋体" w:hAnsi="宋体" w:eastAsia="宋体" w:cs="宋体"/>
                <w:sz w:val="18"/>
                <w:szCs w:val="18"/>
              </w:rPr>
            </w:pPr>
            <w:r>
              <w:rPr>
                <w:rFonts w:hint="eastAsia" w:ascii="宋体" w:hAnsi="宋体" w:eastAsia="宋体" w:cs="宋体"/>
                <w:spacing w:val="-4"/>
                <w:sz w:val="18"/>
                <w:szCs w:val="18"/>
                <w14:textOutline w14:w="3268" w14:cap="sq" w14:cmpd="sng">
                  <w14:solidFill>
                    <w14:srgbClr w14:val="000000"/>
                  </w14:solidFill>
                  <w14:prstDash w14:val="solid"/>
                  <w14:bevel/>
                </w14:textOutline>
              </w:rPr>
              <w:t>物态</w:t>
            </w:r>
          </w:p>
        </w:tc>
        <w:tc>
          <w:tcPr>
            <w:tcW w:w="916" w:type="dxa"/>
            <w:vAlign w:val="top"/>
          </w:tcPr>
          <w:p>
            <w:pPr>
              <w:spacing w:before="304" w:line="184" w:lineRule="auto"/>
              <w:ind w:firstLine="213"/>
              <w:rPr>
                <w:rFonts w:hint="eastAsia" w:ascii="宋体" w:hAnsi="宋体" w:eastAsia="宋体" w:cs="宋体"/>
                <w:sz w:val="18"/>
                <w:szCs w:val="18"/>
              </w:rPr>
            </w:pPr>
            <w:r>
              <w:rPr>
                <w:rFonts w:hint="eastAsia" w:ascii="宋体" w:hAnsi="宋体" w:eastAsia="宋体" w:cs="宋体"/>
                <w:spacing w:val="-1"/>
                <w:sz w:val="18"/>
                <w:szCs w:val="18"/>
                <w14:textOutline w14:w="3268" w14:cap="sq" w14:cmpd="sng">
                  <w14:solidFill>
                    <w14:srgbClr w14:val="000000"/>
                  </w14:solidFill>
                  <w14:prstDash w14:val="solid"/>
                  <w14:bevel/>
                </w14:textOutline>
              </w:rPr>
              <w:t>CAS</w:t>
            </w:r>
            <w:r>
              <w:rPr>
                <w:rFonts w:hint="eastAsia" w:ascii="宋体" w:hAnsi="宋体" w:eastAsia="宋体" w:cs="宋体"/>
                <w:spacing w:val="-34"/>
                <w:sz w:val="18"/>
                <w:szCs w:val="18"/>
              </w:rPr>
              <w:t xml:space="preserve"> </w:t>
            </w:r>
            <w:r>
              <w:rPr>
                <w:rFonts w:hint="eastAsia" w:ascii="宋体" w:hAnsi="宋体" w:eastAsia="宋体" w:cs="宋体"/>
                <w:spacing w:val="-1"/>
                <w:sz w:val="18"/>
                <w:szCs w:val="18"/>
                <w14:textOutline w14:w="3268" w14:cap="sq" w14:cmpd="sng">
                  <w14:solidFill>
                    <w14:srgbClr w14:val="000000"/>
                  </w14:solidFill>
                  <w14:prstDash w14:val="solid"/>
                  <w14:bevel/>
                </w14:textOutline>
              </w:rPr>
              <w:t>号</w:t>
            </w:r>
          </w:p>
        </w:tc>
        <w:tc>
          <w:tcPr>
            <w:tcW w:w="5374" w:type="dxa"/>
            <w:vAlign w:val="top"/>
          </w:tcPr>
          <w:p>
            <w:pPr>
              <w:spacing w:before="304" w:line="184" w:lineRule="auto"/>
              <w:ind w:firstLine="2331"/>
              <w:rPr>
                <w:rFonts w:hint="eastAsia" w:ascii="宋体" w:hAnsi="宋体" w:eastAsia="宋体" w:cs="宋体"/>
                <w:sz w:val="18"/>
                <w:szCs w:val="18"/>
              </w:rPr>
            </w:pPr>
            <w:r>
              <w:rPr>
                <w:rFonts w:hint="eastAsia" w:ascii="宋体" w:hAnsi="宋体" w:eastAsia="宋体" w:cs="宋体"/>
                <w:spacing w:val="-2"/>
                <w:sz w:val="18"/>
                <w:szCs w:val="18"/>
                <w14:textOutline w14:w="3268" w14:cap="sq" w14:cmpd="sng">
                  <w14:solidFill>
                    <w14:srgbClr w14:val="000000"/>
                  </w14:solidFill>
                  <w14:prstDash w14:val="solid"/>
                  <w14:bevel/>
                </w14:textOutline>
              </w:rPr>
              <w:t>理化性质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5" w:hRule="atLeast"/>
        </w:trPr>
        <w:tc>
          <w:tcPr>
            <w:tcW w:w="565" w:type="dxa"/>
            <w:vAlign w:val="top"/>
          </w:tcPr>
          <w:p>
            <w:pPr>
              <w:spacing w:line="242" w:lineRule="auto"/>
              <w:rPr>
                <w:rFonts w:hint="eastAsia" w:ascii="宋体" w:hAnsi="宋体" w:eastAsia="宋体" w:cs="宋体"/>
                <w:sz w:val="18"/>
                <w:szCs w:val="18"/>
              </w:rPr>
            </w:pPr>
          </w:p>
          <w:p>
            <w:pPr>
              <w:spacing w:line="242" w:lineRule="auto"/>
              <w:rPr>
                <w:rFonts w:hint="eastAsia" w:ascii="宋体" w:hAnsi="宋体" w:eastAsia="宋体" w:cs="宋体"/>
                <w:sz w:val="18"/>
                <w:szCs w:val="18"/>
              </w:rPr>
            </w:pPr>
          </w:p>
          <w:p>
            <w:pPr>
              <w:spacing w:line="242" w:lineRule="auto"/>
              <w:rPr>
                <w:rFonts w:hint="eastAsia" w:ascii="宋体" w:hAnsi="宋体" w:eastAsia="宋体" w:cs="宋体"/>
                <w:sz w:val="18"/>
                <w:szCs w:val="18"/>
              </w:rPr>
            </w:pPr>
          </w:p>
          <w:p>
            <w:pPr>
              <w:spacing w:line="242" w:lineRule="auto"/>
              <w:rPr>
                <w:rFonts w:hint="eastAsia" w:ascii="宋体" w:hAnsi="宋体" w:eastAsia="宋体" w:cs="宋体"/>
                <w:sz w:val="18"/>
                <w:szCs w:val="18"/>
              </w:rPr>
            </w:pPr>
          </w:p>
          <w:p>
            <w:pPr>
              <w:spacing w:line="242" w:lineRule="auto"/>
              <w:rPr>
                <w:rFonts w:hint="eastAsia" w:ascii="宋体" w:hAnsi="宋体" w:eastAsia="宋体" w:cs="宋体"/>
                <w:sz w:val="18"/>
                <w:szCs w:val="18"/>
              </w:rPr>
            </w:pPr>
          </w:p>
          <w:p>
            <w:pPr>
              <w:spacing w:line="242" w:lineRule="auto"/>
              <w:rPr>
                <w:rFonts w:hint="eastAsia" w:ascii="宋体" w:hAnsi="宋体" w:eastAsia="宋体" w:cs="宋体"/>
                <w:sz w:val="18"/>
                <w:szCs w:val="18"/>
              </w:rPr>
            </w:pPr>
          </w:p>
          <w:p>
            <w:pPr>
              <w:spacing w:line="243" w:lineRule="auto"/>
              <w:rPr>
                <w:rFonts w:hint="eastAsia" w:ascii="宋体" w:hAnsi="宋体" w:eastAsia="宋体" w:cs="宋体"/>
                <w:sz w:val="18"/>
                <w:szCs w:val="18"/>
              </w:rPr>
            </w:pPr>
          </w:p>
          <w:p>
            <w:pPr>
              <w:spacing w:line="243" w:lineRule="auto"/>
              <w:rPr>
                <w:rFonts w:hint="eastAsia" w:ascii="宋体" w:hAnsi="宋体" w:eastAsia="宋体" w:cs="宋体"/>
                <w:sz w:val="18"/>
                <w:szCs w:val="18"/>
              </w:rPr>
            </w:pPr>
          </w:p>
          <w:p>
            <w:pPr>
              <w:spacing w:line="243" w:lineRule="auto"/>
              <w:rPr>
                <w:rFonts w:hint="eastAsia" w:ascii="宋体" w:hAnsi="宋体" w:eastAsia="宋体" w:cs="宋体"/>
                <w:sz w:val="18"/>
                <w:szCs w:val="18"/>
              </w:rPr>
            </w:pPr>
          </w:p>
          <w:p>
            <w:pPr>
              <w:spacing w:line="243" w:lineRule="auto"/>
              <w:rPr>
                <w:rFonts w:hint="eastAsia" w:ascii="宋体" w:hAnsi="宋体" w:eastAsia="宋体" w:cs="宋体"/>
                <w:sz w:val="18"/>
                <w:szCs w:val="18"/>
              </w:rPr>
            </w:pPr>
          </w:p>
          <w:p>
            <w:pPr>
              <w:spacing w:line="243" w:lineRule="auto"/>
              <w:rPr>
                <w:rFonts w:hint="eastAsia" w:ascii="宋体" w:hAnsi="宋体" w:eastAsia="宋体" w:cs="宋体"/>
                <w:sz w:val="18"/>
                <w:szCs w:val="18"/>
              </w:rPr>
            </w:pPr>
          </w:p>
          <w:p>
            <w:pPr>
              <w:spacing w:before="58" w:line="180" w:lineRule="auto"/>
              <w:ind w:firstLine="244"/>
              <w:rPr>
                <w:rFonts w:hint="eastAsia" w:ascii="宋体" w:hAnsi="宋体" w:eastAsia="宋体" w:cs="宋体"/>
                <w:sz w:val="18"/>
                <w:szCs w:val="18"/>
              </w:rPr>
            </w:pPr>
            <w:r>
              <w:rPr>
                <w:rFonts w:hint="eastAsia" w:ascii="宋体" w:hAnsi="宋体" w:eastAsia="宋体" w:cs="宋体"/>
                <w:sz w:val="18"/>
                <w:szCs w:val="18"/>
              </w:rPr>
              <w:t>2</w:t>
            </w:r>
          </w:p>
        </w:tc>
        <w:tc>
          <w:tcPr>
            <w:tcW w:w="812" w:type="dxa"/>
            <w:vAlign w:val="top"/>
          </w:tcPr>
          <w:p>
            <w:pPr>
              <w:spacing w:line="243" w:lineRule="auto"/>
              <w:rPr>
                <w:rFonts w:hint="eastAsia" w:ascii="宋体" w:hAnsi="宋体" w:eastAsia="宋体" w:cs="宋体"/>
                <w:sz w:val="18"/>
                <w:szCs w:val="18"/>
              </w:rPr>
            </w:pPr>
          </w:p>
          <w:p>
            <w:pPr>
              <w:spacing w:line="243" w:lineRule="auto"/>
              <w:rPr>
                <w:rFonts w:hint="eastAsia" w:ascii="宋体" w:hAnsi="宋体" w:eastAsia="宋体" w:cs="宋体"/>
                <w:sz w:val="18"/>
                <w:szCs w:val="18"/>
              </w:rPr>
            </w:pPr>
          </w:p>
          <w:p>
            <w:pPr>
              <w:spacing w:line="243" w:lineRule="auto"/>
              <w:rPr>
                <w:rFonts w:hint="eastAsia" w:ascii="宋体" w:hAnsi="宋体" w:eastAsia="宋体" w:cs="宋体"/>
                <w:sz w:val="18"/>
                <w:szCs w:val="18"/>
              </w:rPr>
            </w:pPr>
          </w:p>
          <w:p>
            <w:pPr>
              <w:spacing w:line="243" w:lineRule="auto"/>
              <w:rPr>
                <w:rFonts w:hint="eastAsia" w:ascii="宋体" w:hAnsi="宋体" w:eastAsia="宋体" w:cs="宋体"/>
                <w:sz w:val="18"/>
                <w:szCs w:val="18"/>
              </w:rPr>
            </w:pPr>
          </w:p>
          <w:p>
            <w:pPr>
              <w:spacing w:line="244" w:lineRule="auto"/>
              <w:rPr>
                <w:rFonts w:hint="eastAsia" w:ascii="宋体" w:hAnsi="宋体" w:eastAsia="宋体" w:cs="宋体"/>
                <w:sz w:val="18"/>
                <w:szCs w:val="18"/>
              </w:rPr>
            </w:pPr>
          </w:p>
          <w:p>
            <w:pPr>
              <w:spacing w:line="244" w:lineRule="auto"/>
              <w:rPr>
                <w:rFonts w:hint="eastAsia" w:ascii="宋体" w:hAnsi="宋体" w:eastAsia="宋体" w:cs="宋体"/>
                <w:sz w:val="18"/>
                <w:szCs w:val="18"/>
              </w:rPr>
            </w:pPr>
          </w:p>
          <w:p>
            <w:pPr>
              <w:spacing w:line="244" w:lineRule="auto"/>
              <w:rPr>
                <w:rFonts w:hint="eastAsia" w:ascii="宋体" w:hAnsi="宋体" w:eastAsia="宋体" w:cs="宋体"/>
                <w:sz w:val="18"/>
                <w:szCs w:val="18"/>
              </w:rPr>
            </w:pPr>
          </w:p>
          <w:p>
            <w:pPr>
              <w:spacing w:line="244" w:lineRule="auto"/>
              <w:rPr>
                <w:rFonts w:hint="eastAsia" w:ascii="宋体" w:hAnsi="宋体" w:eastAsia="宋体" w:cs="宋体"/>
                <w:sz w:val="18"/>
                <w:szCs w:val="18"/>
              </w:rPr>
            </w:pPr>
          </w:p>
          <w:p>
            <w:pPr>
              <w:spacing w:line="244" w:lineRule="auto"/>
              <w:rPr>
                <w:rFonts w:hint="eastAsia" w:ascii="宋体" w:hAnsi="宋体" w:eastAsia="宋体" w:cs="宋体"/>
                <w:sz w:val="18"/>
                <w:szCs w:val="18"/>
              </w:rPr>
            </w:pPr>
          </w:p>
          <w:p>
            <w:pPr>
              <w:spacing w:line="244" w:lineRule="auto"/>
              <w:rPr>
                <w:rFonts w:hint="eastAsia" w:ascii="宋体" w:hAnsi="宋体" w:eastAsia="宋体" w:cs="宋体"/>
                <w:sz w:val="18"/>
                <w:szCs w:val="18"/>
              </w:rPr>
            </w:pPr>
          </w:p>
          <w:p>
            <w:pPr>
              <w:spacing w:line="244" w:lineRule="auto"/>
              <w:rPr>
                <w:rFonts w:hint="eastAsia" w:ascii="宋体" w:hAnsi="宋体" w:eastAsia="宋体" w:cs="宋体"/>
                <w:sz w:val="18"/>
                <w:szCs w:val="18"/>
              </w:rPr>
            </w:pPr>
          </w:p>
          <w:p>
            <w:pPr>
              <w:spacing w:before="65" w:line="184" w:lineRule="auto"/>
              <w:ind w:firstLine="210"/>
              <w:rPr>
                <w:rFonts w:hint="eastAsia" w:ascii="宋体" w:hAnsi="宋体" w:eastAsia="宋体" w:cs="宋体"/>
                <w:sz w:val="18"/>
                <w:szCs w:val="18"/>
              </w:rPr>
            </w:pPr>
            <w:r>
              <w:rPr>
                <w:rFonts w:hint="eastAsia" w:ascii="宋体" w:hAnsi="宋体" w:eastAsia="宋体" w:cs="宋体"/>
                <w:spacing w:val="-6"/>
                <w:sz w:val="18"/>
                <w:szCs w:val="18"/>
              </w:rPr>
              <w:t>硝酸</w:t>
            </w:r>
          </w:p>
        </w:tc>
        <w:tc>
          <w:tcPr>
            <w:tcW w:w="655" w:type="dxa"/>
            <w:vAlign w:val="top"/>
          </w:tcPr>
          <w:p>
            <w:pPr>
              <w:rPr>
                <w:rFonts w:hint="eastAsia" w:ascii="宋体" w:hAnsi="宋体" w:eastAsia="宋体" w:cs="宋体"/>
                <w:sz w:val="18"/>
                <w:szCs w:val="18"/>
              </w:rPr>
            </w:pPr>
          </w:p>
          <w:p>
            <w:pPr>
              <w:rPr>
                <w:rFonts w:hint="eastAsia" w:ascii="宋体" w:hAnsi="宋体" w:eastAsia="宋体" w:cs="宋体"/>
                <w:sz w:val="18"/>
                <w:szCs w:val="18"/>
              </w:rPr>
            </w:pPr>
          </w:p>
          <w:p>
            <w:pPr>
              <w:rPr>
                <w:rFonts w:hint="eastAsia" w:ascii="宋体" w:hAnsi="宋体" w:eastAsia="宋体" w:cs="宋体"/>
                <w:sz w:val="18"/>
                <w:szCs w:val="18"/>
              </w:rPr>
            </w:pPr>
          </w:p>
          <w:p>
            <w:pPr>
              <w:rPr>
                <w:rFonts w:hint="eastAsia" w:ascii="宋体" w:hAnsi="宋体" w:eastAsia="宋体" w:cs="宋体"/>
                <w:sz w:val="18"/>
                <w:szCs w:val="18"/>
              </w:rPr>
            </w:pPr>
          </w:p>
          <w:p>
            <w:pPr>
              <w:rPr>
                <w:rFonts w:hint="eastAsia" w:ascii="宋体" w:hAnsi="宋体" w:eastAsia="宋体" w:cs="宋体"/>
                <w:sz w:val="18"/>
                <w:szCs w:val="18"/>
              </w:rPr>
            </w:pPr>
          </w:p>
          <w:p>
            <w:pPr>
              <w:rPr>
                <w:rFonts w:hint="eastAsia" w:ascii="宋体" w:hAnsi="宋体" w:eastAsia="宋体" w:cs="宋体"/>
                <w:sz w:val="18"/>
                <w:szCs w:val="18"/>
              </w:rPr>
            </w:pPr>
          </w:p>
          <w:p>
            <w:pPr>
              <w:rPr>
                <w:rFonts w:hint="eastAsia" w:ascii="宋体" w:hAnsi="宋体" w:eastAsia="宋体" w:cs="宋体"/>
                <w:sz w:val="18"/>
                <w:szCs w:val="18"/>
              </w:rPr>
            </w:pPr>
          </w:p>
          <w:p>
            <w:pPr>
              <w:rPr>
                <w:rFonts w:hint="eastAsia" w:ascii="宋体" w:hAnsi="宋体" w:eastAsia="宋体" w:cs="宋体"/>
                <w:sz w:val="18"/>
                <w:szCs w:val="18"/>
              </w:rPr>
            </w:pPr>
          </w:p>
          <w:p>
            <w:pPr>
              <w:rPr>
                <w:rFonts w:hint="eastAsia" w:ascii="宋体" w:hAnsi="宋体" w:eastAsia="宋体" w:cs="宋体"/>
                <w:sz w:val="18"/>
                <w:szCs w:val="18"/>
              </w:rPr>
            </w:pPr>
          </w:p>
          <w:p>
            <w:pPr>
              <w:spacing w:line="241" w:lineRule="auto"/>
              <w:rPr>
                <w:rFonts w:hint="eastAsia" w:ascii="宋体" w:hAnsi="宋体" w:eastAsia="宋体" w:cs="宋体"/>
                <w:sz w:val="18"/>
                <w:szCs w:val="18"/>
              </w:rPr>
            </w:pPr>
          </w:p>
          <w:p>
            <w:pPr>
              <w:spacing w:line="241" w:lineRule="auto"/>
              <w:rPr>
                <w:rFonts w:hint="eastAsia" w:ascii="宋体" w:hAnsi="宋体" w:eastAsia="宋体" w:cs="宋体"/>
                <w:sz w:val="18"/>
                <w:szCs w:val="18"/>
              </w:rPr>
            </w:pPr>
          </w:p>
          <w:p>
            <w:pPr>
              <w:spacing w:before="58" w:line="184" w:lineRule="auto"/>
              <w:ind w:firstLine="151"/>
              <w:rPr>
                <w:rFonts w:hint="eastAsia" w:ascii="宋体" w:hAnsi="宋体" w:eastAsia="宋体" w:cs="宋体"/>
                <w:sz w:val="18"/>
                <w:szCs w:val="18"/>
              </w:rPr>
            </w:pPr>
            <w:r>
              <w:rPr>
                <w:rFonts w:hint="eastAsia" w:ascii="宋体" w:hAnsi="宋体" w:eastAsia="宋体" w:cs="宋体"/>
                <w:spacing w:val="-5"/>
                <w:sz w:val="18"/>
                <w:szCs w:val="18"/>
              </w:rPr>
              <w:t>液态</w:t>
            </w:r>
          </w:p>
        </w:tc>
        <w:tc>
          <w:tcPr>
            <w:tcW w:w="916" w:type="dxa"/>
            <w:vAlign w:val="top"/>
          </w:tcPr>
          <w:p>
            <w:pPr>
              <w:spacing w:line="257" w:lineRule="auto"/>
              <w:rPr>
                <w:rFonts w:hint="eastAsia" w:ascii="宋体" w:hAnsi="宋体" w:eastAsia="宋体" w:cs="宋体"/>
                <w:sz w:val="18"/>
                <w:szCs w:val="18"/>
              </w:rPr>
            </w:pPr>
          </w:p>
          <w:p>
            <w:pPr>
              <w:spacing w:line="257" w:lineRule="auto"/>
              <w:rPr>
                <w:rFonts w:hint="eastAsia" w:ascii="宋体" w:hAnsi="宋体" w:eastAsia="宋体" w:cs="宋体"/>
                <w:sz w:val="18"/>
                <w:szCs w:val="18"/>
              </w:rPr>
            </w:pPr>
          </w:p>
          <w:p>
            <w:pPr>
              <w:spacing w:line="257" w:lineRule="auto"/>
              <w:rPr>
                <w:rFonts w:hint="eastAsia" w:ascii="宋体" w:hAnsi="宋体" w:eastAsia="宋体" w:cs="宋体"/>
                <w:sz w:val="18"/>
                <w:szCs w:val="18"/>
              </w:rPr>
            </w:pPr>
          </w:p>
          <w:p>
            <w:pPr>
              <w:spacing w:line="257" w:lineRule="auto"/>
              <w:rPr>
                <w:rFonts w:hint="eastAsia" w:ascii="宋体" w:hAnsi="宋体" w:eastAsia="宋体" w:cs="宋体"/>
                <w:sz w:val="18"/>
                <w:szCs w:val="18"/>
              </w:rPr>
            </w:pPr>
          </w:p>
          <w:p>
            <w:pPr>
              <w:spacing w:line="257" w:lineRule="auto"/>
              <w:rPr>
                <w:rFonts w:hint="eastAsia" w:ascii="宋体" w:hAnsi="宋体" w:eastAsia="宋体" w:cs="宋体"/>
                <w:sz w:val="18"/>
                <w:szCs w:val="18"/>
              </w:rPr>
            </w:pPr>
          </w:p>
          <w:p>
            <w:pPr>
              <w:spacing w:line="257" w:lineRule="auto"/>
              <w:rPr>
                <w:rFonts w:hint="eastAsia" w:ascii="宋体" w:hAnsi="宋体" w:eastAsia="宋体" w:cs="宋体"/>
                <w:sz w:val="18"/>
                <w:szCs w:val="18"/>
              </w:rPr>
            </w:pPr>
          </w:p>
          <w:p>
            <w:pPr>
              <w:spacing w:line="257" w:lineRule="auto"/>
              <w:rPr>
                <w:rFonts w:hint="eastAsia" w:ascii="宋体" w:hAnsi="宋体" w:eastAsia="宋体" w:cs="宋体"/>
                <w:sz w:val="18"/>
                <w:szCs w:val="18"/>
              </w:rPr>
            </w:pPr>
          </w:p>
          <w:p>
            <w:pPr>
              <w:spacing w:line="257" w:lineRule="auto"/>
              <w:rPr>
                <w:rFonts w:hint="eastAsia" w:ascii="宋体" w:hAnsi="宋体" w:eastAsia="宋体" w:cs="宋体"/>
                <w:sz w:val="18"/>
                <w:szCs w:val="18"/>
              </w:rPr>
            </w:pPr>
          </w:p>
          <w:p>
            <w:pPr>
              <w:spacing w:line="257" w:lineRule="auto"/>
              <w:rPr>
                <w:rFonts w:hint="eastAsia" w:ascii="宋体" w:hAnsi="宋体" w:eastAsia="宋体" w:cs="宋体"/>
                <w:sz w:val="18"/>
                <w:szCs w:val="18"/>
              </w:rPr>
            </w:pPr>
          </w:p>
          <w:p>
            <w:pPr>
              <w:spacing w:line="258" w:lineRule="auto"/>
              <w:rPr>
                <w:rFonts w:hint="eastAsia" w:ascii="宋体" w:hAnsi="宋体" w:eastAsia="宋体" w:cs="宋体"/>
                <w:sz w:val="18"/>
                <w:szCs w:val="18"/>
              </w:rPr>
            </w:pPr>
          </w:p>
          <w:p>
            <w:pPr>
              <w:spacing w:before="65" w:line="180" w:lineRule="auto"/>
              <w:ind w:firstLine="116"/>
              <w:rPr>
                <w:rFonts w:hint="eastAsia" w:ascii="宋体" w:hAnsi="宋体" w:eastAsia="宋体" w:cs="宋体"/>
                <w:sz w:val="18"/>
                <w:szCs w:val="18"/>
              </w:rPr>
            </w:pPr>
            <w:r>
              <w:rPr>
                <w:rFonts w:hint="eastAsia" w:ascii="宋体" w:hAnsi="宋体" w:eastAsia="宋体" w:cs="宋体"/>
                <w:spacing w:val="-2"/>
                <w:sz w:val="18"/>
                <w:szCs w:val="18"/>
              </w:rPr>
              <w:t>7697-37</w:t>
            </w:r>
          </w:p>
          <w:p>
            <w:pPr>
              <w:spacing w:before="116" w:line="180" w:lineRule="auto"/>
              <w:ind w:firstLine="360"/>
              <w:rPr>
                <w:rFonts w:hint="eastAsia" w:ascii="宋体" w:hAnsi="宋体" w:eastAsia="宋体" w:cs="宋体"/>
                <w:sz w:val="18"/>
                <w:szCs w:val="18"/>
              </w:rPr>
            </w:pPr>
            <w:r>
              <w:rPr>
                <w:rFonts w:hint="eastAsia" w:ascii="宋体" w:hAnsi="宋体" w:eastAsia="宋体" w:cs="宋体"/>
                <w:spacing w:val="-3"/>
                <w:sz w:val="18"/>
                <w:szCs w:val="18"/>
              </w:rPr>
              <w:t>-2</w:t>
            </w:r>
          </w:p>
        </w:tc>
        <w:tc>
          <w:tcPr>
            <w:tcW w:w="5374" w:type="dxa"/>
            <w:vAlign w:val="top"/>
          </w:tcPr>
          <w:p>
            <w:pPr>
              <w:adjustRightInd w:val="0"/>
              <w:snapToGrid w:val="0"/>
              <w:spacing w:before="0" w:line="288" w:lineRule="auto"/>
              <w:ind w:left="0" w:right="108" w:firstLine="0"/>
              <w:rPr>
                <w:rFonts w:hint="eastAsia" w:ascii="宋体" w:hAnsi="宋体" w:eastAsia="宋体" w:cs="宋体"/>
                <w:spacing w:val="-2"/>
                <w:sz w:val="18"/>
                <w:szCs w:val="18"/>
              </w:rPr>
            </w:pPr>
            <w:r>
              <w:rPr>
                <w:rFonts w:hint="eastAsia" w:ascii="宋体" w:hAnsi="宋体" w:eastAsia="宋体" w:cs="宋体"/>
                <w:spacing w:val="-2"/>
                <w:sz w:val="18"/>
                <w:szCs w:val="18"/>
              </w:rPr>
              <w:t>透明、无色或带黄色有独特的窒息性气味的腐蚀性液体；</w:t>
            </w:r>
          </w:p>
          <w:p>
            <w:pPr>
              <w:adjustRightInd w:val="0"/>
              <w:snapToGrid w:val="0"/>
              <w:spacing w:before="0" w:line="288" w:lineRule="auto"/>
              <w:ind w:left="0" w:right="108" w:firstLine="0"/>
              <w:rPr>
                <w:rFonts w:hint="eastAsia" w:ascii="宋体" w:hAnsi="宋体" w:eastAsia="宋体" w:cs="宋体"/>
                <w:sz w:val="18"/>
                <w:szCs w:val="18"/>
              </w:rPr>
            </w:pPr>
            <w:r>
              <w:rPr>
                <w:rFonts w:hint="eastAsia" w:ascii="宋体" w:hAnsi="宋体" w:eastAsia="宋体" w:cs="宋体"/>
                <w:spacing w:val="-8"/>
                <w:sz w:val="18"/>
                <w:szCs w:val="18"/>
              </w:rPr>
              <w:t>理化特性:相对密度：1.503</w:t>
            </w:r>
            <w:r>
              <w:rPr>
                <w:rFonts w:hint="eastAsia" w:ascii="宋体" w:hAnsi="宋体" w:eastAsia="宋体" w:cs="宋体"/>
                <w:spacing w:val="-56"/>
                <w:sz w:val="18"/>
                <w:szCs w:val="18"/>
              </w:rPr>
              <w:t xml:space="preserve"> </w:t>
            </w:r>
            <w:r>
              <w:rPr>
                <w:rFonts w:hint="eastAsia" w:ascii="宋体" w:hAnsi="宋体" w:eastAsia="宋体" w:cs="宋体"/>
                <w:spacing w:val="-8"/>
                <w:sz w:val="18"/>
                <w:szCs w:val="18"/>
              </w:rPr>
              <w:t>(25℃);</w:t>
            </w:r>
            <w:r>
              <w:rPr>
                <w:rFonts w:hint="eastAsia" w:ascii="宋体" w:hAnsi="宋体" w:eastAsia="宋体" w:cs="宋体"/>
                <w:spacing w:val="-23"/>
                <w:sz w:val="18"/>
                <w:szCs w:val="18"/>
              </w:rPr>
              <w:t xml:space="preserve"> </w:t>
            </w:r>
            <w:r>
              <w:rPr>
                <w:rFonts w:hint="eastAsia" w:ascii="宋体" w:hAnsi="宋体" w:eastAsia="宋体" w:cs="宋体"/>
                <w:spacing w:val="-8"/>
                <w:sz w:val="18"/>
                <w:szCs w:val="18"/>
              </w:rPr>
              <w:t>1.41</w:t>
            </w:r>
            <w:r>
              <w:rPr>
                <w:rFonts w:hint="eastAsia" w:ascii="宋体" w:hAnsi="宋体" w:eastAsia="宋体" w:cs="宋体"/>
                <w:spacing w:val="-56"/>
                <w:sz w:val="18"/>
                <w:szCs w:val="18"/>
              </w:rPr>
              <w:t xml:space="preserve"> </w:t>
            </w:r>
            <w:r>
              <w:rPr>
                <w:rFonts w:hint="eastAsia" w:ascii="宋体" w:hAnsi="宋体" w:eastAsia="宋体" w:cs="宋体"/>
                <w:spacing w:val="-8"/>
                <w:sz w:val="18"/>
                <w:szCs w:val="18"/>
              </w:rPr>
              <w:t>(20℃)(68%硝酸);</w:t>
            </w:r>
          </w:p>
          <w:p>
            <w:pPr>
              <w:adjustRightInd w:val="0"/>
              <w:snapToGrid w:val="0"/>
              <w:spacing w:before="0" w:line="288" w:lineRule="auto"/>
              <w:ind w:left="0" w:right="108" w:firstLine="0"/>
              <w:rPr>
                <w:rFonts w:hint="eastAsia" w:ascii="宋体" w:hAnsi="宋体" w:eastAsia="宋体" w:cs="宋体"/>
                <w:sz w:val="18"/>
                <w:szCs w:val="18"/>
              </w:rPr>
            </w:pPr>
            <w:r>
              <w:rPr>
                <w:rFonts w:hint="eastAsia" w:ascii="宋体" w:hAnsi="宋体" w:eastAsia="宋体" w:cs="宋体"/>
                <w:spacing w:val="-9"/>
                <w:sz w:val="18"/>
                <w:szCs w:val="18"/>
              </w:rPr>
              <w:t>熔点：(-41.59)℃;</w:t>
            </w:r>
            <w:r>
              <w:rPr>
                <w:rFonts w:hint="eastAsia" w:ascii="宋体" w:hAnsi="宋体" w:eastAsia="宋体" w:cs="宋体"/>
                <w:spacing w:val="45"/>
                <w:sz w:val="18"/>
                <w:szCs w:val="18"/>
              </w:rPr>
              <w:t xml:space="preserve"> </w:t>
            </w:r>
            <w:r>
              <w:rPr>
                <w:rFonts w:hint="eastAsia" w:ascii="宋体" w:hAnsi="宋体" w:eastAsia="宋体" w:cs="宋体"/>
                <w:spacing w:val="-9"/>
                <w:sz w:val="18"/>
                <w:szCs w:val="18"/>
              </w:rPr>
              <w:t>(-37.68)℃(一水物)</w:t>
            </w:r>
            <w:r>
              <w:rPr>
                <w:rFonts w:hint="eastAsia" w:ascii="宋体" w:hAnsi="宋体" w:eastAsia="宋体" w:cs="宋体"/>
                <w:spacing w:val="-9"/>
                <w:sz w:val="18"/>
                <w:szCs w:val="18"/>
                <w:lang w:eastAsia="zh-CN"/>
              </w:rPr>
              <w:t>；</w:t>
            </w:r>
            <w:r>
              <w:rPr>
                <w:rFonts w:hint="eastAsia" w:ascii="宋体" w:hAnsi="宋体" w:eastAsia="宋体" w:cs="宋体"/>
                <w:spacing w:val="-9"/>
                <w:sz w:val="18"/>
                <w:szCs w:val="18"/>
              </w:rPr>
              <w:t>沸点：83℃;</w:t>
            </w:r>
            <w:r>
              <w:rPr>
                <w:rFonts w:hint="eastAsia" w:ascii="宋体" w:hAnsi="宋体" w:eastAsia="宋体" w:cs="宋体"/>
                <w:spacing w:val="23"/>
                <w:sz w:val="18"/>
                <w:szCs w:val="18"/>
              </w:rPr>
              <w:t xml:space="preserve"> </w:t>
            </w:r>
            <w:r>
              <w:rPr>
                <w:rFonts w:hint="eastAsia" w:ascii="宋体" w:hAnsi="宋体" w:eastAsia="宋体" w:cs="宋体"/>
                <w:spacing w:val="-9"/>
                <w:sz w:val="18"/>
                <w:szCs w:val="18"/>
              </w:rPr>
              <w:t>120.5℃(68%硝酸)</w:t>
            </w:r>
            <w:r>
              <w:rPr>
                <w:rFonts w:hint="eastAsia" w:ascii="宋体" w:hAnsi="宋体" w:eastAsia="宋体" w:cs="宋体"/>
                <w:spacing w:val="-4"/>
                <w:sz w:val="18"/>
                <w:szCs w:val="18"/>
              </w:rPr>
              <w:t>危险特性:不燃。能与多种物质如金属粉末、电石、硫化氢、</w:t>
            </w:r>
            <w:r>
              <w:rPr>
                <w:rFonts w:hint="eastAsia" w:ascii="宋体" w:hAnsi="宋体" w:eastAsia="宋体" w:cs="宋体"/>
                <w:spacing w:val="25"/>
                <w:sz w:val="18"/>
                <w:szCs w:val="18"/>
              </w:rPr>
              <w:t xml:space="preserve"> </w:t>
            </w:r>
            <w:r>
              <w:rPr>
                <w:rFonts w:hint="eastAsia" w:ascii="宋体" w:hAnsi="宋体" w:eastAsia="宋体" w:cs="宋体"/>
                <w:spacing w:val="-1"/>
                <w:sz w:val="18"/>
                <w:szCs w:val="18"/>
              </w:rPr>
              <w:t>松节油等猛烈反应,发生爆炸。与可燃物、还原剂和有机物</w:t>
            </w:r>
            <w:r>
              <w:rPr>
                <w:rFonts w:hint="eastAsia" w:ascii="宋体" w:hAnsi="宋体" w:eastAsia="宋体" w:cs="宋体"/>
                <w:spacing w:val="-3"/>
                <w:sz w:val="18"/>
                <w:szCs w:val="18"/>
              </w:rPr>
              <w:t>如木屑、棉花、稻草或废纱头等接触,引起燃烧,并散发出剧</w:t>
            </w:r>
            <w:r>
              <w:rPr>
                <w:rFonts w:hint="eastAsia" w:ascii="宋体" w:hAnsi="宋体" w:eastAsia="宋体" w:cs="宋体"/>
                <w:spacing w:val="24"/>
                <w:sz w:val="18"/>
                <w:szCs w:val="18"/>
              </w:rPr>
              <w:t xml:space="preserve"> </w:t>
            </w:r>
            <w:r>
              <w:rPr>
                <w:rFonts w:hint="eastAsia" w:ascii="宋体" w:hAnsi="宋体" w:eastAsia="宋体" w:cs="宋体"/>
                <w:spacing w:val="-1"/>
                <w:sz w:val="18"/>
                <w:szCs w:val="18"/>
              </w:rPr>
              <w:t>毒的棕色烟雾。与硝酸蒸气接触很危险。</w:t>
            </w:r>
          </w:p>
          <w:p>
            <w:pPr>
              <w:adjustRightInd w:val="0"/>
              <w:snapToGrid w:val="0"/>
              <w:spacing w:before="0" w:line="288" w:lineRule="auto"/>
              <w:ind w:left="0" w:right="108" w:firstLine="0"/>
              <w:rPr>
                <w:rFonts w:hint="eastAsia" w:ascii="宋体" w:hAnsi="宋体" w:eastAsia="宋体" w:cs="宋体"/>
                <w:sz w:val="18"/>
                <w:szCs w:val="18"/>
              </w:rPr>
            </w:pPr>
            <w:r>
              <w:rPr>
                <w:rFonts w:hint="eastAsia" w:ascii="宋体" w:hAnsi="宋体" w:eastAsia="宋体" w:cs="宋体"/>
                <w:spacing w:val="-1"/>
                <w:sz w:val="18"/>
                <w:szCs w:val="18"/>
              </w:rPr>
              <w:t>毒理学:硝酸液及硝酸蒸气对皮肤和粘膜有强刺激和腐蚀作</w:t>
            </w:r>
            <w:r>
              <w:rPr>
                <w:rFonts w:hint="eastAsia" w:ascii="宋体" w:hAnsi="宋体" w:eastAsia="宋体" w:cs="宋体"/>
                <w:spacing w:val="-6"/>
                <w:sz w:val="18"/>
                <w:szCs w:val="18"/>
              </w:rPr>
              <w:t>用。浓硝酸烟雾可释放出五氧化二氮（硝酐）</w:t>
            </w:r>
            <w:r>
              <w:rPr>
                <w:rFonts w:hint="eastAsia" w:ascii="宋体" w:hAnsi="宋体" w:eastAsia="宋体" w:cs="宋体"/>
                <w:spacing w:val="4"/>
                <w:sz w:val="18"/>
                <w:szCs w:val="18"/>
              </w:rPr>
              <w:t xml:space="preserve"> </w:t>
            </w:r>
            <w:r>
              <w:rPr>
                <w:rFonts w:hint="eastAsia" w:ascii="宋体" w:hAnsi="宋体" w:eastAsia="宋体" w:cs="宋体"/>
                <w:spacing w:val="-6"/>
                <w:sz w:val="18"/>
                <w:szCs w:val="18"/>
              </w:rPr>
              <w:t>遇水蒸气形成</w:t>
            </w:r>
            <w:r>
              <w:rPr>
                <w:rFonts w:hint="eastAsia" w:ascii="宋体" w:hAnsi="宋体" w:eastAsia="宋体" w:cs="宋体"/>
                <w:sz w:val="18"/>
                <w:szCs w:val="18"/>
              </w:rPr>
              <w:t xml:space="preserve"> </w:t>
            </w:r>
            <w:r>
              <w:rPr>
                <w:rFonts w:hint="eastAsia" w:ascii="宋体" w:hAnsi="宋体" w:eastAsia="宋体" w:cs="宋体"/>
                <w:spacing w:val="-3"/>
                <w:sz w:val="18"/>
                <w:szCs w:val="18"/>
              </w:rPr>
              <w:t>酸雾，可迅速分解而形成二氧化氮，浓硝酸加热时产生硝酸</w:t>
            </w:r>
            <w:r>
              <w:rPr>
                <w:rFonts w:hint="eastAsia" w:ascii="宋体" w:hAnsi="宋体" w:eastAsia="宋体" w:cs="宋体"/>
                <w:spacing w:val="24"/>
                <w:sz w:val="18"/>
                <w:szCs w:val="18"/>
              </w:rPr>
              <w:t xml:space="preserve"> </w:t>
            </w:r>
            <w:r>
              <w:rPr>
                <w:rFonts w:hint="eastAsia" w:ascii="宋体" w:hAnsi="宋体" w:eastAsia="宋体" w:cs="宋体"/>
                <w:spacing w:val="-2"/>
                <w:sz w:val="18"/>
                <w:szCs w:val="18"/>
              </w:rPr>
              <w:t>蒸气，也可分解产生二氧化氮，吸入后可引起急性氮氧化物</w:t>
            </w:r>
            <w:r>
              <w:rPr>
                <w:rFonts w:hint="eastAsia" w:ascii="宋体" w:hAnsi="宋体" w:eastAsia="宋体" w:cs="宋体"/>
                <w:sz w:val="18"/>
                <w:szCs w:val="18"/>
              </w:rPr>
              <w:t xml:space="preserve"> </w:t>
            </w:r>
            <w:r>
              <w:rPr>
                <w:rFonts w:hint="eastAsia" w:ascii="宋体" w:hAnsi="宋体" w:eastAsia="宋体" w:cs="宋体"/>
                <w:spacing w:val="-3"/>
                <w:sz w:val="18"/>
                <w:szCs w:val="18"/>
              </w:rPr>
              <w:t>中毒。人在低于12</w:t>
            </w:r>
            <w:r>
              <w:rPr>
                <w:rFonts w:hint="eastAsia" w:ascii="宋体" w:hAnsi="宋体" w:eastAsia="宋体" w:cs="宋体"/>
                <w:spacing w:val="-41"/>
                <w:sz w:val="18"/>
                <w:szCs w:val="18"/>
              </w:rPr>
              <w:t xml:space="preserve"> </w:t>
            </w:r>
            <w:r>
              <w:rPr>
                <w:rFonts w:hint="eastAsia" w:ascii="宋体" w:hAnsi="宋体" w:eastAsia="宋体" w:cs="宋体"/>
                <w:spacing w:val="-3"/>
                <w:sz w:val="18"/>
                <w:szCs w:val="18"/>
              </w:rPr>
              <w:t>ppm(30</w:t>
            </w:r>
            <w:r>
              <w:rPr>
                <w:rFonts w:hint="eastAsia" w:ascii="宋体" w:hAnsi="宋体" w:eastAsia="宋体" w:cs="宋体"/>
                <w:spacing w:val="-46"/>
                <w:sz w:val="18"/>
                <w:szCs w:val="18"/>
              </w:rPr>
              <w:t xml:space="preserve"> </w:t>
            </w:r>
            <w:r>
              <w:rPr>
                <w:rFonts w:hint="eastAsia" w:ascii="宋体" w:hAnsi="宋体" w:eastAsia="宋体" w:cs="宋体"/>
                <w:spacing w:val="-3"/>
                <w:sz w:val="18"/>
                <w:szCs w:val="18"/>
              </w:rPr>
              <w:t>mg/m^3)左右时未见明显的损害。</w:t>
            </w:r>
          </w:p>
          <w:p>
            <w:pPr>
              <w:adjustRightInd w:val="0"/>
              <w:snapToGrid w:val="0"/>
              <w:spacing w:before="0" w:line="288" w:lineRule="auto"/>
              <w:ind w:right="108" w:firstLine="0"/>
              <w:rPr>
                <w:rFonts w:hint="eastAsia" w:ascii="宋体" w:hAnsi="宋体" w:eastAsia="宋体" w:cs="宋体"/>
                <w:sz w:val="18"/>
                <w:szCs w:val="18"/>
              </w:rPr>
            </w:pPr>
            <w:r>
              <w:rPr>
                <w:rFonts w:hint="eastAsia" w:ascii="宋体" w:hAnsi="宋体" w:eastAsia="宋体" w:cs="宋体"/>
                <w:spacing w:val="-2"/>
                <w:sz w:val="18"/>
                <w:szCs w:val="18"/>
              </w:rPr>
              <w:t>吸入可引起肺炎。大鼠吸入</w:t>
            </w:r>
            <w:r>
              <w:rPr>
                <w:rFonts w:hint="eastAsia" w:ascii="宋体" w:hAnsi="宋体" w:eastAsia="宋体" w:cs="宋体"/>
                <w:spacing w:val="-38"/>
                <w:sz w:val="18"/>
                <w:szCs w:val="18"/>
              </w:rPr>
              <w:t xml:space="preserve"> </w:t>
            </w:r>
            <w:r>
              <w:rPr>
                <w:rFonts w:hint="eastAsia" w:ascii="宋体" w:hAnsi="宋体" w:eastAsia="宋体" w:cs="宋体"/>
                <w:spacing w:val="-2"/>
                <w:sz w:val="18"/>
                <w:szCs w:val="18"/>
              </w:rPr>
              <w:t>LC50</w:t>
            </w:r>
            <w:r>
              <w:rPr>
                <w:rFonts w:hint="eastAsia" w:ascii="宋体" w:hAnsi="宋体" w:eastAsia="宋体" w:cs="宋体"/>
                <w:spacing w:val="6"/>
                <w:sz w:val="18"/>
                <w:szCs w:val="18"/>
              </w:rPr>
              <w:t xml:space="preserve"> </w:t>
            </w:r>
            <w:r>
              <w:rPr>
                <w:rFonts w:hint="eastAsia" w:ascii="宋体" w:hAnsi="宋体" w:eastAsia="宋体" w:cs="宋体"/>
                <w:spacing w:val="-2"/>
                <w:sz w:val="18"/>
                <w:szCs w:val="18"/>
              </w:rPr>
              <w:t>49</w:t>
            </w:r>
            <w:r>
              <w:rPr>
                <w:rFonts w:hint="eastAsia" w:ascii="宋体" w:hAnsi="宋体" w:eastAsia="宋体" w:cs="宋体"/>
                <w:spacing w:val="5"/>
                <w:sz w:val="18"/>
                <w:szCs w:val="18"/>
              </w:rPr>
              <w:t xml:space="preserve"> </w:t>
            </w:r>
            <w:r>
              <w:rPr>
                <w:rFonts w:hint="eastAsia" w:ascii="宋体" w:hAnsi="宋体" w:eastAsia="宋体" w:cs="宋体"/>
                <w:spacing w:val="-2"/>
                <w:sz w:val="18"/>
                <w:szCs w:val="18"/>
              </w:rPr>
              <w:t>ppm/4</w:t>
            </w:r>
            <w:r>
              <w:rPr>
                <w:rFonts w:hint="eastAsia" w:ascii="宋体" w:hAnsi="宋体" w:eastAsia="宋体" w:cs="宋体"/>
                <w:spacing w:val="-37"/>
                <w:sz w:val="18"/>
                <w:szCs w:val="18"/>
              </w:rPr>
              <w:t xml:space="preserve"> </w:t>
            </w:r>
            <w:r>
              <w:rPr>
                <w:rFonts w:hint="eastAsia" w:ascii="宋体" w:hAnsi="宋体" w:eastAsia="宋体" w:cs="宋体"/>
                <w:spacing w:val="-2"/>
                <w:sz w:val="18"/>
                <w:szCs w:val="18"/>
              </w:rPr>
              <w:t>小时。</w:t>
            </w:r>
          </w:p>
          <w:p>
            <w:pPr>
              <w:adjustRightInd w:val="0"/>
              <w:snapToGrid w:val="0"/>
              <w:spacing w:before="0" w:line="288" w:lineRule="auto"/>
              <w:ind w:left="0" w:right="108" w:firstLine="0"/>
              <w:rPr>
                <w:rFonts w:hint="eastAsia" w:ascii="宋体" w:hAnsi="宋体" w:eastAsia="宋体" w:cs="宋体"/>
                <w:sz w:val="18"/>
                <w:szCs w:val="18"/>
              </w:rPr>
            </w:pPr>
            <w:r>
              <w:rPr>
                <w:rFonts w:hint="eastAsia" w:ascii="宋体" w:hAnsi="宋体" w:eastAsia="宋体" w:cs="宋体"/>
                <w:spacing w:val="-2"/>
                <w:sz w:val="18"/>
                <w:szCs w:val="18"/>
              </w:rPr>
              <w:t>国外报道</w:t>
            </w:r>
            <w:r>
              <w:rPr>
                <w:rFonts w:hint="eastAsia" w:ascii="宋体" w:hAnsi="宋体" w:eastAsia="宋体" w:cs="宋体"/>
                <w:spacing w:val="-35"/>
                <w:sz w:val="18"/>
                <w:szCs w:val="18"/>
              </w:rPr>
              <w:t xml:space="preserve"> </w:t>
            </w:r>
            <w:r>
              <w:rPr>
                <w:rFonts w:hint="eastAsia" w:ascii="宋体" w:hAnsi="宋体" w:eastAsia="宋体" w:cs="宋体"/>
                <w:spacing w:val="-2"/>
                <w:sz w:val="18"/>
                <w:szCs w:val="18"/>
              </w:rPr>
              <w:t>3</w:t>
            </w:r>
            <w:r>
              <w:rPr>
                <w:rFonts w:hint="eastAsia" w:ascii="宋体" w:hAnsi="宋体" w:eastAsia="宋体" w:cs="宋体"/>
                <w:spacing w:val="-41"/>
                <w:sz w:val="18"/>
                <w:szCs w:val="18"/>
              </w:rPr>
              <w:t xml:space="preserve"> </w:t>
            </w:r>
            <w:r>
              <w:rPr>
                <w:rFonts w:hint="eastAsia" w:ascii="宋体" w:hAnsi="宋体" w:eastAsia="宋体" w:cs="宋体"/>
                <w:spacing w:val="-2"/>
                <w:sz w:val="18"/>
                <w:szCs w:val="18"/>
              </w:rPr>
              <w:t>例吸入硝酸烟雾后短时间内无呼吸道症状。4－</w:t>
            </w:r>
            <w:r>
              <w:rPr>
                <w:rFonts w:hint="eastAsia" w:ascii="宋体" w:hAnsi="宋体" w:eastAsia="宋体" w:cs="宋体"/>
                <w:spacing w:val="-5"/>
                <w:sz w:val="18"/>
                <w:szCs w:val="18"/>
              </w:rPr>
              <w:t>6h</w:t>
            </w:r>
            <w:r>
              <w:rPr>
                <w:rFonts w:hint="eastAsia" w:ascii="宋体" w:hAnsi="宋体" w:eastAsia="宋体" w:cs="宋体"/>
                <w:spacing w:val="-18"/>
                <w:sz w:val="18"/>
                <w:szCs w:val="18"/>
              </w:rPr>
              <w:t xml:space="preserve"> </w:t>
            </w:r>
            <w:r>
              <w:rPr>
                <w:rFonts w:hint="eastAsia" w:ascii="宋体" w:hAnsi="宋体" w:eastAsia="宋体" w:cs="宋体"/>
                <w:spacing w:val="-5"/>
                <w:sz w:val="18"/>
                <w:szCs w:val="18"/>
              </w:rPr>
              <w:t>后进行性呼吸困难。入院后均有发绀及口、鼻流出泡沫液</w:t>
            </w:r>
            <w:r>
              <w:rPr>
                <w:rFonts w:hint="eastAsia" w:ascii="宋体" w:hAnsi="宋体" w:eastAsia="宋体" w:cs="宋体"/>
                <w:sz w:val="18"/>
                <w:szCs w:val="18"/>
              </w:rPr>
              <w:t xml:space="preserve"> </w:t>
            </w:r>
            <w:r>
              <w:rPr>
                <w:rFonts w:hint="eastAsia" w:ascii="宋体" w:hAnsi="宋体" w:eastAsia="宋体" w:cs="宋体"/>
                <w:spacing w:val="-8"/>
                <w:sz w:val="18"/>
                <w:szCs w:val="18"/>
              </w:rPr>
              <w:t>体。给机械通气及 100％氧气吸入。在</w:t>
            </w:r>
            <w:r>
              <w:rPr>
                <w:rFonts w:hint="eastAsia" w:ascii="宋体" w:hAnsi="宋体" w:eastAsia="宋体" w:cs="宋体"/>
                <w:spacing w:val="-39"/>
                <w:sz w:val="18"/>
                <w:szCs w:val="18"/>
              </w:rPr>
              <w:t xml:space="preserve"> </w:t>
            </w:r>
            <w:r>
              <w:rPr>
                <w:rFonts w:hint="eastAsia" w:ascii="宋体" w:hAnsi="宋体" w:eastAsia="宋体" w:cs="宋体"/>
                <w:spacing w:val="-8"/>
                <w:sz w:val="18"/>
                <w:szCs w:val="18"/>
              </w:rPr>
              <w:t>24h</w:t>
            </w:r>
            <w:r>
              <w:rPr>
                <w:rFonts w:hint="eastAsia" w:ascii="宋体" w:hAnsi="宋体" w:eastAsia="宋体" w:cs="宋体"/>
                <w:spacing w:val="-19"/>
                <w:sz w:val="18"/>
                <w:szCs w:val="18"/>
              </w:rPr>
              <w:t xml:space="preserve"> </w:t>
            </w:r>
            <w:r>
              <w:rPr>
                <w:rFonts w:hint="eastAsia" w:ascii="宋体" w:hAnsi="宋体" w:eastAsia="宋体" w:cs="宋体"/>
                <w:spacing w:val="-8"/>
                <w:sz w:val="18"/>
                <w:szCs w:val="18"/>
              </w:rPr>
              <w:t>内死亡。经尸检，</w:t>
            </w:r>
          </w:p>
          <w:p>
            <w:pPr>
              <w:adjustRightInd w:val="0"/>
              <w:snapToGrid w:val="0"/>
              <w:spacing w:before="0" w:line="288" w:lineRule="auto"/>
              <w:ind w:right="108" w:firstLine="0"/>
              <w:rPr>
                <w:rFonts w:hint="eastAsia" w:ascii="宋体" w:hAnsi="宋体" w:eastAsia="宋体" w:cs="宋体"/>
                <w:sz w:val="18"/>
                <w:szCs w:val="18"/>
              </w:rPr>
            </w:pPr>
            <w:r>
              <w:rPr>
                <w:rFonts w:hint="eastAsia" w:ascii="宋体" w:hAnsi="宋体" w:eastAsia="宋体" w:cs="宋体"/>
                <w:spacing w:val="-1"/>
                <w:sz w:val="18"/>
                <w:szCs w:val="18"/>
              </w:rPr>
              <w:t>肺组织免疫组织学分析及电镜检查表明细胞损伤可能由于</w:t>
            </w:r>
            <w:r>
              <w:rPr>
                <w:rFonts w:hint="eastAsia" w:ascii="宋体" w:hAnsi="宋体" w:eastAsia="宋体" w:cs="宋体"/>
                <w:spacing w:val="17"/>
                <w:sz w:val="18"/>
                <w:szCs w:val="18"/>
              </w:rPr>
              <w:t xml:space="preserve"> </w:t>
            </w:r>
            <w:r>
              <w:rPr>
                <w:rFonts w:hint="eastAsia" w:ascii="宋体" w:hAnsi="宋体" w:eastAsia="宋体" w:cs="宋体"/>
                <w:spacing w:val="-3"/>
                <w:sz w:val="18"/>
                <w:szCs w:val="18"/>
              </w:rPr>
              <w:t>二氧化氮的水合作用产生自由基所引起的，此种时间依赖的</w:t>
            </w:r>
            <w:r>
              <w:rPr>
                <w:rFonts w:hint="eastAsia" w:ascii="宋体" w:hAnsi="宋体" w:eastAsia="宋体" w:cs="宋体"/>
                <w:spacing w:val="-1"/>
                <w:sz w:val="18"/>
                <w:szCs w:val="18"/>
              </w:rPr>
              <w:t>作用可能是迟发性肺损伤症状的部分原因。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2" w:hRule="atLeast"/>
        </w:trPr>
        <w:tc>
          <w:tcPr>
            <w:tcW w:w="565" w:type="dxa"/>
            <w:vAlign w:val="top"/>
          </w:tcPr>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z w:val="18"/>
                <w:szCs w:val="18"/>
              </w:rPr>
              <w:t>3</w:t>
            </w:r>
          </w:p>
        </w:tc>
        <w:tc>
          <w:tcPr>
            <w:tcW w:w="812" w:type="dxa"/>
            <w:vAlign w:val="top"/>
          </w:tcPr>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pacing w:val="-4"/>
                <w:sz w:val="18"/>
                <w:szCs w:val="18"/>
              </w:rPr>
              <w:t>硫酸</w:t>
            </w:r>
          </w:p>
        </w:tc>
        <w:tc>
          <w:tcPr>
            <w:tcW w:w="655" w:type="dxa"/>
            <w:vAlign w:val="top"/>
          </w:tcPr>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pacing w:val="-5"/>
                <w:sz w:val="18"/>
                <w:szCs w:val="18"/>
              </w:rPr>
              <w:t>液态</w:t>
            </w:r>
          </w:p>
        </w:tc>
        <w:tc>
          <w:tcPr>
            <w:tcW w:w="916" w:type="dxa"/>
            <w:vAlign w:val="top"/>
          </w:tcPr>
          <w:p>
            <w:pPr>
              <w:adjustRightInd w:val="0"/>
              <w:snapToGrid w:val="0"/>
              <w:spacing w:line="288" w:lineRule="auto"/>
              <w:rPr>
                <w:rFonts w:hint="eastAsia" w:ascii="宋体" w:hAnsi="宋体" w:eastAsia="宋体" w:cs="宋体"/>
                <w:sz w:val="18"/>
                <w:szCs w:val="18"/>
              </w:rPr>
            </w:pPr>
          </w:p>
          <w:p>
            <w:pPr>
              <w:adjustRightInd w:val="0"/>
              <w:snapToGrid w:val="0"/>
              <w:spacing w:line="288" w:lineRule="auto"/>
              <w:rPr>
                <w:rFonts w:hint="eastAsia" w:ascii="宋体" w:hAnsi="宋体" w:eastAsia="宋体" w:cs="宋体"/>
                <w:sz w:val="18"/>
                <w:szCs w:val="18"/>
              </w:rPr>
            </w:pPr>
          </w:p>
          <w:p>
            <w:pPr>
              <w:adjustRightInd w:val="0"/>
              <w:snapToGrid w:val="0"/>
              <w:spacing w:line="288" w:lineRule="auto"/>
              <w:rPr>
                <w:rFonts w:hint="eastAsia" w:ascii="宋体" w:hAnsi="宋体" w:eastAsia="宋体" w:cs="宋体"/>
                <w:sz w:val="18"/>
                <w:szCs w:val="18"/>
              </w:rPr>
            </w:pPr>
          </w:p>
          <w:p>
            <w:pPr>
              <w:adjustRightInd w:val="0"/>
              <w:snapToGrid w:val="0"/>
              <w:spacing w:line="288" w:lineRule="auto"/>
              <w:rPr>
                <w:rFonts w:hint="eastAsia" w:ascii="宋体" w:hAnsi="宋体" w:eastAsia="宋体" w:cs="宋体"/>
                <w:sz w:val="18"/>
                <w:szCs w:val="18"/>
              </w:rPr>
            </w:pPr>
          </w:p>
          <w:p>
            <w:pPr>
              <w:adjustRightInd w:val="0"/>
              <w:snapToGrid w:val="0"/>
              <w:spacing w:line="288" w:lineRule="auto"/>
              <w:rPr>
                <w:rFonts w:hint="eastAsia" w:ascii="宋体" w:hAnsi="宋体" w:eastAsia="宋体" w:cs="宋体"/>
                <w:sz w:val="18"/>
                <w:szCs w:val="18"/>
              </w:rPr>
            </w:pPr>
          </w:p>
          <w:p>
            <w:pPr>
              <w:adjustRightInd w:val="0"/>
              <w:snapToGrid w:val="0"/>
              <w:spacing w:line="288" w:lineRule="auto"/>
              <w:rPr>
                <w:rFonts w:hint="eastAsia" w:ascii="宋体" w:hAnsi="宋体" w:eastAsia="宋体" w:cs="宋体"/>
                <w:sz w:val="18"/>
                <w:szCs w:val="18"/>
              </w:rPr>
            </w:pPr>
          </w:p>
          <w:p>
            <w:pPr>
              <w:adjustRightInd w:val="0"/>
              <w:snapToGrid w:val="0"/>
              <w:spacing w:line="288" w:lineRule="auto"/>
              <w:rPr>
                <w:rFonts w:hint="eastAsia" w:ascii="宋体" w:hAnsi="宋体" w:eastAsia="宋体" w:cs="宋体"/>
                <w:sz w:val="18"/>
                <w:szCs w:val="18"/>
              </w:rPr>
            </w:pPr>
          </w:p>
          <w:p>
            <w:pPr>
              <w:adjustRightInd w:val="0"/>
              <w:snapToGrid w:val="0"/>
              <w:spacing w:line="288" w:lineRule="auto"/>
              <w:rPr>
                <w:rFonts w:hint="eastAsia" w:ascii="宋体" w:hAnsi="宋体" w:eastAsia="宋体" w:cs="宋体"/>
                <w:sz w:val="18"/>
                <w:szCs w:val="18"/>
              </w:rPr>
            </w:pPr>
          </w:p>
          <w:p>
            <w:pPr>
              <w:adjustRightInd w:val="0"/>
              <w:snapToGrid w:val="0"/>
              <w:spacing w:line="288" w:lineRule="auto"/>
              <w:rPr>
                <w:rFonts w:hint="eastAsia" w:ascii="宋体" w:hAnsi="宋体" w:eastAsia="宋体" w:cs="宋体"/>
                <w:sz w:val="18"/>
                <w:szCs w:val="18"/>
              </w:rPr>
            </w:pPr>
          </w:p>
          <w:p>
            <w:pPr>
              <w:adjustRightInd w:val="0"/>
              <w:snapToGrid w:val="0"/>
              <w:spacing w:line="288" w:lineRule="auto"/>
              <w:rPr>
                <w:rFonts w:hint="eastAsia" w:ascii="宋体" w:hAnsi="宋体" w:eastAsia="宋体" w:cs="宋体"/>
                <w:sz w:val="18"/>
                <w:szCs w:val="18"/>
              </w:rPr>
            </w:pPr>
          </w:p>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pacing w:val="-2"/>
                <w:sz w:val="18"/>
                <w:szCs w:val="18"/>
              </w:rPr>
              <w:t>7664-93</w:t>
            </w:r>
            <w:r>
              <w:rPr>
                <w:rFonts w:hint="eastAsia" w:ascii="宋体" w:hAnsi="宋体" w:eastAsia="宋体" w:cs="宋体"/>
                <w:spacing w:val="-3"/>
                <w:sz w:val="18"/>
                <w:szCs w:val="18"/>
              </w:rPr>
              <w:t>-9</w:t>
            </w:r>
          </w:p>
        </w:tc>
        <w:tc>
          <w:tcPr>
            <w:tcW w:w="5374" w:type="dxa"/>
            <w:vAlign w:val="top"/>
          </w:tcPr>
          <w:p>
            <w:pPr>
              <w:adjustRightInd w:val="0"/>
              <w:snapToGrid w:val="0"/>
              <w:spacing w:before="0" w:line="288" w:lineRule="auto"/>
              <w:ind w:firstLine="0"/>
              <w:rPr>
                <w:rFonts w:hint="eastAsia" w:ascii="宋体" w:hAnsi="宋体" w:eastAsia="宋体" w:cs="宋体"/>
                <w:sz w:val="18"/>
                <w:szCs w:val="18"/>
              </w:rPr>
            </w:pPr>
            <w:r>
              <w:rPr>
                <w:rFonts w:hint="eastAsia" w:ascii="宋体" w:hAnsi="宋体" w:eastAsia="宋体" w:cs="宋体"/>
                <w:spacing w:val="-3"/>
                <w:sz w:val="18"/>
                <w:szCs w:val="18"/>
              </w:rPr>
              <w:t>理化性质</w:t>
            </w:r>
            <w:r>
              <w:rPr>
                <w:rFonts w:hint="eastAsia" w:ascii="宋体" w:hAnsi="宋体" w:eastAsia="宋体" w:cs="宋体"/>
                <w:spacing w:val="-3"/>
                <w:sz w:val="18"/>
                <w:szCs w:val="18"/>
                <w:lang w:eastAsia="zh-CN"/>
              </w:rPr>
              <w:t>：</w:t>
            </w:r>
            <w:r>
              <w:rPr>
                <w:rFonts w:hint="eastAsia" w:ascii="宋体" w:hAnsi="宋体" w:eastAsia="宋体" w:cs="宋体"/>
                <w:spacing w:val="-2"/>
                <w:sz w:val="18"/>
                <w:szCs w:val="18"/>
              </w:rPr>
              <w:t>硫酸纯品为透明、无色、无嗅的油状液体,有杂质颜色变深,</w:t>
            </w:r>
          </w:p>
          <w:p>
            <w:pPr>
              <w:adjustRightInd w:val="0"/>
              <w:snapToGrid w:val="0"/>
              <w:spacing w:before="0" w:line="288" w:lineRule="auto"/>
              <w:ind w:left="0" w:right="0" w:firstLine="0"/>
              <w:rPr>
                <w:rFonts w:hint="eastAsia" w:ascii="宋体" w:hAnsi="宋体" w:eastAsia="宋体" w:cs="宋体"/>
                <w:sz w:val="18"/>
                <w:szCs w:val="18"/>
              </w:rPr>
            </w:pPr>
            <w:r>
              <w:rPr>
                <w:rFonts w:hint="eastAsia" w:ascii="宋体" w:hAnsi="宋体" w:eastAsia="宋体" w:cs="宋体"/>
                <w:spacing w:val="-1"/>
                <w:sz w:val="18"/>
                <w:szCs w:val="18"/>
              </w:rPr>
              <w:t>甚至发黑。分子式</w:t>
            </w:r>
            <w:r>
              <w:rPr>
                <w:rFonts w:hint="eastAsia" w:ascii="宋体" w:hAnsi="宋体" w:eastAsia="宋体" w:cs="宋体"/>
                <w:spacing w:val="-26"/>
                <w:sz w:val="18"/>
                <w:szCs w:val="18"/>
              </w:rPr>
              <w:t xml:space="preserve"> </w:t>
            </w:r>
            <w:r>
              <w:rPr>
                <w:rFonts w:hint="eastAsia" w:ascii="宋体" w:hAnsi="宋体" w:eastAsia="宋体" w:cs="宋体"/>
                <w:spacing w:val="-1"/>
                <w:sz w:val="18"/>
                <w:szCs w:val="18"/>
              </w:rPr>
              <w:t>H2SO4。分子量:98.08。其相对密度及凝</w:t>
            </w:r>
            <w:r>
              <w:rPr>
                <w:rFonts w:hint="eastAsia" w:ascii="宋体" w:hAnsi="宋体" w:eastAsia="宋体" w:cs="宋体"/>
                <w:spacing w:val="-6"/>
                <w:sz w:val="18"/>
                <w:szCs w:val="18"/>
              </w:rPr>
              <w:t>固点也随其含量变化而不同。相对密度</w:t>
            </w:r>
            <w:r>
              <w:rPr>
                <w:rFonts w:hint="eastAsia" w:ascii="宋体" w:hAnsi="宋体" w:eastAsia="宋体" w:cs="宋体"/>
                <w:spacing w:val="-15"/>
                <w:sz w:val="18"/>
                <w:szCs w:val="18"/>
              </w:rPr>
              <w:t xml:space="preserve"> </w:t>
            </w:r>
            <w:r>
              <w:rPr>
                <w:rFonts w:hint="eastAsia" w:ascii="宋体" w:hAnsi="宋体" w:eastAsia="宋体" w:cs="宋体"/>
                <w:spacing w:val="-6"/>
                <w:sz w:val="18"/>
                <w:szCs w:val="18"/>
              </w:rPr>
              <w:t>1.841</w:t>
            </w:r>
            <w:r>
              <w:rPr>
                <w:rFonts w:hint="eastAsia" w:ascii="宋体" w:hAnsi="宋体" w:eastAsia="宋体" w:cs="宋体"/>
                <w:spacing w:val="-55"/>
                <w:sz w:val="18"/>
                <w:szCs w:val="18"/>
              </w:rPr>
              <w:t xml:space="preserve"> </w:t>
            </w:r>
            <w:r>
              <w:rPr>
                <w:rFonts w:hint="eastAsia" w:ascii="宋体" w:hAnsi="宋体" w:eastAsia="宋体" w:cs="宋体"/>
                <w:spacing w:val="-6"/>
                <w:sz w:val="18"/>
                <w:szCs w:val="18"/>
              </w:rPr>
              <w:t>(96～98%)。凝</w:t>
            </w:r>
            <w:r>
              <w:rPr>
                <w:rFonts w:hint="eastAsia" w:ascii="宋体" w:hAnsi="宋体" w:eastAsia="宋体" w:cs="宋体"/>
                <w:spacing w:val="-8"/>
                <w:sz w:val="18"/>
                <w:szCs w:val="18"/>
              </w:rPr>
              <w:t>固点</w:t>
            </w:r>
            <w:r>
              <w:rPr>
                <w:rFonts w:hint="eastAsia" w:ascii="宋体" w:hAnsi="宋体" w:eastAsia="宋体" w:cs="宋体"/>
                <w:spacing w:val="-3"/>
                <w:sz w:val="18"/>
                <w:szCs w:val="18"/>
              </w:rPr>
              <w:t xml:space="preserve"> </w:t>
            </w:r>
            <w:r>
              <w:rPr>
                <w:rFonts w:hint="eastAsia" w:ascii="宋体" w:hAnsi="宋体" w:eastAsia="宋体" w:cs="宋体"/>
                <w:spacing w:val="-8"/>
                <w:sz w:val="18"/>
                <w:szCs w:val="18"/>
              </w:rPr>
              <w:t>10.35℃</w:t>
            </w:r>
            <w:r>
              <w:rPr>
                <w:rFonts w:hint="eastAsia" w:ascii="宋体" w:hAnsi="宋体" w:eastAsia="宋体" w:cs="宋体"/>
                <w:spacing w:val="-54"/>
                <w:sz w:val="18"/>
                <w:szCs w:val="18"/>
              </w:rPr>
              <w:t xml:space="preserve"> </w:t>
            </w:r>
            <w:r>
              <w:rPr>
                <w:rFonts w:hint="eastAsia" w:ascii="宋体" w:hAnsi="宋体" w:eastAsia="宋体" w:cs="宋体"/>
                <w:spacing w:val="-8"/>
                <w:sz w:val="18"/>
                <w:szCs w:val="18"/>
              </w:rPr>
              <w:t>(100%)、3℃</w:t>
            </w:r>
            <w:r>
              <w:rPr>
                <w:rFonts w:hint="eastAsia" w:ascii="宋体" w:hAnsi="宋体" w:eastAsia="宋体" w:cs="宋体"/>
                <w:spacing w:val="-55"/>
                <w:sz w:val="18"/>
                <w:szCs w:val="18"/>
              </w:rPr>
              <w:t xml:space="preserve"> </w:t>
            </w:r>
            <w:r>
              <w:rPr>
                <w:rFonts w:hint="eastAsia" w:ascii="宋体" w:hAnsi="宋体" w:eastAsia="宋体" w:cs="宋体"/>
                <w:spacing w:val="-8"/>
                <w:sz w:val="18"/>
                <w:szCs w:val="18"/>
              </w:rPr>
              <w:t>(98%)、-32℃</w:t>
            </w:r>
            <w:r>
              <w:rPr>
                <w:rFonts w:hint="eastAsia" w:ascii="宋体" w:hAnsi="宋体" w:eastAsia="宋体" w:cs="宋体"/>
                <w:spacing w:val="-57"/>
                <w:sz w:val="18"/>
                <w:szCs w:val="18"/>
              </w:rPr>
              <w:t xml:space="preserve"> </w:t>
            </w:r>
            <w:r>
              <w:rPr>
                <w:rFonts w:hint="eastAsia" w:ascii="宋体" w:hAnsi="宋体" w:eastAsia="宋体" w:cs="宋体"/>
                <w:spacing w:val="-8"/>
                <w:sz w:val="18"/>
                <w:szCs w:val="18"/>
              </w:rPr>
              <w:t>(93%)、-38℃</w:t>
            </w:r>
            <w:r>
              <w:rPr>
                <w:rFonts w:hint="eastAsia" w:ascii="宋体" w:hAnsi="宋体" w:eastAsia="宋体" w:cs="宋体"/>
                <w:spacing w:val="-57"/>
                <w:sz w:val="18"/>
                <w:szCs w:val="18"/>
              </w:rPr>
              <w:t xml:space="preserve"> </w:t>
            </w:r>
            <w:r>
              <w:rPr>
                <w:rFonts w:hint="eastAsia" w:ascii="宋体" w:hAnsi="宋体" w:eastAsia="宋体" w:cs="宋体"/>
                <w:spacing w:val="-8"/>
                <w:sz w:val="18"/>
                <w:szCs w:val="18"/>
              </w:rPr>
              <w:t>(78%)、</w:t>
            </w:r>
            <w:r>
              <w:rPr>
                <w:rFonts w:hint="eastAsia" w:ascii="宋体" w:hAnsi="宋体" w:eastAsia="宋体" w:cs="宋体"/>
                <w:spacing w:val="-2"/>
                <w:sz w:val="18"/>
                <w:szCs w:val="18"/>
              </w:rPr>
              <w:t>-44℃(74%)、-64℃(65%)。沸点</w:t>
            </w:r>
            <w:r>
              <w:rPr>
                <w:rFonts w:hint="eastAsia" w:ascii="宋体" w:hAnsi="宋体" w:eastAsia="宋体" w:cs="宋体"/>
                <w:spacing w:val="-26"/>
                <w:sz w:val="18"/>
                <w:szCs w:val="18"/>
              </w:rPr>
              <w:t xml:space="preserve"> </w:t>
            </w:r>
            <w:r>
              <w:rPr>
                <w:rFonts w:hint="eastAsia" w:ascii="宋体" w:hAnsi="宋体" w:eastAsia="宋体" w:cs="宋体"/>
                <w:spacing w:val="-2"/>
                <w:sz w:val="18"/>
                <w:szCs w:val="18"/>
              </w:rPr>
              <w:t>290℃</w:t>
            </w:r>
            <w:r>
              <w:rPr>
                <w:rFonts w:hint="eastAsia" w:ascii="宋体" w:hAnsi="宋体" w:eastAsia="宋体" w:cs="宋体"/>
                <w:spacing w:val="-70"/>
                <w:sz w:val="18"/>
                <w:szCs w:val="18"/>
              </w:rPr>
              <w:t xml:space="preserve"> </w:t>
            </w:r>
            <w:r>
              <w:rPr>
                <w:rFonts w:hint="eastAsia" w:ascii="宋体" w:hAnsi="宋体" w:eastAsia="宋体" w:cs="宋体"/>
                <w:spacing w:val="-2"/>
                <w:sz w:val="18"/>
                <w:szCs w:val="18"/>
              </w:rPr>
              <w:t>。蒸气压0.13kPa(145.8℃)。对水有很大亲和力。从空气和有机物中</w:t>
            </w:r>
            <w:r>
              <w:rPr>
                <w:rFonts w:hint="eastAsia" w:ascii="宋体" w:hAnsi="宋体" w:eastAsia="宋体" w:cs="宋体"/>
                <w:spacing w:val="-1"/>
                <w:sz w:val="18"/>
                <w:szCs w:val="18"/>
              </w:rPr>
              <w:t>吸收水分。与水、醇混合产生大量热,体积缩小。用水稀释</w:t>
            </w:r>
            <w:r>
              <w:rPr>
                <w:rFonts w:hint="eastAsia" w:ascii="宋体" w:hAnsi="宋体" w:eastAsia="宋体" w:cs="宋体"/>
                <w:spacing w:val="-5"/>
                <w:sz w:val="18"/>
                <w:szCs w:val="18"/>
              </w:rPr>
              <w:t>时因把酸加到稀释水中,以免酸沸溅。加热到</w:t>
            </w:r>
            <w:r>
              <w:rPr>
                <w:rFonts w:hint="eastAsia" w:ascii="宋体" w:hAnsi="宋体" w:eastAsia="宋体" w:cs="宋体"/>
                <w:spacing w:val="-23"/>
                <w:sz w:val="18"/>
                <w:szCs w:val="18"/>
              </w:rPr>
              <w:t xml:space="preserve"> </w:t>
            </w:r>
            <w:r>
              <w:rPr>
                <w:rFonts w:hint="eastAsia" w:ascii="宋体" w:hAnsi="宋体" w:eastAsia="宋体" w:cs="宋体"/>
                <w:spacing w:val="-5"/>
                <w:sz w:val="18"/>
                <w:szCs w:val="18"/>
              </w:rPr>
              <w:t>340℃分解成三</w:t>
            </w:r>
            <w:r>
              <w:rPr>
                <w:rFonts w:hint="eastAsia" w:ascii="宋体" w:hAnsi="宋体" w:eastAsia="宋体" w:cs="宋体"/>
                <w:sz w:val="18"/>
                <w:szCs w:val="18"/>
              </w:rPr>
              <w:t xml:space="preserve"> </w:t>
            </w:r>
            <w:r>
              <w:rPr>
                <w:rFonts w:hint="eastAsia" w:ascii="宋体" w:hAnsi="宋体" w:eastAsia="宋体" w:cs="宋体"/>
                <w:spacing w:val="-2"/>
                <w:sz w:val="18"/>
                <w:szCs w:val="18"/>
              </w:rPr>
              <w:t>氧化硫和水。</w:t>
            </w:r>
            <w:r>
              <w:rPr>
                <w:rFonts w:hint="eastAsia" w:ascii="宋体" w:hAnsi="宋体" w:eastAsia="宋体" w:cs="宋体"/>
                <w:spacing w:val="-1"/>
                <w:sz w:val="18"/>
                <w:szCs w:val="18"/>
              </w:rPr>
              <w:t>稀酸能与许多金属反应,放出氢气。浓酸对铅和低碳钢无腐蚀,是一种很强酸性氧化剂。与许多物质接触能燃烧甚至爆</w:t>
            </w:r>
            <w:r>
              <w:rPr>
                <w:rFonts w:hint="eastAsia" w:ascii="宋体" w:hAnsi="宋体" w:eastAsia="宋体" w:cs="宋体"/>
                <w:spacing w:val="18"/>
                <w:sz w:val="18"/>
                <w:szCs w:val="18"/>
              </w:rPr>
              <w:t xml:space="preserve"> </w:t>
            </w:r>
            <w:r>
              <w:rPr>
                <w:rFonts w:hint="eastAsia" w:ascii="宋体" w:hAnsi="宋体" w:eastAsia="宋体" w:cs="宋体"/>
                <w:spacing w:val="-1"/>
                <w:sz w:val="18"/>
                <w:szCs w:val="18"/>
              </w:rPr>
              <w:t>炸,能与氧化剂或还原剂反应。</w:t>
            </w:r>
          </w:p>
          <w:p>
            <w:pPr>
              <w:adjustRightInd w:val="0"/>
              <w:snapToGrid w:val="0"/>
              <w:spacing w:before="0" w:line="288" w:lineRule="auto"/>
              <w:ind w:firstLine="0"/>
              <w:rPr>
                <w:rFonts w:hint="eastAsia" w:ascii="宋体" w:hAnsi="宋体" w:eastAsia="宋体" w:cs="宋体"/>
                <w:sz w:val="18"/>
                <w:szCs w:val="18"/>
              </w:rPr>
            </w:pPr>
            <w:r>
              <w:rPr>
                <w:rFonts w:hint="eastAsia" w:ascii="宋体" w:hAnsi="宋体" w:eastAsia="宋体" w:cs="宋体"/>
                <w:spacing w:val="-1"/>
                <w:sz w:val="18"/>
                <w:szCs w:val="18"/>
              </w:rPr>
              <w:t>侵入途径:可经呼吸道、消化道及皮肤迅速吸收。</w:t>
            </w:r>
          </w:p>
          <w:p>
            <w:pPr>
              <w:adjustRightInd w:val="0"/>
              <w:snapToGrid w:val="0"/>
              <w:spacing w:before="0" w:line="288" w:lineRule="auto"/>
              <w:ind w:left="0" w:right="0" w:firstLine="0"/>
              <w:rPr>
                <w:rFonts w:hint="eastAsia" w:ascii="宋体" w:hAnsi="宋体" w:eastAsia="宋体" w:cs="宋体"/>
                <w:sz w:val="18"/>
                <w:szCs w:val="18"/>
              </w:rPr>
            </w:pPr>
            <w:r>
              <w:rPr>
                <w:rFonts w:hint="eastAsia" w:ascii="宋体" w:hAnsi="宋体" w:eastAsia="宋体" w:cs="宋体"/>
                <w:spacing w:val="-6"/>
                <w:sz w:val="18"/>
                <w:szCs w:val="18"/>
              </w:rPr>
              <w:t>毒理学简介:大鼠经口</w:t>
            </w:r>
            <w:r>
              <w:rPr>
                <w:rFonts w:hint="eastAsia" w:ascii="宋体" w:hAnsi="宋体" w:eastAsia="宋体" w:cs="宋体"/>
                <w:spacing w:val="-42"/>
                <w:sz w:val="18"/>
                <w:szCs w:val="18"/>
              </w:rPr>
              <w:t xml:space="preserve"> </w:t>
            </w:r>
            <w:r>
              <w:rPr>
                <w:rFonts w:hint="eastAsia" w:ascii="宋体" w:hAnsi="宋体" w:eastAsia="宋体" w:cs="宋体"/>
                <w:spacing w:val="-6"/>
                <w:sz w:val="18"/>
                <w:szCs w:val="18"/>
              </w:rPr>
              <w:t>LD50:</w:t>
            </w:r>
            <w:r>
              <w:rPr>
                <w:rFonts w:hint="eastAsia" w:ascii="宋体" w:hAnsi="宋体" w:eastAsia="宋体" w:cs="宋体"/>
                <w:spacing w:val="10"/>
                <w:sz w:val="18"/>
                <w:szCs w:val="18"/>
              </w:rPr>
              <w:t xml:space="preserve"> </w:t>
            </w:r>
            <w:r>
              <w:rPr>
                <w:rFonts w:hint="eastAsia" w:ascii="宋体" w:hAnsi="宋体" w:eastAsia="宋体" w:cs="宋体"/>
                <w:spacing w:val="-6"/>
                <w:sz w:val="18"/>
                <w:szCs w:val="18"/>
              </w:rPr>
              <w:t>2140</w:t>
            </w:r>
            <w:r>
              <w:rPr>
                <w:rFonts w:hint="eastAsia" w:ascii="宋体" w:hAnsi="宋体" w:eastAsia="宋体" w:cs="宋体"/>
                <w:spacing w:val="4"/>
                <w:sz w:val="18"/>
                <w:szCs w:val="18"/>
              </w:rPr>
              <w:t xml:space="preserve"> </w:t>
            </w:r>
            <w:r>
              <w:rPr>
                <w:rFonts w:hint="eastAsia" w:ascii="宋体" w:hAnsi="宋体" w:eastAsia="宋体" w:cs="宋体"/>
                <w:spacing w:val="-6"/>
                <w:sz w:val="18"/>
                <w:szCs w:val="18"/>
              </w:rPr>
              <w:t>mg/kg；</w:t>
            </w:r>
            <w:r>
              <w:rPr>
                <w:rFonts w:hint="eastAsia" w:ascii="宋体" w:hAnsi="宋体" w:eastAsia="宋体" w:cs="宋体"/>
                <w:spacing w:val="61"/>
                <w:sz w:val="18"/>
                <w:szCs w:val="18"/>
              </w:rPr>
              <w:t xml:space="preserve"> </w:t>
            </w:r>
            <w:r>
              <w:rPr>
                <w:rFonts w:hint="eastAsia" w:ascii="宋体" w:hAnsi="宋体" w:eastAsia="宋体" w:cs="宋体"/>
                <w:spacing w:val="-6"/>
                <w:sz w:val="18"/>
                <w:szCs w:val="18"/>
              </w:rPr>
              <w:t>吸入</w:t>
            </w:r>
            <w:r>
              <w:rPr>
                <w:rFonts w:hint="eastAsia" w:ascii="宋体" w:hAnsi="宋体" w:eastAsia="宋体" w:cs="宋体"/>
                <w:spacing w:val="-43"/>
                <w:sz w:val="18"/>
                <w:szCs w:val="18"/>
              </w:rPr>
              <w:t xml:space="preserve"> </w:t>
            </w:r>
            <w:r>
              <w:rPr>
                <w:rFonts w:hint="eastAsia" w:ascii="宋体" w:hAnsi="宋体" w:eastAsia="宋体" w:cs="宋体"/>
                <w:spacing w:val="-6"/>
                <w:sz w:val="18"/>
                <w:szCs w:val="18"/>
              </w:rPr>
              <w:t>LC50:</w:t>
            </w:r>
            <w:r>
              <w:rPr>
                <w:rFonts w:hint="eastAsia" w:ascii="宋体" w:hAnsi="宋体" w:eastAsia="宋体" w:cs="宋体"/>
                <w:spacing w:val="11"/>
                <w:sz w:val="18"/>
                <w:szCs w:val="18"/>
              </w:rPr>
              <w:t xml:space="preserve"> </w:t>
            </w:r>
            <w:r>
              <w:rPr>
                <w:rFonts w:hint="eastAsia" w:ascii="宋体" w:hAnsi="宋体" w:eastAsia="宋体" w:cs="宋体"/>
                <w:spacing w:val="-6"/>
                <w:sz w:val="18"/>
                <w:szCs w:val="18"/>
              </w:rPr>
              <w:t>510</w:t>
            </w:r>
            <w:r>
              <w:rPr>
                <w:rFonts w:hint="eastAsia" w:ascii="宋体" w:hAnsi="宋体" w:eastAsia="宋体" w:cs="宋体"/>
                <w:sz w:val="18"/>
                <w:szCs w:val="18"/>
              </w:rPr>
              <w:t xml:space="preserve"> </w:t>
            </w:r>
            <w:r>
              <w:rPr>
                <w:rFonts w:hint="eastAsia" w:ascii="宋体" w:hAnsi="宋体" w:eastAsia="宋体" w:cs="宋体"/>
                <w:spacing w:val="-1"/>
                <w:sz w:val="18"/>
                <w:szCs w:val="18"/>
              </w:rPr>
              <w:t>mg/m3/2H。小鼠吸入</w:t>
            </w:r>
            <w:r>
              <w:rPr>
                <w:rFonts w:hint="eastAsia" w:ascii="宋体" w:hAnsi="宋体" w:eastAsia="宋体" w:cs="宋体"/>
                <w:spacing w:val="-37"/>
                <w:sz w:val="18"/>
                <w:szCs w:val="18"/>
              </w:rPr>
              <w:t xml:space="preserve"> </w:t>
            </w:r>
            <w:r>
              <w:rPr>
                <w:rFonts w:hint="eastAsia" w:ascii="宋体" w:hAnsi="宋体" w:eastAsia="宋体" w:cs="宋体"/>
                <w:spacing w:val="-1"/>
                <w:sz w:val="18"/>
                <w:szCs w:val="18"/>
              </w:rPr>
              <w:t>LC50:</w:t>
            </w:r>
            <w:r>
              <w:rPr>
                <w:rFonts w:hint="eastAsia" w:ascii="宋体" w:hAnsi="宋体" w:eastAsia="宋体" w:cs="宋体"/>
                <w:spacing w:val="11"/>
                <w:sz w:val="18"/>
                <w:szCs w:val="18"/>
              </w:rPr>
              <w:t xml:space="preserve"> </w:t>
            </w:r>
            <w:r>
              <w:rPr>
                <w:rFonts w:hint="eastAsia" w:ascii="宋体" w:hAnsi="宋体" w:eastAsia="宋体" w:cs="宋体"/>
                <w:spacing w:val="-1"/>
                <w:sz w:val="18"/>
                <w:szCs w:val="18"/>
              </w:rPr>
              <w:t>320</w:t>
            </w:r>
            <w:r>
              <w:rPr>
                <w:rFonts w:hint="eastAsia" w:ascii="宋体" w:hAnsi="宋体" w:eastAsia="宋体" w:cs="宋体"/>
                <w:spacing w:val="2"/>
                <w:sz w:val="18"/>
                <w:szCs w:val="18"/>
              </w:rPr>
              <w:t xml:space="preserve"> </w:t>
            </w:r>
            <w:r>
              <w:rPr>
                <w:rFonts w:hint="eastAsia" w:ascii="宋体" w:hAnsi="宋体" w:eastAsia="宋体" w:cs="宋体"/>
                <w:spacing w:val="-1"/>
                <w:sz w:val="18"/>
                <w:szCs w:val="18"/>
              </w:rPr>
              <w:t>mg/m3/2H。</w:t>
            </w:r>
          </w:p>
          <w:p>
            <w:pPr>
              <w:adjustRightInd w:val="0"/>
              <w:snapToGrid w:val="0"/>
              <w:spacing w:before="0" w:line="288" w:lineRule="auto"/>
              <w:ind w:firstLine="0"/>
              <w:rPr>
                <w:rFonts w:hint="eastAsia" w:ascii="宋体" w:hAnsi="宋体" w:eastAsia="宋体" w:cs="宋体"/>
                <w:sz w:val="18"/>
                <w:szCs w:val="18"/>
              </w:rPr>
            </w:pPr>
            <w:r>
              <w:rPr>
                <w:rFonts w:hint="eastAsia" w:ascii="宋体" w:hAnsi="宋体" w:eastAsia="宋体" w:cs="宋体"/>
                <w:spacing w:val="-3"/>
                <w:sz w:val="18"/>
                <w:szCs w:val="18"/>
              </w:rPr>
              <w:t>硫酸液体对皮肤、粘膜有刺激和腐蚀作用。雾对粘膜的刺激</w:t>
            </w:r>
            <w:r>
              <w:rPr>
                <w:rFonts w:hint="eastAsia" w:ascii="宋体" w:hAnsi="宋体" w:eastAsia="宋体" w:cs="宋体"/>
                <w:spacing w:val="25"/>
                <w:sz w:val="18"/>
                <w:szCs w:val="18"/>
              </w:rPr>
              <w:t xml:space="preserve"> </w:t>
            </w:r>
            <w:r>
              <w:rPr>
                <w:rFonts w:hint="eastAsia" w:ascii="宋体" w:hAnsi="宋体" w:eastAsia="宋体" w:cs="宋体"/>
                <w:spacing w:val="-1"/>
                <w:sz w:val="18"/>
                <w:szCs w:val="18"/>
              </w:rPr>
              <w:t>作用较二氧化硫为强,主要使组织脱水,蛋白质凝固,可造成</w:t>
            </w:r>
            <w:r>
              <w:rPr>
                <w:rFonts w:hint="eastAsia" w:ascii="宋体" w:hAnsi="宋体" w:eastAsia="宋体" w:cs="宋体"/>
                <w:spacing w:val="-3"/>
                <w:sz w:val="18"/>
                <w:szCs w:val="18"/>
              </w:rPr>
              <w:t>局部坏死。对呼吸道的毒作用部位因吸入浓度和雾滴大小而</w:t>
            </w:r>
            <w:r>
              <w:rPr>
                <w:rFonts w:hint="eastAsia" w:ascii="宋体" w:hAnsi="宋体" w:eastAsia="宋体" w:cs="宋体"/>
                <w:spacing w:val="25"/>
                <w:sz w:val="18"/>
                <w:szCs w:val="18"/>
              </w:rPr>
              <w:t xml:space="preserve"> </w:t>
            </w:r>
            <w:r>
              <w:rPr>
                <w:rFonts w:hint="eastAsia" w:ascii="宋体" w:hAnsi="宋体" w:eastAsia="宋体" w:cs="宋体"/>
                <w:spacing w:val="-4"/>
                <w:sz w:val="18"/>
                <w:szCs w:val="18"/>
              </w:rPr>
              <w:t>不同。</w:t>
            </w:r>
            <w:r>
              <w:rPr>
                <w:rFonts w:hint="eastAsia" w:ascii="宋体" w:hAnsi="宋体" w:eastAsia="宋体" w:cs="宋体"/>
                <w:spacing w:val="-2"/>
                <w:sz w:val="18"/>
                <w:szCs w:val="18"/>
              </w:rPr>
              <w:t>人的嗅觉阈为</w:t>
            </w:r>
            <w:r>
              <w:rPr>
                <w:rFonts w:hint="eastAsia" w:ascii="宋体" w:hAnsi="宋体" w:eastAsia="宋体" w:cs="宋体"/>
                <w:spacing w:val="-5"/>
                <w:sz w:val="18"/>
                <w:szCs w:val="18"/>
              </w:rPr>
              <w:t xml:space="preserve"> </w:t>
            </w:r>
            <w:r>
              <w:rPr>
                <w:rFonts w:hint="eastAsia" w:ascii="宋体" w:hAnsi="宋体" w:eastAsia="宋体" w:cs="宋体"/>
                <w:spacing w:val="-2"/>
                <w:sz w:val="18"/>
                <w:szCs w:val="18"/>
              </w:rPr>
              <w:t>1mg/m^3。2mg/m^3</w:t>
            </w:r>
            <w:r>
              <w:rPr>
                <w:rFonts w:hint="eastAsia" w:ascii="宋体" w:hAnsi="宋体" w:eastAsia="宋体" w:cs="宋体"/>
                <w:spacing w:val="-43"/>
                <w:sz w:val="18"/>
                <w:szCs w:val="18"/>
              </w:rPr>
              <w:t xml:space="preserve"> </w:t>
            </w:r>
            <w:r>
              <w:rPr>
                <w:rFonts w:hint="eastAsia" w:ascii="宋体" w:hAnsi="宋体" w:eastAsia="宋体" w:cs="宋体"/>
                <w:spacing w:val="-2"/>
                <w:sz w:val="18"/>
                <w:szCs w:val="18"/>
              </w:rPr>
              <w:t>浓度可引起鼻、咽部刺激</w:t>
            </w:r>
            <w:r>
              <w:rPr>
                <w:rFonts w:hint="eastAsia" w:ascii="宋体" w:hAnsi="宋体" w:eastAsia="宋体" w:cs="宋体"/>
                <w:spacing w:val="-6"/>
                <w:sz w:val="18"/>
                <w:szCs w:val="18"/>
              </w:rPr>
              <w:t>症状,6～8mg/m^3</w:t>
            </w:r>
            <w:r>
              <w:rPr>
                <w:rFonts w:hint="eastAsia" w:ascii="宋体" w:hAnsi="宋体" w:eastAsia="宋体" w:cs="宋体"/>
                <w:spacing w:val="-1"/>
                <w:sz w:val="18"/>
                <w:szCs w:val="18"/>
              </w:rPr>
              <w:t xml:space="preserve"> </w:t>
            </w:r>
            <w:r>
              <w:rPr>
                <w:rFonts w:hint="eastAsia" w:ascii="宋体" w:hAnsi="宋体" w:eastAsia="宋体" w:cs="宋体"/>
                <w:spacing w:val="-6"/>
                <w:sz w:val="18"/>
                <w:szCs w:val="18"/>
              </w:rPr>
              <w:t>引起剧烈咳嗽。口服浓硫酸</w:t>
            </w:r>
            <w:r>
              <w:rPr>
                <w:rFonts w:hint="eastAsia" w:ascii="宋体" w:hAnsi="宋体" w:eastAsia="宋体" w:cs="宋体"/>
                <w:spacing w:val="-27"/>
                <w:sz w:val="18"/>
                <w:szCs w:val="18"/>
              </w:rPr>
              <w:t xml:space="preserve"> </w:t>
            </w:r>
            <w:r>
              <w:rPr>
                <w:rFonts w:hint="eastAsia" w:ascii="宋体" w:hAnsi="宋体" w:eastAsia="宋体" w:cs="宋体"/>
                <w:spacing w:val="-6"/>
                <w:sz w:val="18"/>
                <w:szCs w:val="18"/>
              </w:rPr>
              <w:t>1ml</w:t>
            </w:r>
            <w:r>
              <w:rPr>
                <w:rFonts w:hint="eastAsia" w:ascii="宋体" w:hAnsi="宋体" w:eastAsia="宋体" w:cs="宋体"/>
                <w:spacing w:val="-42"/>
                <w:sz w:val="18"/>
                <w:szCs w:val="18"/>
              </w:rPr>
              <w:t xml:space="preserve"> </w:t>
            </w:r>
            <w:r>
              <w:rPr>
                <w:rFonts w:hint="eastAsia" w:ascii="宋体" w:hAnsi="宋体" w:eastAsia="宋体" w:cs="宋体"/>
                <w:spacing w:val="-6"/>
                <w:sz w:val="18"/>
                <w:szCs w:val="18"/>
              </w:rPr>
              <w:t>可致死。</w:t>
            </w:r>
            <w:r>
              <w:rPr>
                <w:rFonts w:hint="eastAsia" w:ascii="宋体" w:hAnsi="宋体" w:eastAsia="宋体" w:cs="宋体"/>
                <w:spacing w:val="-1"/>
                <w:sz w:val="18"/>
                <w:szCs w:val="18"/>
              </w:rPr>
              <w:t>三氧化硫易溶于水生成硫酸,其毒作用与硫酸相同。脉鼠吸</w:t>
            </w:r>
            <w:r>
              <w:rPr>
                <w:rFonts w:hint="eastAsia" w:ascii="宋体" w:hAnsi="宋体" w:eastAsia="宋体" w:cs="宋体"/>
                <w:spacing w:val="-4"/>
                <w:sz w:val="18"/>
                <w:szCs w:val="18"/>
              </w:rPr>
              <w:t>入</w:t>
            </w:r>
            <w:r>
              <w:rPr>
                <w:rFonts w:hint="eastAsia" w:ascii="宋体" w:hAnsi="宋体" w:eastAsia="宋体" w:cs="宋体"/>
                <w:spacing w:val="-23"/>
                <w:sz w:val="18"/>
                <w:szCs w:val="18"/>
              </w:rPr>
              <w:t xml:space="preserve"> </w:t>
            </w:r>
            <w:r>
              <w:rPr>
                <w:rFonts w:hint="eastAsia" w:ascii="宋体" w:hAnsi="宋体" w:eastAsia="宋体" w:cs="宋体"/>
                <w:spacing w:val="-4"/>
                <w:sz w:val="18"/>
                <w:szCs w:val="18"/>
              </w:rPr>
              <w:t>6</w:t>
            </w:r>
            <w:r>
              <w:rPr>
                <w:rFonts w:hint="eastAsia" w:ascii="宋体" w:hAnsi="宋体" w:eastAsia="宋体" w:cs="宋体"/>
                <w:spacing w:val="-37"/>
                <w:sz w:val="18"/>
                <w:szCs w:val="18"/>
              </w:rPr>
              <w:t xml:space="preserve"> </w:t>
            </w:r>
            <w:r>
              <w:rPr>
                <w:rFonts w:hint="eastAsia" w:ascii="宋体" w:hAnsi="宋体" w:eastAsia="宋体" w:cs="宋体"/>
                <w:spacing w:val="-4"/>
                <w:sz w:val="18"/>
                <w:szCs w:val="18"/>
              </w:rPr>
              <w:t>时的</w:t>
            </w:r>
            <w:r>
              <w:rPr>
                <w:rFonts w:hint="eastAsia" w:ascii="宋体" w:hAnsi="宋体" w:eastAsia="宋体" w:cs="宋体"/>
                <w:spacing w:val="-48"/>
                <w:sz w:val="18"/>
                <w:szCs w:val="18"/>
              </w:rPr>
              <w:t xml:space="preserve"> </w:t>
            </w:r>
            <w:r>
              <w:rPr>
                <w:rFonts w:hint="eastAsia" w:ascii="宋体" w:hAnsi="宋体" w:eastAsia="宋体" w:cs="宋体"/>
                <w:spacing w:val="-4"/>
                <w:sz w:val="18"/>
                <w:szCs w:val="18"/>
              </w:rPr>
              <w:t>MLC</w:t>
            </w:r>
            <w:r>
              <w:rPr>
                <w:rFonts w:hint="eastAsia" w:ascii="宋体" w:hAnsi="宋体" w:eastAsia="宋体" w:cs="宋体"/>
                <w:spacing w:val="-41"/>
                <w:sz w:val="18"/>
                <w:szCs w:val="18"/>
              </w:rPr>
              <w:t xml:space="preserve"> </w:t>
            </w:r>
            <w:r>
              <w:rPr>
                <w:rFonts w:hint="eastAsia" w:ascii="宋体" w:hAnsi="宋体" w:eastAsia="宋体" w:cs="宋体"/>
                <w:spacing w:val="-4"/>
                <w:sz w:val="18"/>
                <w:szCs w:val="18"/>
              </w:rPr>
              <w:t>为</w:t>
            </w:r>
            <w:r>
              <w:rPr>
                <w:rFonts w:hint="eastAsia" w:ascii="宋体" w:hAnsi="宋体" w:eastAsia="宋体" w:cs="宋体"/>
                <w:spacing w:val="-37"/>
                <w:sz w:val="18"/>
                <w:szCs w:val="18"/>
              </w:rPr>
              <w:t xml:space="preserve"> </w:t>
            </w:r>
            <w:r>
              <w:rPr>
                <w:rFonts w:hint="eastAsia" w:ascii="宋体" w:hAnsi="宋体" w:eastAsia="宋体" w:cs="宋体"/>
                <w:spacing w:val="-4"/>
                <w:sz w:val="18"/>
                <w:szCs w:val="18"/>
              </w:rPr>
              <w:t>30mg/m^3。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88" w:hRule="atLeast"/>
        </w:trPr>
        <w:tc>
          <w:tcPr>
            <w:tcW w:w="565" w:type="dxa"/>
            <w:textDirection w:val="tbRlV"/>
            <w:vAlign w:val="top"/>
          </w:tcPr>
          <w:p>
            <w:pPr>
              <w:spacing w:before="190" w:line="180" w:lineRule="auto"/>
              <w:ind w:firstLine="189"/>
              <w:rPr>
                <w:rFonts w:hint="eastAsia" w:ascii="宋体" w:hAnsi="宋体" w:eastAsia="宋体" w:cs="宋体"/>
                <w:sz w:val="18"/>
                <w:szCs w:val="18"/>
              </w:rPr>
            </w:pPr>
            <w:r>
              <w:rPr>
                <w:rFonts w:hint="eastAsia" w:ascii="宋体" w:hAnsi="宋体" w:eastAsia="宋体" w:cs="宋体"/>
                <w:spacing w:val="-1"/>
                <w:sz w:val="18"/>
                <w:szCs w:val="18"/>
                <w14:textOutline w14:w="3268" w14:cap="sq" w14:cmpd="sng">
                  <w14:solidFill>
                    <w14:srgbClr w14:val="000000"/>
                  </w14:solidFill>
                  <w14:prstDash w14:val="solid"/>
                  <w14:bevel/>
                </w14:textOutline>
              </w:rPr>
              <w:t>序</w:t>
            </w:r>
            <w:r>
              <w:rPr>
                <w:rFonts w:hint="eastAsia" w:ascii="宋体" w:hAnsi="宋体" w:eastAsia="宋体" w:cs="宋体"/>
                <w:spacing w:val="-36"/>
                <w:sz w:val="18"/>
                <w:szCs w:val="18"/>
              </w:rPr>
              <w:t xml:space="preserve"> </w:t>
            </w:r>
            <w:r>
              <w:rPr>
                <w:rFonts w:hint="eastAsia" w:ascii="宋体" w:hAnsi="宋体" w:eastAsia="宋体" w:cs="宋体"/>
                <w:spacing w:val="-1"/>
                <w:sz w:val="18"/>
                <w:szCs w:val="18"/>
                <w14:textOutline w14:w="3268" w14:cap="sq" w14:cmpd="sng">
                  <w14:solidFill>
                    <w14:srgbClr w14:val="000000"/>
                  </w14:solidFill>
                  <w14:prstDash w14:val="solid"/>
                  <w14:bevel/>
                </w14:textOutline>
              </w:rPr>
              <w:t>号</w:t>
            </w:r>
          </w:p>
        </w:tc>
        <w:tc>
          <w:tcPr>
            <w:tcW w:w="812" w:type="dxa"/>
            <w:vAlign w:val="top"/>
          </w:tcPr>
          <w:p>
            <w:pPr>
              <w:spacing w:before="188" w:line="239" w:lineRule="auto"/>
              <w:ind w:left="317" w:right="133" w:hanging="179"/>
              <w:rPr>
                <w:rFonts w:hint="eastAsia" w:ascii="宋体" w:hAnsi="宋体" w:eastAsia="宋体" w:cs="宋体"/>
                <w:sz w:val="18"/>
                <w:szCs w:val="18"/>
              </w:rPr>
            </w:pPr>
            <w:r>
              <w:rPr>
                <w:rFonts w:hint="eastAsia" w:ascii="宋体" w:hAnsi="宋体" w:eastAsia="宋体" w:cs="宋体"/>
                <w:spacing w:val="-2"/>
                <w:sz w:val="18"/>
                <w:szCs w:val="18"/>
                <w14:textOutline w14:w="3268" w14:cap="sq" w14:cmpd="sng">
                  <w14:solidFill>
                    <w14:srgbClr w14:val="000000"/>
                  </w14:solidFill>
                  <w14:prstDash w14:val="solid"/>
                  <w14:bevel/>
                </w14:textOutline>
              </w:rPr>
              <w:t>物质名</w:t>
            </w:r>
            <w:r>
              <w:rPr>
                <w:rFonts w:hint="eastAsia" w:ascii="宋体" w:hAnsi="宋体" w:eastAsia="宋体" w:cs="宋体"/>
                <w:spacing w:val="1"/>
                <w:sz w:val="18"/>
                <w:szCs w:val="18"/>
              </w:rPr>
              <w:t xml:space="preserve"> </w:t>
            </w:r>
            <w:r>
              <w:rPr>
                <w:rFonts w:hint="eastAsia" w:ascii="宋体" w:hAnsi="宋体" w:eastAsia="宋体" w:cs="宋体"/>
                <w:sz w:val="18"/>
                <w:szCs w:val="18"/>
                <w14:textOutline w14:w="3268" w14:cap="sq" w14:cmpd="sng">
                  <w14:solidFill>
                    <w14:srgbClr w14:val="000000"/>
                  </w14:solidFill>
                  <w14:prstDash w14:val="solid"/>
                  <w14:bevel/>
                </w14:textOutline>
              </w:rPr>
              <w:t>称</w:t>
            </w:r>
          </w:p>
        </w:tc>
        <w:tc>
          <w:tcPr>
            <w:tcW w:w="655" w:type="dxa"/>
            <w:vAlign w:val="top"/>
          </w:tcPr>
          <w:p>
            <w:pPr>
              <w:spacing w:before="304" w:line="184" w:lineRule="auto"/>
              <w:ind w:firstLine="149"/>
              <w:rPr>
                <w:rFonts w:hint="eastAsia" w:ascii="宋体" w:hAnsi="宋体" w:eastAsia="宋体" w:cs="宋体"/>
                <w:sz w:val="18"/>
                <w:szCs w:val="18"/>
              </w:rPr>
            </w:pPr>
            <w:r>
              <w:rPr>
                <w:rFonts w:hint="eastAsia" w:ascii="宋体" w:hAnsi="宋体" w:eastAsia="宋体" w:cs="宋体"/>
                <w:spacing w:val="-4"/>
                <w:sz w:val="18"/>
                <w:szCs w:val="18"/>
                <w14:textOutline w14:w="3268" w14:cap="sq" w14:cmpd="sng">
                  <w14:solidFill>
                    <w14:srgbClr w14:val="000000"/>
                  </w14:solidFill>
                  <w14:prstDash w14:val="solid"/>
                  <w14:bevel/>
                </w14:textOutline>
              </w:rPr>
              <w:t>物态</w:t>
            </w:r>
          </w:p>
        </w:tc>
        <w:tc>
          <w:tcPr>
            <w:tcW w:w="916" w:type="dxa"/>
            <w:vAlign w:val="top"/>
          </w:tcPr>
          <w:p>
            <w:pPr>
              <w:spacing w:before="304" w:line="184" w:lineRule="auto"/>
              <w:ind w:firstLine="213"/>
              <w:rPr>
                <w:rFonts w:hint="eastAsia" w:ascii="宋体" w:hAnsi="宋体" w:eastAsia="宋体" w:cs="宋体"/>
                <w:sz w:val="18"/>
                <w:szCs w:val="18"/>
              </w:rPr>
            </w:pPr>
            <w:r>
              <w:rPr>
                <w:rFonts w:hint="eastAsia" w:ascii="宋体" w:hAnsi="宋体" w:eastAsia="宋体" w:cs="宋体"/>
                <w:spacing w:val="-1"/>
                <w:sz w:val="18"/>
                <w:szCs w:val="18"/>
                <w14:textOutline w14:w="3268" w14:cap="sq" w14:cmpd="sng">
                  <w14:solidFill>
                    <w14:srgbClr w14:val="000000"/>
                  </w14:solidFill>
                  <w14:prstDash w14:val="solid"/>
                  <w14:bevel/>
                </w14:textOutline>
              </w:rPr>
              <w:t>CAS</w:t>
            </w:r>
            <w:r>
              <w:rPr>
                <w:rFonts w:hint="eastAsia" w:ascii="宋体" w:hAnsi="宋体" w:eastAsia="宋体" w:cs="宋体"/>
                <w:spacing w:val="-34"/>
                <w:sz w:val="18"/>
                <w:szCs w:val="18"/>
              </w:rPr>
              <w:t xml:space="preserve"> </w:t>
            </w:r>
            <w:r>
              <w:rPr>
                <w:rFonts w:hint="eastAsia" w:ascii="宋体" w:hAnsi="宋体" w:eastAsia="宋体" w:cs="宋体"/>
                <w:spacing w:val="-1"/>
                <w:sz w:val="18"/>
                <w:szCs w:val="18"/>
                <w14:textOutline w14:w="3268" w14:cap="sq" w14:cmpd="sng">
                  <w14:solidFill>
                    <w14:srgbClr w14:val="000000"/>
                  </w14:solidFill>
                  <w14:prstDash w14:val="solid"/>
                  <w14:bevel/>
                </w14:textOutline>
              </w:rPr>
              <w:t>号</w:t>
            </w:r>
          </w:p>
        </w:tc>
        <w:tc>
          <w:tcPr>
            <w:tcW w:w="5374" w:type="dxa"/>
            <w:vAlign w:val="top"/>
          </w:tcPr>
          <w:p>
            <w:pPr>
              <w:spacing w:before="304" w:line="184" w:lineRule="auto"/>
              <w:ind w:firstLine="2331"/>
              <w:rPr>
                <w:rFonts w:hint="eastAsia" w:ascii="宋体" w:hAnsi="宋体" w:eastAsia="宋体" w:cs="宋体"/>
                <w:sz w:val="18"/>
                <w:szCs w:val="18"/>
              </w:rPr>
            </w:pPr>
            <w:r>
              <w:rPr>
                <w:rFonts w:hint="eastAsia" w:ascii="宋体" w:hAnsi="宋体" w:eastAsia="宋体" w:cs="宋体"/>
                <w:spacing w:val="-2"/>
                <w:sz w:val="18"/>
                <w:szCs w:val="18"/>
                <w14:textOutline w14:w="3268" w14:cap="sq" w14:cmpd="sng">
                  <w14:solidFill>
                    <w14:srgbClr w14:val="000000"/>
                  </w14:solidFill>
                  <w14:prstDash w14:val="solid"/>
                  <w14:bevel/>
                </w14:textOutline>
              </w:rPr>
              <w:t>理化性质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81" w:hRule="atLeast"/>
        </w:trPr>
        <w:tc>
          <w:tcPr>
            <w:tcW w:w="565" w:type="dxa"/>
            <w:vAlign w:val="top"/>
          </w:tcPr>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z w:val="18"/>
                <w:szCs w:val="18"/>
              </w:rPr>
              <w:t>4</w:t>
            </w:r>
          </w:p>
        </w:tc>
        <w:tc>
          <w:tcPr>
            <w:tcW w:w="812" w:type="dxa"/>
            <w:vAlign w:val="top"/>
          </w:tcPr>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pacing w:val="-5"/>
                <w:sz w:val="18"/>
                <w:szCs w:val="18"/>
              </w:rPr>
              <w:t>磷酸</w:t>
            </w:r>
          </w:p>
        </w:tc>
        <w:tc>
          <w:tcPr>
            <w:tcW w:w="655" w:type="dxa"/>
            <w:vAlign w:val="top"/>
          </w:tcPr>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pacing w:val="-5"/>
                <w:sz w:val="18"/>
                <w:szCs w:val="18"/>
              </w:rPr>
              <w:t>液态</w:t>
            </w:r>
          </w:p>
        </w:tc>
        <w:tc>
          <w:tcPr>
            <w:tcW w:w="916" w:type="dxa"/>
            <w:vAlign w:val="top"/>
          </w:tcPr>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line="288" w:lineRule="auto"/>
              <w:jc w:val="center"/>
              <w:rPr>
                <w:rFonts w:hint="eastAsia" w:ascii="宋体" w:hAnsi="宋体" w:eastAsia="宋体" w:cs="宋体"/>
                <w:sz w:val="18"/>
                <w:szCs w:val="18"/>
              </w:rPr>
            </w:pPr>
          </w:p>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pacing w:val="-2"/>
                <w:sz w:val="18"/>
                <w:szCs w:val="18"/>
              </w:rPr>
              <w:t>7697-37</w:t>
            </w:r>
          </w:p>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pacing w:val="-3"/>
                <w:sz w:val="18"/>
                <w:szCs w:val="18"/>
              </w:rPr>
              <w:t>-2</w:t>
            </w:r>
          </w:p>
        </w:tc>
        <w:tc>
          <w:tcPr>
            <w:tcW w:w="5374" w:type="dxa"/>
            <w:vAlign w:val="top"/>
          </w:tcPr>
          <w:p>
            <w:pPr>
              <w:adjustRightInd w:val="0"/>
              <w:snapToGrid w:val="0"/>
              <w:spacing w:before="0" w:line="288" w:lineRule="auto"/>
              <w:ind w:firstLine="0"/>
              <w:jc w:val="left"/>
              <w:rPr>
                <w:rFonts w:hint="eastAsia" w:ascii="宋体" w:hAnsi="宋体" w:eastAsia="宋体" w:cs="宋体"/>
                <w:sz w:val="18"/>
                <w:szCs w:val="18"/>
              </w:rPr>
            </w:pPr>
            <w:r>
              <w:rPr>
                <w:rFonts w:hint="eastAsia" w:ascii="宋体" w:hAnsi="宋体" w:eastAsia="宋体" w:cs="宋体"/>
                <w:spacing w:val="-11"/>
                <w:sz w:val="18"/>
                <w:szCs w:val="18"/>
              </w:rPr>
              <w:t>熔点：-41.59℃,沸点：83℃</w:t>
            </w:r>
            <w:r>
              <w:rPr>
                <w:rFonts w:hint="eastAsia" w:ascii="宋体" w:hAnsi="宋体" w:eastAsia="宋体" w:cs="宋体"/>
                <w:spacing w:val="-73"/>
                <w:sz w:val="18"/>
                <w:szCs w:val="18"/>
              </w:rPr>
              <w:t xml:space="preserve"> </w:t>
            </w:r>
            <w:r>
              <w:rPr>
                <w:rFonts w:hint="eastAsia" w:ascii="宋体" w:hAnsi="宋体" w:eastAsia="宋体" w:cs="宋体"/>
                <w:spacing w:val="-11"/>
                <w:sz w:val="18"/>
                <w:szCs w:val="18"/>
              </w:rPr>
              <w:t>，透明、无色或带黄色有独特</w:t>
            </w:r>
            <w:r>
              <w:rPr>
                <w:rFonts w:hint="eastAsia" w:ascii="宋体" w:hAnsi="宋体" w:eastAsia="宋体" w:cs="宋体"/>
                <w:sz w:val="18"/>
                <w:szCs w:val="18"/>
              </w:rPr>
              <w:t xml:space="preserve"> </w:t>
            </w:r>
            <w:r>
              <w:rPr>
                <w:rFonts w:hint="eastAsia" w:ascii="宋体" w:hAnsi="宋体" w:eastAsia="宋体" w:cs="宋体"/>
                <w:spacing w:val="-3"/>
                <w:sz w:val="18"/>
                <w:szCs w:val="18"/>
              </w:rPr>
              <w:t>的窒息性气味的腐蚀性液体。遇潮气或受热分解而成有刺鼻</w:t>
            </w:r>
            <w:r>
              <w:rPr>
                <w:rFonts w:hint="eastAsia" w:ascii="宋体" w:hAnsi="宋体" w:eastAsia="宋体" w:cs="宋体"/>
                <w:spacing w:val="25"/>
                <w:sz w:val="18"/>
                <w:szCs w:val="18"/>
              </w:rPr>
              <w:t xml:space="preserve"> </w:t>
            </w:r>
            <w:r>
              <w:rPr>
                <w:rFonts w:hint="eastAsia" w:ascii="宋体" w:hAnsi="宋体" w:eastAsia="宋体" w:cs="宋体"/>
                <w:spacing w:val="-3"/>
                <w:sz w:val="18"/>
                <w:szCs w:val="18"/>
              </w:rPr>
              <w:t>臭味的二氧化氮，GB8.1</w:t>
            </w:r>
            <w:r>
              <w:rPr>
                <w:rFonts w:hint="eastAsia" w:ascii="宋体" w:hAnsi="宋体" w:eastAsia="宋体" w:cs="宋体"/>
                <w:spacing w:val="-20"/>
                <w:sz w:val="18"/>
                <w:szCs w:val="18"/>
              </w:rPr>
              <w:t xml:space="preserve"> </w:t>
            </w:r>
            <w:r>
              <w:rPr>
                <w:rFonts w:hint="eastAsia" w:ascii="宋体" w:hAnsi="宋体" w:eastAsia="宋体" w:cs="宋体"/>
                <w:spacing w:val="-3"/>
                <w:sz w:val="18"/>
                <w:szCs w:val="18"/>
              </w:rPr>
              <w:t>类</w:t>
            </w:r>
            <w:r>
              <w:rPr>
                <w:rFonts w:hint="eastAsia" w:ascii="宋体" w:hAnsi="宋体" w:eastAsia="宋体" w:cs="宋体"/>
                <w:spacing w:val="-40"/>
                <w:sz w:val="18"/>
                <w:szCs w:val="18"/>
              </w:rPr>
              <w:t xml:space="preserve"> </w:t>
            </w:r>
            <w:r>
              <w:rPr>
                <w:rFonts w:hint="eastAsia" w:ascii="宋体" w:hAnsi="宋体" w:eastAsia="宋体" w:cs="宋体"/>
                <w:spacing w:val="-3"/>
                <w:sz w:val="18"/>
                <w:szCs w:val="18"/>
              </w:rPr>
              <w:t>81002。原铁规:一级无机酸性腐</w:t>
            </w:r>
            <w:r>
              <w:rPr>
                <w:rFonts w:hint="eastAsia" w:ascii="宋体" w:hAnsi="宋体" w:eastAsia="宋体" w:cs="宋体"/>
                <w:spacing w:val="-2"/>
                <w:position w:val="7"/>
                <w:sz w:val="18"/>
                <w:szCs w:val="18"/>
                <w:lang w:val="en-US" w:eastAsia="zh-CN"/>
              </w:rPr>
              <w:t>腐蚀品。</w:t>
            </w:r>
          </w:p>
          <w:p>
            <w:pPr>
              <w:adjustRightInd w:val="0"/>
              <w:snapToGrid w:val="0"/>
              <w:spacing w:before="0" w:line="288" w:lineRule="auto"/>
              <w:ind w:left="0" w:right="0" w:firstLine="0"/>
              <w:jc w:val="left"/>
              <w:rPr>
                <w:rFonts w:hint="eastAsia" w:ascii="宋体" w:hAnsi="宋体" w:eastAsia="宋体" w:cs="宋体"/>
                <w:sz w:val="18"/>
                <w:szCs w:val="18"/>
              </w:rPr>
            </w:pPr>
            <w:r>
              <w:rPr>
                <w:rFonts w:hint="eastAsia" w:ascii="宋体" w:hAnsi="宋体" w:eastAsia="宋体" w:cs="宋体"/>
                <w:spacing w:val="-3"/>
                <w:sz w:val="18"/>
                <w:szCs w:val="18"/>
              </w:rPr>
              <w:t>危险特性：不燃。能与多种物质如金属粉末、电石、硫化氢、松节油等</w:t>
            </w:r>
            <w:r>
              <w:rPr>
                <w:rFonts w:hint="eastAsia" w:ascii="宋体" w:hAnsi="宋体" w:eastAsia="宋体" w:cs="宋体"/>
                <w:spacing w:val="22"/>
                <w:sz w:val="18"/>
                <w:szCs w:val="18"/>
              </w:rPr>
              <w:t xml:space="preserve"> </w:t>
            </w:r>
            <w:r>
              <w:rPr>
                <w:rFonts w:hint="eastAsia" w:ascii="宋体" w:hAnsi="宋体" w:eastAsia="宋体" w:cs="宋体"/>
                <w:spacing w:val="1"/>
                <w:sz w:val="18"/>
                <w:szCs w:val="18"/>
              </w:rPr>
              <w:t>猛烈反应,发生爆炸。与可燃物、还原剂和有机物如木屑、</w:t>
            </w:r>
            <w:r>
              <w:rPr>
                <w:rFonts w:hint="eastAsia" w:ascii="宋体" w:hAnsi="宋体" w:eastAsia="宋体" w:cs="宋体"/>
                <w:spacing w:val="16"/>
                <w:sz w:val="18"/>
                <w:szCs w:val="18"/>
              </w:rPr>
              <w:t xml:space="preserve"> </w:t>
            </w:r>
            <w:r>
              <w:rPr>
                <w:rFonts w:hint="eastAsia" w:ascii="宋体" w:hAnsi="宋体" w:eastAsia="宋体" w:cs="宋体"/>
                <w:spacing w:val="-2"/>
                <w:sz w:val="18"/>
                <w:szCs w:val="18"/>
              </w:rPr>
              <w:t>棉花、稻草或废纱头等接触,引起燃烧,并散发出剧毒的棕色</w:t>
            </w:r>
          </w:p>
          <w:p>
            <w:pPr>
              <w:adjustRightInd w:val="0"/>
              <w:snapToGrid w:val="0"/>
              <w:spacing w:before="0" w:line="288" w:lineRule="auto"/>
              <w:ind w:firstLine="0"/>
              <w:jc w:val="left"/>
              <w:rPr>
                <w:rFonts w:hint="eastAsia" w:ascii="宋体" w:hAnsi="宋体" w:eastAsia="宋体" w:cs="宋体"/>
                <w:sz w:val="18"/>
                <w:szCs w:val="18"/>
              </w:rPr>
            </w:pPr>
            <w:r>
              <w:rPr>
                <w:rFonts w:hint="eastAsia" w:ascii="宋体" w:hAnsi="宋体" w:eastAsia="宋体" w:cs="宋体"/>
                <w:spacing w:val="-1"/>
                <w:position w:val="7"/>
                <w:sz w:val="18"/>
                <w:szCs w:val="18"/>
              </w:rPr>
              <w:t>烟雾。与硝酸蒸气接触很危险。</w:t>
            </w:r>
          </w:p>
          <w:p>
            <w:pPr>
              <w:adjustRightInd w:val="0"/>
              <w:snapToGrid w:val="0"/>
              <w:spacing w:before="0" w:line="288" w:lineRule="auto"/>
              <w:ind w:left="0" w:right="0" w:firstLine="0"/>
              <w:jc w:val="left"/>
              <w:rPr>
                <w:rFonts w:hint="eastAsia" w:ascii="宋体" w:hAnsi="宋体" w:eastAsia="宋体" w:cs="宋体"/>
                <w:sz w:val="18"/>
                <w:szCs w:val="18"/>
              </w:rPr>
            </w:pPr>
            <w:r>
              <w:rPr>
                <w:rFonts w:hint="eastAsia" w:ascii="宋体" w:hAnsi="宋体" w:eastAsia="宋体" w:cs="宋体"/>
                <w:spacing w:val="-3"/>
                <w:sz w:val="18"/>
                <w:szCs w:val="18"/>
              </w:rPr>
              <w:t>毒理学：硝酸液及硝酸蒸气对皮肤和粘膜有强刺激和腐蚀作用。浓硝</w:t>
            </w:r>
            <w:r>
              <w:rPr>
                <w:rFonts w:hint="eastAsia" w:ascii="宋体" w:hAnsi="宋体" w:eastAsia="宋体" w:cs="宋体"/>
                <w:spacing w:val="-5"/>
                <w:sz w:val="18"/>
                <w:szCs w:val="18"/>
              </w:rPr>
              <w:t>酸烟雾可释放出五氧化二氮（硝酐）</w:t>
            </w:r>
            <w:r>
              <w:rPr>
                <w:rFonts w:hint="eastAsia" w:ascii="宋体" w:hAnsi="宋体" w:eastAsia="宋体" w:cs="宋体"/>
                <w:spacing w:val="-23"/>
                <w:sz w:val="18"/>
                <w:szCs w:val="18"/>
              </w:rPr>
              <w:t xml:space="preserve"> </w:t>
            </w:r>
            <w:r>
              <w:rPr>
                <w:rFonts w:hint="eastAsia" w:ascii="宋体" w:hAnsi="宋体" w:eastAsia="宋体" w:cs="宋体"/>
                <w:spacing w:val="-5"/>
                <w:sz w:val="18"/>
                <w:szCs w:val="18"/>
              </w:rPr>
              <w:t>遇水蒸气形成酸雾，可</w:t>
            </w:r>
            <w:r>
              <w:rPr>
                <w:rFonts w:hint="eastAsia" w:ascii="宋体" w:hAnsi="宋体" w:eastAsia="宋体" w:cs="宋体"/>
                <w:spacing w:val="-3"/>
                <w:sz w:val="18"/>
                <w:szCs w:val="18"/>
              </w:rPr>
              <w:t>迅速分解而形成二氧化氮，浓硝酸加热时产生硝酸蒸气，也可分解产生二氧化氮，吸入后可引起急性氮氧化物中毒。人</w:t>
            </w:r>
            <w:r>
              <w:rPr>
                <w:rFonts w:hint="eastAsia" w:ascii="宋体" w:hAnsi="宋体" w:eastAsia="宋体" w:cs="宋体"/>
                <w:spacing w:val="-2"/>
                <w:sz w:val="18"/>
                <w:szCs w:val="18"/>
              </w:rPr>
              <w:t>在低于12</w:t>
            </w:r>
            <w:r>
              <w:rPr>
                <w:rFonts w:hint="eastAsia" w:ascii="宋体" w:hAnsi="宋体" w:eastAsia="宋体" w:cs="宋体"/>
                <w:spacing w:val="5"/>
                <w:sz w:val="18"/>
                <w:szCs w:val="18"/>
              </w:rPr>
              <w:t xml:space="preserve"> </w:t>
            </w:r>
            <w:r>
              <w:rPr>
                <w:rFonts w:hint="eastAsia" w:ascii="宋体" w:hAnsi="宋体" w:eastAsia="宋体" w:cs="宋体"/>
                <w:spacing w:val="-2"/>
                <w:sz w:val="18"/>
                <w:szCs w:val="18"/>
              </w:rPr>
              <w:t>ppm(30</w:t>
            </w:r>
            <w:r>
              <w:rPr>
                <w:rFonts w:hint="eastAsia" w:ascii="宋体" w:hAnsi="宋体" w:eastAsia="宋体" w:cs="宋体"/>
                <w:spacing w:val="3"/>
                <w:sz w:val="18"/>
                <w:szCs w:val="18"/>
              </w:rPr>
              <w:t xml:space="preserve"> </w:t>
            </w:r>
            <w:r>
              <w:rPr>
                <w:rFonts w:hint="eastAsia" w:ascii="宋体" w:hAnsi="宋体" w:eastAsia="宋体" w:cs="宋体"/>
                <w:spacing w:val="-2"/>
                <w:sz w:val="18"/>
                <w:szCs w:val="18"/>
              </w:rPr>
              <w:t>mg/m^3)左右时未见明显的损害。吸入可</w:t>
            </w:r>
            <w:r>
              <w:rPr>
                <w:rFonts w:hint="eastAsia" w:ascii="宋体" w:hAnsi="宋体" w:eastAsia="宋体" w:cs="宋体"/>
                <w:spacing w:val="-3"/>
                <w:sz w:val="18"/>
                <w:szCs w:val="18"/>
              </w:rPr>
              <w:t>引起肺炎。大鼠吸入</w:t>
            </w:r>
            <w:r>
              <w:rPr>
                <w:rFonts w:hint="eastAsia" w:ascii="宋体" w:hAnsi="宋体" w:eastAsia="宋体" w:cs="宋体"/>
                <w:spacing w:val="-28"/>
                <w:sz w:val="18"/>
                <w:szCs w:val="18"/>
              </w:rPr>
              <w:t xml:space="preserve"> </w:t>
            </w:r>
            <w:r>
              <w:rPr>
                <w:rFonts w:hint="eastAsia" w:ascii="宋体" w:hAnsi="宋体" w:eastAsia="宋体" w:cs="宋体"/>
                <w:spacing w:val="-3"/>
                <w:sz w:val="18"/>
                <w:szCs w:val="18"/>
              </w:rPr>
              <w:t>LC50</w:t>
            </w:r>
            <w:r>
              <w:rPr>
                <w:rFonts w:hint="eastAsia" w:ascii="宋体" w:hAnsi="宋体" w:eastAsia="宋体" w:cs="宋体"/>
                <w:spacing w:val="6"/>
                <w:sz w:val="18"/>
                <w:szCs w:val="18"/>
              </w:rPr>
              <w:t xml:space="preserve"> </w:t>
            </w:r>
            <w:r>
              <w:rPr>
                <w:rFonts w:hint="eastAsia" w:ascii="宋体" w:hAnsi="宋体" w:eastAsia="宋体" w:cs="宋体"/>
                <w:spacing w:val="-3"/>
                <w:sz w:val="18"/>
                <w:szCs w:val="18"/>
              </w:rPr>
              <w:t>49</w:t>
            </w:r>
            <w:r>
              <w:rPr>
                <w:rFonts w:hint="eastAsia" w:ascii="宋体" w:hAnsi="宋体" w:eastAsia="宋体" w:cs="宋体"/>
                <w:spacing w:val="5"/>
                <w:sz w:val="18"/>
                <w:szCs w:val="18"/>
              </w:rPr>
              <w:t xml:space="preserve"> </w:t>
            </w:r>
            <w:r>
              <w:rPr>
                <w:rFonts w:hint="eastAsia" w:ascii="宋体" w:hAnsi="宋体" w:eastAsia="宋体" w:cs="宋体"/>
                <w:spacing w:val="-3"/>
                <w:sz w:val="18"/>
                <w:szCs w:val="18"/>
              </w:rPr>
              <w:t>ppm/4</w:t>
            </w:r>
            <w:r>
              <w:rPr>
                <w:rFonts w:hint="eastAsia" w:ascii="宋体" w:hAnsi="宋体" w:eastAsia="宋体" w:cs="宋体"/>
                <w:spacing w:val="-37"/>
                <w:sz w:val="18"/>
                <w:szCs w:val="18"/>
              </w:rPr>
              <w:t xml:space="preserve"> </w:t>
            </w:r>
            <w:r>
              <w:rPr>
                <w:rFonts w:hint="eastAsia" w:ascii="宋体" w:hAnsi="宋体" w:eastAsia="宋体" w:cs="宋体"/>
                <w:spacing w:val="-3"/>
                <w:sz w:val="18"/>
                <w:szCs w:val="18"/>
              </w:rPr>
              <w:t>小时。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5" w:hRule="atLeast"/>
        </w:trPr>
        <w:tc>
          <w:tcPr>
            <w:tcW w:w="565" w:type="dxa"/>
            <w:vAlign w:val="top"/>
          </w:tcPr>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z w:val="18"/>
                <w:szCs w:val="18"/>
              </w:rPr>
              <w:t>5</w:t>
            </w:r>
          </w:p>
        </w:tc>
        <w:tc>
          <w:tcPr>
            <w:tcW w:w="812" w:type="dxa"/>
            <w:vAlign w:val="top"/>
          </w:tcPr>
          <w:p>
            <w:pPr>
              <w:adjustRightInd w:val="0"/>
              <w:snapToGrid w:val="0"/>
              <w:spacing w:before="0" w:line="288" w:lineRule="auto"/>
              <w:ind w:left="232" w:right="135" w:firstLine="0"/>
              <w:jc w:val="center"/>
              <w:rPr>
                <w:rFonts w:hint="eastAsia" w:ascii="宋体" w:hAnsi="宋体" w:eastAsia="宋体" w:cs="宋体"/>
                <w:sz w:val="18"/>
                <w:szCs w:val="18"/>
              </w:rPr>
            </w:pPr>
            <w:r>
              <w:rPr>
                <w:rFonts w:hint="eastAsia" w:ascii="宋体" w:hAnsi="宋体" w:eastAsia="宋体" w:cs="宋体"/>
                <w:spacing w:val="-5"/>
                <w:sz w:val="18"/>
                <w:szCs w:val="18"/>
              </w:rPr>
              <w:t>聚合化</w:t>
            </w:r>
            <w:r>
              <w:rPr>
                <w:rFonts w:hint="eastAsia" w:ascii="宋体" w:hAnsi="宋体" w:eastAsia="宋体" w:cs="宋体"/>
                <w:w w:val="101"/>
                <w:sz w:val="18"/>
                <w:szCs w:val="18"/>
              </w:rPr>
              <w:t xml:space="preserve"> </w:t>
            </w:r>
            <w:r>
              <w:rPr>
                <w:rFonts w:hint="eastAsia" w:ascii="宋体" w:hAnsi="宋体" w:eastAsia="宋体" w:cs="宋体"/>
                <w:spacing w:val="-5"/>
                <w:sz w:val="18"/>
                <w:szCs w:val="18"/>
              </w:rPr>
              <w:t>二铝</w:t>
            </w:r>
          </w:p>
        </w:tc>
        <w:tc>
          <w:tcPr>
            <w:tcW w:w="655" w:type="dxa"/>
            <w:vAlign w:val="top"/>
          </w:tcPr>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pacing w:val="-12"/>
                <w:sz w:val="18"/>
                <w:szCs w:val="18"/>
              </w:rPr>
              <w:t>固态</w:t>
            </w:r>
          </w:p>
        </w:tc>
        <w:tc>
          <w:tcPr>
            <w:tcW w:w="916" w:type="dxa"/>
            <w:vAlign w:val="top"/>
          </w:tcPr>
          <w:p>
            <w:pPr>
              <w:adjustRightInd w:val="0"/>
              <w:snapToGrid w:val="0"/>
              <w:spacing w:line="288" w:lineRule="auto"/>
              <w:jc w:val="center"/>
              <w:rPr>
                <w:rFonts w:hint="eastAsia" w:ascii="宋体" w:hAnsi="宋体" w:eastAsia="宋体" w:cs="宋体"/>
                <w:sz w:val="18"/>
                <w:szCs w:val="18"/>
              </w:rPr>
            </w:pPr>
          </w:p>
        </w:tc>
        <w:tc>
          <w:tcPr>
            <w:tcW w:w="5374" w:type="dxa"/>
            <w:vAlign w:val="top"/>
          </w:tcPr>
          <w:p>
            <w:pPr>
              <w:adjustRightInd w:val="0"/>
              <w:snapToGrid w:val="0"/>
              <w:spacing w:before="0" w:line="288" w:lineRule="auto"/>
              <w:ind w:left="0" w:right="0" w:firstLine="0"/>
              <w:jc w:val="left"/>
              <w:rPr>
                <w:rFonts w:hint="eastAsia" w:ascii="宋体" w:hAnsi="宋体" w:eastAsia="宋体" w:cs="宋体"/>
                <w:sz w:val="18"/>
                <w:szCs w:val="18"/>
              </w:rPr>
            </w:pPr>
            <w:r>
              <w:rPr>
                <w:rFonts w:hint="eastAsia" w:ascii="宋体" w:hAnsi="宋体" w:eastAsia="宋体" w:cs="宋体"/>
                <w:spacing w:val="-2"/>
                <w:sz w:val="18"/>
                <w:szCs w:val="18"/>
              </w:rPr>
              <w:t>颜色呈黄色或淡黄色、深褐色、深灰色树脂状固体，具有吸附、凝聚、沉淀等性能，其稳定性差，有腐蚀性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565" w:type="dxa"/>
            <w:vAlign w:val="top"/>
          </w:tcPr>
          <w:p>
            <w:pPr>
              <w:adjustRightInd w:val="0"/>
              <w:snapToGrid w:val="0"/>
              <w:spacing w:line="288" w:lineRule="auto"/>
              <w:jc w:val="center"/>
              <w:rPr>
                <w:rFonts w:hint="eastAsia" w:ascii="宋体" w:hAnsi="宋体" w:eastAsia="宋体" w:cs="宋体"/>
                <w:sz w:val="18"/>
                <w:szCs w:val="18"/>
              </w:rPr>
            </w:pPr>
          </w:p>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z w:val="18"/>
                <w:szCs w:val="18"/>
              </w:rPr>
              <w:t>6</w:t>
            </w:r>
          </w:p>
        </w:tc>
        <w:tc>
          <w:tcPr>
            <w:tcW w:w="812" w:type="dxa"/>
            <w:vAlign w:val="top"/>
          </w:tcPr>
          <w:p>
            <w:pPr>
              <w:adjustRightInd w:val="0"/>
              <w:snapToGrid w:val="0"/>
              <w:spacing w:before="0" w:line="288" w:lineRule="auto"/>
              <w:ind w:left="229" w:right="135" w:firstLine="0"/>
              <w:jc w:val="center"/>
              <w:rPr>
                <w:rFonts w:hint="eastAsia" w:ascii="宋体" w:hAnsi="宋体" w:eastAsia="宋体" w:cs="宋体"/>
                <w:sz w:val="18"/>
                <w:szCs w:val="18"/>
              </w:rPr>
            </w:pPr>
            <w:r>
              <w:rPr>
                <w:rFonts w:hint="eastAsia" w:ascii="宋体" w:hAnsi="宋体" w:eastAsia="宋体" w:cs="宋体"/>
                <w:spacing w:val="-5"/>
                <w:sz w:val="18"/>
                <w:szCs w:val="18"/>
              </w:rPr>
              <w:t>聚丙烯</w:t>
            </w:r>
            <w:r>
              <w:rPr>
                <w:rFonts w:hint="eastAsia" w:ascii="宋体" w:hAnsi="宋体" w:eastAsia="宋体" w:cs="宋体"/>
                <w:w w:val="101"/>
                <w:sz w:val="18"/>
                <w:szCs w:val="18"/>
              </w:rPr>
              <w:t xml:space="preserve"> </w:t>
            </w:r>
            <w:r>
              <w:rPr>
                <w:rFonts w:hint="eastAsia" w:ascii="宋体" w:hAnsi="宋体" w:eastAsia="宋体" w:cs="宋体"/>
                <w:spacing w:val="-4"/>
                <w:sz w:val="18"/>
                <w:szCs w:val="18"/>
              </w:rPr>
              <w:t>酰胺</w:t>
            </w:r>
          </w:p>
        </w:tc>
        <w:tc>
          <w:tcPr>
            <w:tcW w:w="655" w:type="dxa"/>
            <w:vAlign w:val="top"/>
          </w:tcPr>
          <w:p>
            <w:pPr>
              <w:adjustRightInd w:val="0"/>
              <w:snapToGrid w:val="0"/>
              <w:spacing w:line="288" w:lineRule="auto"/>
              <w:jc w:val="center"/>
              <w:rPr>
                <w:rFonts w:hint="eastAsia" w:ascii="宋体" w:hAnsi="宋体" w:eastAsia="宋体" w:cs="宋体"/>
                <w:sz w:val="18"/>
                <w:szCs w:val="18"/>
              </w:rPr>
            </w:pPr>
          </w:p>
          <w:p>
            <w:pPr>
              <w:adjustRightInd w:val="0"/>
              <w:snapToGrid w:val="0"/>
              <w:spacing w:before="0" w:line="288" w:lineRule="auto"/>
              <w:ind w:firstLine="0"/>
              <w:jc w:val="center"/>
              <w:rPr>
                <w:rFonts w:hint="eastAsia" w:ascii="宋体" w:hAnsi="宋体" w:eastAsia="宋体" w:cs="宋体"/>
                <w:sz w:val="18"/>
                <w:szCs w:val="18"/>
              </w:rPr>
            </w:pPr>
            <w:r>
              <w:rPr>
                <w:rFonts w:hint="eastAsia" w:ascii="宋体" w:hAnsi="宋体" w:eastAsia="宋体" w:cs="宋体"/>
                <w:spacing w:val="-12"/>
                <w:sz w:val="18"/>
                <w:szCs w:val="18"/>
              </w:rPr>
              <w:t>固态</w:t>
            </w:r>
          </w:p>
        </w:tc>
        <w:tc>
          <w:tcPr>
            <w:tcW w:w="916" w:type="dxa"/>
            <w:vAlign w:val="top"/>
          </w:tcPr>
          <w:p>
            <w:pPr>
              <w:adjustRightInd w:val="0"/>
              <w:snapToGrid w:val="0"/>
              <w:spacing w:line="288" w:lineRule="auto"/>
              <w:jc w:val="center"/>
              <w:rPr>
                <w:rFonts w:hint="eastAsia" w:ascii="宋体" w:hAnsi="宋体" w:eastAsia="宋体" w:cs="宋体"/>
                <w:sz w:val="18"/>
                <w:szCs w:val="18"/>
              </w:rPr>
            </w:pPr>
          </w:p>
        </w:tc>
        <w:tc>
          <w:tcPr>
            <w:tcW w:w="5374" w:type="dxa"/>
            <w:vAlign w:val="top"/>
          </w:tcPr>
          <w:p>
            <w:pPr>
              <w:adjustRightInd w:val="0"/>
              <w:snapToGrid w:val="0"/>
              <w:spacing w:before="0" w:line="288" w:lineRule="auto"/>
              <w:ind w:firstLine="0"/>
              <w:jc w:val="left"/>
              <w:rPr>
                <w:rFonts w:hint="eastAsia" w:ascii="宋体" w:hAnsi="宋体" w:eastAsia="宋体" w:cs="宋体"/>
                <w:sz w:val="18"/>
                <w:szCs w:val="18"/>
              </w:rPr>
            </w:pPr>
            <w:r>
              <w:rPr>
                <w:rFonts w:hint="eastAsia" w:ascii="宋体" w:hAnsi="宋体" w:eastAsia="宋体" w:cs="宋体"/>
                <w:spacing w:val="-2"/>
                <w:sz w:val="18"/>
                <w:szCs w:val="18"/>
              </w:rPr>
              <w:t>沸点:</w:t>
            </w:r>
            <w:r>
              <w:rPr>
                <w:rFonts w:hint="eastAsia" w:ascii="宋体" w:hAnsi="宋体" w:eastAsia="宋体" w:cs="宋体"/>
                <w:spacing w:val="45"/>
                <w:sz w:val="18"/>
                <w:szCs w:val="18"/>
              </w:rPr>
              <w:t xml:space="preserve"> </w:t>
            </w:r>
            <w:r>
              <w:rPr>
                <w:rFonts w:hint="eastAsia" w:ascii="宋体" w:hAnsi="宋体" w:eastAsia="宋体" w:cs="宋体"/>
                <w:spacing w:val="-2"/>
                <w:sz w:val="18"/>
                <w:szCs w:val="18"/>
              </w:rPr>
              <w:t>112°C，本品不易燃，对热比较稳定，它的固体在220～230℃才软化，它的水溶液在</w:t>
            </w:r>
            <w:r>
              <w:rPr>
                <w:rFonts w:hint="eastAsia" w:ascii="宋体" w:hAnsi="宋体" w:eastAsia="宋体" w:cs="宋体"/>
                <w:sz w:val="18"/>
                <w:szCs w:val="18"/>
              </w:rPr>
              <w:t xml:space="preserve"> </w:t>
            </w:r>
            <w:r>
              <w:rPr>
                <w:rFonts w:hint="eastAsia" w:ascii="宋体" w:hAnsi="宋体" w:eastAsia="宋体" w:cs="宋体"/>
                <w:spacing w:val="-2"/>
                <w:sz w:val="18"/>
                <w:szCs w:val="18"/>
              </w:rPr>
              <w:t>110℃以后才明显发生降解易溶于水，聚丙烯酰胺本身没有毒性，但其中如含有尚未</w:t>
            </w:r>
            <w:r>
              <w:rPr>
                <w:rFonts w:hint="eastAsia" w:ascii="宋体" w:hAnsi="宋体" w:eastAsia="宋体" w:cs="宋体"/>
                <w:spacing w:val="-1"/>
                <w:sz w:val="18"/>
                <w:szCs w:val="18"/>
              </w:rPr>
              <w:t>聚合的单体(有双键)对人体就有毒性</w:t>
            </w:r>
            <w:r>
              <w:rPr>
                <w:rFonts w:hint="eastAsia" w:ascii="宋体" w:hAnsi="宋体" w:eastAsia="宋体" w:cs="宋体"/>
                <w:spacing w:val="-1"/>
                <w:sz w:val="18"/>
                <w:szCs w:val="18"/>
                <w:lang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trPr>
        <w:tc>
          <w:tcPr>
            <w:tcW w:w="565" w:type="dxa"/>
            <w:vAlign w:val="top"/>
          </w:tcPr>
          <w:p>
            <w:pPr>
              <w:spacing w:line="259" w:lineRule="auto"/>
              <w:rPr>
                <w:rFonts w:hint="eastAsia" w:ascii="宋体" w:hAnsi="宋体" w:eastAsia="宋体" w:cs="宋体"/>
                <w:sz w:val="18"/>
                <w:szCs w:val="18"/>
              </w:rPr>
            </w:pPr>
          </w:p>
          <w:p>
            <w:pPr>
              <w:spacing w:before="58" w:line="180" w:lineRule="auto"/>
              <w:ind w:firstLine="246"/>
              <w:rPr>
                <w:rFonts w:hint="eastAsia" w:ascii="宋体" w:hAnsi="宋体" w:eastAsia="宋体" w:cs="宋体"/>
                <w:sz w:val="18"/>
                <w:szCs w:val="18"/>
              </w:rPr>
            </w:pPr>
            <w:r>
              <w:rPr>
                <w:rFonts w:hint="eastAsia" w:ascii="宋体" w:hAnsi="宋体" w:eastAsia="宋体" w:cs="宋体"/>
                <w:sz w:val="18"/>
                <w:szCs w:val="18"/>
              </w:rPr>
              <w:t>7</w:t>
            </w:r>
          </w:p>
        </w:tc>
        <w:tc>
          <w:tcPr>
            <w:tcW w:w="812" w:type="dxa"/>
            <w:vAlign w:val="top"/>
          </w:tcPr>
          <w:p>
            <w:pPr>
              <w:spacing w:before="218" w:line="312" w:lineRule="exact"/>
              <w:ind w:firstLine="208"/>
              <w:rPr>
                <w:rFonts w:hint="eastAsia" w:ascii="宋体" w:hAnsi="宋体" w:eastAsia="宋体" w:cs="宋体"/>
                <w:sz w:val="18"/>
                <w:szCs w:val="18"/>
              </w:rPr>
            </w:pPr>
            <w:r>
              <w:rPr>
                <w:rFonts w:hint="eastAsia" w:ascii="宋体" w:hAnsi="宋体" w:eastAsia="宋体" w:cs="宋体"/>
                <w:spacing w:val="-5"/>
                <w:position w:val="7"/>
                <w:sz w:val="18"/>
                <w:szCs w:val="18"/>
              </w:rPr>
              <w:t>氢氧</w:t>
            </w:r>
          </w:p>
          <w:p>
            <w:pPr>
              <w:spacing w:line="204" w:lineRule="auto"/>
              <w:ind w:firstLine="209"/>
              <w:rPr>
                <w:rFonts w:hint="eastAsia" w:ascii="宋体" w:hAnsi="宋体" w:eastAsia="宋体" w:cs="宋体"/>
                <w:sz w:val="18"/>
                <w:szCs w:val="18"/>
              </w:rPr>
            </w:pPr>
            <w:r>
              <w:rPr>
                <w:rFonts w:hint="eastAsia" w:ascii="宋体" w:hAnsi="宋体" w:eastAsia="宋体" w:cs="宋体"/>
                <w:spacing w:val="-5"/>
                <w:sz w:val="18"/>
                <w:szCs w:val="18"/>
              </w:rPr>
              <w:t>化钠</w:t>
            </w:r>
          </w:p>
        </w:tc>
        <w:tc>
          <w:tcPr>
            <w:tcW w:w="655" w:type="dxa"/>
            <w:vAlign w:val="top"/>
          </w:tcPr>
          <w:p>
            <w:pPr>
              <w:spacing w:before="323" w:line="184" w:lineRule="auto"/>
              <w:ind w:firstLine="165"/>
              <w:rPr>
                <w:rFonts w:hint="eastAsia" w:ascii="宋体" w:hAnsi="宋体" w:eastAsia="宋体" w:cs="宋体"/>
                <w:sz w:val="18"/>
                <w:szCs w:val="18"/>
              </w:rPr>
            </w:pPr>
            <w:r>
              <w:rPr>
                <w:rFonts w:hint="eastAsia" w:ascii="宋体" w:hAnsi="宋体" w:eastAsia="宋体" w:cs="宋体"/>
                <w:spacing w:val="-12"/>
                <w:sz w:val="18"/>
                <w:szCs w:val="18"/>
              </w:rPr>
              <w:t>固态</w:t>
            </w:r>
          </w:p>
        </w:tc>
        <w:tc>
          <w:tcPr>
            <w:tcW w:w="916" w:type="dxa"/>
            <w:vAlign w:val="top"/>
          </w:tcPr>
          <w:p>
            <w:pPr>
              <w:adjustRightInd w:val="0"/>
              <w:snapToGrid w:val="0"/>
              <w:spacing w:before="0" w:line="288" w:lineRule="auto"/>
              <w:ind w:firstLine="0"/>
              <w:rPr>
                <w:rFonts w:hint="eastAsia" w:ascii="宋体" w:hAnsi="宋体" w:eastAsia="宋体" w:cs="宋体"/>
                <w:sz w:val="18"/>
                <w:szCs w:val="18"/>
              </w:rPr>
            </w:pPr>
            <w:r>
              <w:rPr>
                <w:rFonts w:hint="eastAsia" w:ascii="宋体" w:hAnsi="宋体" w:eastAsia="宋体" w:cs="宋体"/>
                <w:spacing w:val="-4"/>
                <w:sz w:val="18"/>
                <w:szCs w:val="18"/>
              </w:rPr>
              <w:t>1310-73</w:t>
            </w:r>
          </w:p>
          <w:p>
            <w:pPr>
              <w:adjustRightInd w:val="0"/>
              <w:snapToGrid w:val="0"/>
              <w:spacing w:before="0" w:line="288" w:lineRule="auto"/>
              <w:ind w:firstLine="0"/>
              <w:rPr>
                <w:rFonts w:hint="eastAsia" w:ascii="宋体" w:hAnsi="宋体" w:eastAsia="宋体" w:cs="宋体"/>
                <w:sz w:val="18"/>
                <w:szCs w:val="18"/>
              </w:rPr>
            </w:pPr>
            <w:r>
              <w:rPr>
                <w:rFonts w:hint="eastAsia" w:ascii="宋体" w:hAnsi="宋体" w:eastAsia="宋体" w:cs="宋体"/>
                <w:spacing w:val="-3"/>
                <w:sz w:val="18"/>
                <w:szCs w:val="18"/>
              </w:rPr>
              <w:t>-2</w:t>
            </w:r>
          </w:p>
        </w:tc>
        <w:tc>
          <w:tcPr>
            <w:tcW w:w="5374" w:type="dxa"/>
            <w:vAlign w:val="top"/>
          </w:tcPr>
          <w:p>
            <w:pPr>
              <w:adjustRightInd w:val="0"/>
              <w:snapToGrid w:val="0"/>
              <w:spacing w:before="0" w:line="288" w:lineRule="auto"/>
              <w:ind w:firstLine="0"/>
              <w:rPr>
                <w:rFonts w:hint="eastAsia" w:ascii="宋体" w:hAnsi="宋体" w:eastAsia="宋体" w:cs="宋体"/>
                <w:sz w:val="18"/>
                <w:szCs w:val="18"/>
              </w:rPr>
            </w:pPr>
            <w:r>
              <w:rPr>
                <w:rFonts w:hint="eastAsia" w:ascii="宋体" w:hAnsi="宋体" w:eastAsia="宋体" w:cs="宋体"/>
                <w:spacing w:val="-4"/>
                <w:sz w:val="18"/>
                <w:szCs w:val="18"/>
              </w:rPr>
              <w:t>白色不透明固体，易潮解，第</w:t>
            </w:r>
            <w:r>
              <w:rPr>
                <w:rFonts w:hint="eastAsia" w:ascii="宋体" w:hAnsi="宋体" w:eastAsia="宋体" w:cs="宋体"/>
                <w:spacing w:val="-18"/>
                <w:sz w:val="18"/>
                <w:szCs w:val="18"/>
              </w:rPr>
              <w:t xml:space="preserve"> </w:t>
            </w:r>
            <w:r>
              <w:rPr>
                <w:rFonts w:hint="eastAsia" w:ascii="宋体" w:hAnsi="宋体" w:eastAsia="宋体" w:cs="宋体"/>
                <w:spacing w:val="-4"/>
                <w:sz w:val="18"/>
                <w:szCs w:val="18"/>
              </w:rPr>
              <w:t>8.2</w:t>
            </w:r>
            <w:r>
              <w:rPr>
                <w:rFonts w:hint="eastAsia" w:ascii="宋体" w:hAnsi="宋体" w:eastAsia="宋体" w:cs="宋体"/>
                <w:spacing w:val="-43"/>
                <w:sz w:val="18"/>
                <w:szCs w:val="18"/>
              </w:rPr>
              <w:t xml:space="preserve"> </w:t>
            </w:r>
            <w:r>
              <w:rPr>
                <w:rFonts w:hint="eastAsia" w:ascii="宋体" w:hAnsi="宋体" w:eastAsia="宋体" w:cs="宋体"/>
                <w:spacing w:val="-4"/>
                <w:sz w:val="18"/>
                <w:szCs w:val="18"/>
              </w:rPr>
              <w:t>类碱性腐蚀品，不燃，片</w:t>
            </w:r>
            <w:r>
              <w:rPr>
                <w:rFonts w:hint="eastAsia" w:ascii="宋体" w:hAnsi="宋体" w:eastAsia="宋体" w:cs="宋体"/>
                <w:spacing w:val="-2"/>
                <w:sz w:val="18"/>
                <w:szCs w:val="18"/>
              </w:rPr>
              <w:t>状或块状形态，易溶于水，有强烈刺激和腐蚀性，吸入、食</w:t>
            </w:r>
            <w:r>
              <w:rPr>
                <w:rFonts w:hint="eastAsia" w:ascii="宋体" w:hAnsi="宋体" w:eastAsia="宋体" w:cs="宋体"/>
                <w:spacing w:val="-1"/>
                <w:sz w:val="18"/>
                <w:szCs w:val="18"/>
              </w:rPr>
              <w:t>入可造成消化道灼伤，粘膜糜烂、出血和休克</w:t>
            </w:r>
            <w:r>
              <w:rPr>
                <w:rFonts w:hint="eastAsia" w:ascii="宋体" w:hAnsi="宋体" w:eastAsia="宋体" w:cs="宋体"/>
                <w:spacing w:val="-1"/>
                <w:sz w:val="18"/>
                <w:szCs w:val="18"/>
                <w:lang w:eastAsia="zh-CN"/>
              </w:rPr>
              <w:t>。</w:t>
            </w:r>
          </w:p>
        </w:tc>
      </w:tr>
    </w:tbl>
    <w:p>
      <w:pPr>
        <w:adjustRightInd w:val="0"/>
        <w:snapToGrid w:val="0"/>
        <w:spacing w:before="120" w:beforeLines="50" w:line="360" w:lineRule="auto"/>
        <w:ind w:firstLine="480" w:firstLineChars="200"/>
        <w:rPr>
          <w:rFonts w:eastAsia="仿宋_GB2312"/>
          <w:sz w:val="24"/>
        </w:rPr>
      </w:pPr>
    </w:p>
    <w:p>
      <w:pPr>
        <w:adjustRightInd w:val="0"/>
        <w:snapToGrid w:val="0"/>
        <w:spacing w:before="120" w:beforeLines="50" w:line="360" w:lineRule="auto"/>
        <w:ind w:firstLine="480" w:firstLineChars="200"/>
        <w:rPr>
          <w:rFonts w:eastAsia="仿宋_GB2312"/>
          <w:sz w:val="24"/>
        </w:rPr>
      </w:pPr>
    </w:p>
    <w:p>
      <w:pPr>
        <w:keepNext w:val="0"/>
        <w:keepLines w:val="0"/>
        <w:pageBreakBefore w:val="0"/>
        <w:widowControl w:val="0"/>
        <w:kinsoku/>
        <w:wordWrap/>
        <w:overflowPunct/>
        <w:topLinePunct w:val="0"/>
        <w:autoSpaceDE/>
        <w:autoSpaceDN/>
        <w:bidi w:val="0"/>
        <w:adjustRightInd w:val="0"/>
        <w:snapToGrid w:val="0"/>
        <w:spacing w:before="313" w:beforeLines="100" w:line="360" w:lineRule="auto"/>
        <w:textAlignment w:val="auto"/>
        <w:outlineLvl w:val="2"/>
        <w:rPr>
          <w:b/>
          <w:sz w:val="28"/>
          <w:szCs w:val="28"/>
        </w:rPr>
      </w:pPr>
      <w:r>
        <w:rPr>
          <w:rFonts w:hint="eastAsia"/>
          <w:b/>
          <w:sz w:val="28"/>
          <w:szCs w:val="28"/>
        </w:rPr>
        <w:t>2</w:t>
      </w:r>
      <w:r>
        <w:rPr>
          <w:b/>
          <w:sz w:val="28"/>
          <w:szCs w:val="28"/>
        </w:rPr>
        <w:t>.</w:t>
      </w:r>
      <w:r>
        <w:rPr>
          <w:rFonts w:hint="eastAsia"/>
          <w:b/>
          <w:sz w:val="28"/>
          <w:szCs w:val="28"/>
        </w:rPr>
        <w:t>7</w:t>
      </w:r>
      <w:r>
        <w:rPr>
          <w:b/>
          <w:sz w:val="28"/>
          <w:szCs w:val="28"/>
        </w:rPr>
        <w:t>.</w:t>
      </w:r>
      <w:r>
        <w:rPr>
          <w:rFonts w:hint="eastAsia"/>
          <w:b/>
          <w:sz w:val="28"/>
          <w:szCs w:val="28"/>
        </w:rPr>
        <w:t>2重大危险源辨识</w:t>
      </w:r>
    </w:p>
    <w:p>
      <w:pPr>
        <w:adjustRightInd w:val="0"/>
        <w:snapToGrid w:val="0"/>
        <w:spacing w:before="120" w:beforeLines="50" w:line="360" w:lineRule="auto"/>
        <w:ind w:firstLine="480" w:firstLineChars="200"/>
        <w:rPr>
          <w:rFonts w:eastAsia="仿宋_GB2312"/>
          <w:sz w:val="24"/>
        </w:rPr>
      </w:pPr>
      <w:r>
        <w:rPr>
          <w:rFonts w:eastAsia="仿宋_GB2312"/>
          <w:sz w:val="24"/>
        </w:rPr>
        <w:t>根据《危险化学品重大危险源辨识》（GB18218-20</w:t>
      </w:r>
      <w:r>
        <w:rPr>
          <w:rFonts w:hint="eastAsia" w:eastAsia="仿宋_GB2312"/>
          <w:sz w:val="24"/>
        </w:rPr>
        <w:t>18</w:t>
      </w:r>
      <w:r>
        <w:rPr>
          <w:rFonts w:eastAsia="仿宋_GB2312"/>
          <w:sz w:val="24"/>
        </w:rPr>
        <w:t>），结合公司运行过程中有关化学品的使用、贮存情况，进行重大危险源识别。</w:t>
      </w:r>
    </w:p>
    <w:p>
      <w:pPr>
        <w:adjustRightInd w:val="0"/>
        <w:snapToGrid w:val="0"/>
        <w:spacing w:line="360" w:lineRule="auto"/>
        <w:ind w:firstLine="480"/>
        <w:rPr>
          <w:rFonts w:eastAsia="仿宋_GB2312"/>
          <w:sz w:val="24"/>
        </w:rPr>
      </w:pPr>
      <w:r>
        <w:rPr>
          <w:rFonts w:hint="eastAsia" w:ascii="仿宋" w:hAnsi="仿宋" w:eastAsia="仿宋"/>
          <w:sz w:val="24"/>
        </w:rPr>
        <w:t>①</w:t>
      </w:r>
      <w:r>
        <w:rPr>
          <w:rFonts w:hint="eastAsia" w:eastAsia="仿宋_GB2312"/>
          <w:sz w:val="24"/>
        </w:rPr>
        <w:t>辨识流程</w:t>
      </w:r>
    </w:p>
    <w:p>
      <w:pPr>
        <w:adjustRightInd w:val="0"/>
        <w:snapToGrid w:val="0"/>
        <w:spacing w:line="360" w:lineRule="auto"/>
        <w:ind w:firstLine="480" w:firstLineChars="200"/>
        <w:rPr>
          <w:rFonts w:eastAsia="仿宋_GB2312"/>
          <w:sz w:val="24"/>
        </w:rPr>
      </w:pPr>
      <w:r>
        <w:rPr>
          <w:rFonts w:hint="eastAsia" w:eastAsia="仿宋_GB2312"/>
          <w:sz w:val="24"/>
        </w:rPr>
        <w:t>危险化学品重大危险源辨识流程见下图。</w:t>
      </w:r>
    </w:p>
    <w:p>
      <w:pPr>
        <w:adjustRightInd w:val="0"/>
        <w:snapToGrid w:val="0"/>
        <w:spacing w:before="120" w:beforeLines="50" w:line="360" w:lineRule="auto"/>
        <w:jc w:val="center"/>
        <w:rPr>
          <w:rFonts w:eastAsia="仿宋_GB2312"/>
          <w:sz w:val="24"/>
        </w:rPr>
      </w:pPr>
      <w:r>
        <w:rPr>
          <w:rFonts w:eastAsia="仿宋_GB2312"/>
          <w:sz w:val="24"/>
        </w:rPr>
        <w:drawing>
          <wp:inline distT="0" distB="0" distL="0" distR="0">
            <wp:extent cx="4245610" cy="4555490"/>
            <wp:effectExtent l="0" t="0" r="2540" b="165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244753" cy="4554763"/>
                    </a:xfrm>
                    <a:prstGeom prst="rect">
                      <a:avLst/>
                    </a:prstGeom>
                  </pic:spPr>
                </pic:pic>
              </a:graphicData>
            </a:graphic>
          </wp:inline>
        </w:drawing>
      </w:r>
    </w:p>
    <w:p>
      <w:pPr>
        <w:adjustRightInd w:val="0"/>
        <w:snapToGrid w:val="0"/>
        <w:spacing w:line="360" w:lineRule="auto"/>
        <w:ind w:firstLine="422" w:firstLineChars="200"/>
        <w:jc w:val="center"/>
        <w:rPr>
          <w:rFonts w:eastAsia="仿宋_GB2312"/>
          <w:b/>
          <w:szCs w:val="21"/>
        </w:rPr>
      </w:pPr>
      <w:r>
        <w:rPr>
          <w:rFonts w:hint="eastAsia" w:eastAsia="仿宋_GB2312"/>
          <w:b/>
          <w:szCs w:val="21"/>
        </w:rPr>
        <w:t>图2.7-1危险化学品重大危险源辨识流程图</w:t>
      </w:r>
    </w:p>
    <w:p>
      <w:pPr>
        <w:adjustRightInd w:val="0"/>
        <w:snapToGrid w:val="0"/>
        <w:spacing w:before="120" w:beforeLines="50" w:line="360" w:lineRule="auto"/>
        <w:ind w:firstLine="480" w:firstLineChars="200"/>
        <w:rPr>
          <w:rFonts w:eastAsia="仿宋_GB2312"/>
          <w:sz w:val="24"/>
        </w:rPr>
      </w:pPr>
      <w:r>
        <w:rPr>
          <w:rFonts w:hint="eastAsia" w:ascii="仿宋" w:hAnsi="仿宋" w:eastAsia="仿宋"/>
          <w:sz w:val="24"/>
        </w:rPr>
        <w:t>②</w:t>
      </w:r>
      <w:r>
        <w:rPr>
          <w:rFonts w:hint="eastAsia" w:eastAsia="仿宋_GB2312"/>
          <w:sz w:val="24"/>
        </w:rPr>
        <w:t>重大危险源的辨识指标</w:t>
      </w:r>
    </w:p>
    <w:p>
      <w:pPr>
        <w:adjustRightInd w:val="0"/>
        <w:snapToGrid w:val="0"/>
        <w:spacing w:before="120" w:beforeLines="50" w:line="360" w:lineRule="auto"/>
        <w:ind w:firstLine="480" w:firstLineChars="200"/>
        <w:rPr>
          <w:rFonts w:eastAsia="仿宋_GB2312"/>
          <w:sz w:val="24"/>
        </w:rPr>
      </w:pPr>
      <w:r>
        <w:rPr>
          <w:rFonts w:hint="eastAsia" w:eastAsia="仿宋_GB2312"/>
          <w:sz w:val="24"/>
        </w:rPr>
        <w:t>生产单元、储存单元内存在危险化学品的数量等于或超过表1、表2规定的临界量，即被定为重大危险源。单元内存在的危险化学品的数量根据危险化学品种类的多少区分为以下两种情况：</w:t>
      </w:r>
    </w:p>
    <w:p>
      <w:pPr>
        <w:adjustRightInd w:val="0"/>
        <w:snapToGrid w:val="0"/>
        <w:spacing w:before="120" w:beforeLines="50" w:line="360" w:lineRule="auto"/>
        <w:ind w:firstLine="480" w:firstLineChars="200"/>
        <w:rPr>
          <w:rFonts w:eastAsia="仿宋_GB2312"/>
          <w:sz w:val="24"/>
        </w:rPr>
      </w:pPr>
      <w:r>
        <w:rPr>
          <w:rFonts w:hint="eastAsia" w:eastAsia="仿宋_GB2312"/>
          <w:sz w:val="24"/>
        </w:rPr>
        <w:t>a）生产单元、储存单元内存在的危险化学品为单一品种时，该危险化学品的数量即为单元内危险化学品的总量，若等于或超过相应的临界量，则定为重大危险源。</w:t>
      </w:r>
    </w:p>
    <w:p>
      <w:pPr>
        <w:adjustRightInd w:val="0"/>
        <w:snapToGrid w:val="0"/>
        <w:spacing w:before="120" w:beforeLines="50" w:line="360" w:lineRule="auto"/>
        <w:ind w:firstLine="480" w:firstLineChars="200"/>
        <w:rPr>
          <w:rFonts w:eastAsia="仿宋_GB2312"/>
          <w:sz w:val="24"/>
        </w:rPr>
      </w:pPr>
      <w:r>
        <w:rPr>
          <w:rFonts w:hint="eastAsia" w:eastAsia="仿宋_GB2312"/>
          <w:sz w:val="24"/>
        </w:rPr>
        <w:t>b）生产单元、储存单元内存在的危险化学品为多品种时，按式以下公司计算，若满足以下公式则定为重大危险源：</w:t>
      </w:r>
    </w:p>
    <w:p>
      <w:pPr>
        <w:adjustRightInd w:val="0"/>
        <w:snapToGrid w:val="0"/>
        <w:spacing w:before="120" w:beforeLines="50" w:line="360" w:lineRule="auto"/>
        <w:ind w:firstLine="420"/>
        <w:jc w:val="center"/>
        <w:rPr>
          <w:rFonts w:eastAsia="仿宋_GB2312"/>
          <w:sz w:val="24"/>
        </w:rPr>
      </w:pPr>
      <w:r>
        <w:rPr>
          <w:rFonts w:eastAsia="仿宋_GB2312"/>
          <w:sz w:val="24"/>
        </w:rPr>
        <w:drawing>
          <wp:inline distT="0" distB="0" distL="0" distR="0">
            <wp:extent cx="3307715" cy="449580"/>
            <wp:effectExtent l="0" t="0" r="6985"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307742" cy="449950"/>
                    </a:xfrm>
                    <a:prstGeom prst="rect">
                      <a:avLst/>
                    </a:prstGeom>
                  </pic:spPr>
                </pic:pic>
              </a:graphicData>
            </a:graphic>
          </wp:inline>
        </w:drawing>
      </w:r>
    </w:p>
    <w:p>
      <w:pPr>
        <w:adjustRightInd w:val="0"/>
        <w:snapToGrid w:val="0"/>
        <w:spacing w:before="120" w:beforeLines="50" w:line="360" w:lineRule="auto"/>
        <w:rPr>
          <w:rFonts w:eastAsia="仿宋_GB2312"/>
          <w:sz w:val="24"/>
        </w:rPr>
      </w:pPr>
      <w:r>
        <w:rPr>
          <w:rFonts w:hint="eastAsia" w:eastAsia="仿宋_GB2312"/>
          <w:sz w:val="24"/>
        </w:rPr>
        <w:t>式中：</w:t>
      </w:r>
    </w:p>
    <w:p>
      <w:pPr>
        <w:adjustRightInd w:val="0"/>
        <w:snapToGrid w:val="0"/>
        <w:spacing w:before="120" w:beforeLines="50" w:line="360" w:lineRule="auto"/>
        <w:ind w:firstLine="480" w:firstLineChars="200"/>
        <w:rPr>
          <w:rFonts w:eastAsia="仿宋_GB2312"/>
          <w:sz w:val="24"/>
        </w:rPr>
      </w:pPr>
      <w:r>
        <w:rPr>
          <w:rFonts w:hint="eastAsia" w:eastAsia="仿宋_GB2312"/>
          <w:sz w:val="24"/>
        </w:rPr>
        <w:t>S</w:t>
      </w:r>
      <w:r>
        <w:rPr>
          <w:rFonts w:hint="eastAsia" w:ascii="仿宋" w:hAnsi="仿宋" w:eastAsia="仿宋"/>
          <w:sz w:val="24"/>
        </w:rPr>
        <w:t>-----</w:t>
      </w:r>
      <w:r>
        <w:rPr>
          <w:rFonts w:hint="eastAsia" w:eastAsia="仿宋_GB2312"/>
          <w:sz w:val="24"/>
        </w:rPr>
        <w:t>辨识指标；</w:t>
      </w:r>
    </w:p>
    <w:p>
      <w:pPr>
        <w:adjustRightInd w:val="0"/>
        <w:snapToGrid w:val="0"/>
        <w:spacing w:before="120" w:beforeLines="50" w:line="360" w:lineRule="auto"/>
        <w:ind w:firstLine="480" w:firstLineChars="200"/>
        <w:rPr>
          <w:rFonts w:ascii="仿宋" w:hAnsi="仿宋" w:eastAsia="仿宋"/>
          <w:sz w:val="24"/>
        </w:rPr>
      </w:pPr>
      <w:r>
        <w:rPr>
          <w:rFonts w:hint="eastAsia" w:eastAsia="仿宋_GB2312"/>
          <w:sz w:val="24"/>
        </w:rPr>
        <w:t>q</w:t>
      </w:r>
      <w:r>
        <w:rPr>
          <w:rFonts w:eastAsia="仿宋_GB2312"/>
          <w:sz w:val="24"/>
          <w:vertAlign w:val="subscript"/>
        </w:rPr>
        <w:t>1</w:t>
      </w:r>
      <w:r>
        <w:rPr>
          <w:rFonts w:hint="eastAsia" w:eastAsia="仿宋_GB2312"/>
          <w:sz w:val="24"/>
        </w:rPr>
        <w:t>，q</w:t>
      </w:r>
      <w:r>
        <w:rPr>
          <w:rFonts w:eastAsia="仿宋_GB2312"/>
          <w:sz w:val="24"/>
          <w:vertAlign w:val="subscript"/>
        </w:rPr>
        <w:t>2</w:t>
      </w:r>
      <w:r>
        <w:rPr>
          <w:rFonts w:hint="eastAsia" w:eastAsia="仿宋_GB2312"/>
          <w:sz w:val="24"/>
        </w:rPr>
        <w:t>，</w:t>
      </w:r>
      <w:r>
        <w:rPr>
          <w:rFonts w:hint="eastAsia" w:ascii="仿宋" w:hAnsi="仿宋" w:eastAsia="仿宋"/>
          <w:sz w:val="24"/>
        </w:rPr>
        <w:t>…</w:t>
      </w:r>
      <w:r>
        <w:rPr>
          <w:rFonts w:hint="eastAsia" w:eastAsia="仿宋_GB2312"/>
          <w:sz w:val="24"/>
        </w:rPr>
        <w:t>q</w:t>
      </w:r>
      <w:r>
        <w:rPr>
          <w:rFonts w:eastAsia="仿宋_GB2312"/>
          <w:sz w:val="24"/>
          <w:vertAlign w:val="subscript"/>
        </w:rPr>
        <w:t>3</w:t>
      </w:r>
      <w:r>
        <w:rPr>
          <w:rFonts w:hint="eastAsia" w:ascii="仿宋" w:hAnsi="仿宋" w:eastAsia="仿宋"/>
          <w:sz w:val="24"/>
        </w:rPr>
        <w:t>-----每种危险化学品的实际存在量，单位为吨（t）；</w:t>
      </w:r>
    </w:p>
    <w:p>
      <w:pPr>
        <w:adjustRightInd w:val="0"/>
        <w:snapToGrid w:val="0"/>
        <w:spacing w:before="120" w:beforeLines="50" w:line="360" w:lineRule="auto"/>
        <w:ind w:firstLine="480" w:firstLineChars="200"/>
        <w:rPr>
          <w:rFonts w:eastAsia="仿宋_GB2312"/>
          <w:sz w:val="24"/>
        </w:rPr>
      </w:pPr>
      <w:r>
        <w:rPr>
          <w:rFonts w:hint="eastAsia" w:eastAsia="仿宋_GB2312"/>
          <w:sz w:val="24"/>
        </w:rPr>
        <w:t>Q</w:t>
      </w:r>
      <w:r>
        <w:rPr>
          <w:rFonts w:hint="eastAsia" w:eastAsia="仿宋_GB2312"/>
          <w:sz w:val="24"/>
          <w:vertAlign w:val="subscript"/>
        </w:rPr>
        <w:t>1</w:t>
      </w:r>
      <w:r>
        <w:rPr>
          <w:rFonts w:hint="eastAsia" w:eastAsia="仿宋_GB2312"/>
          <w:sz w:val="24"/>
        </w:rPr>
        <w:t>，Q</w:t>
      </w:r>
      <w:r>
        <w:rPr>
          <w:rFonts w:hint="eastAsia" w:eastAsia="仿宋_GB2312"/>
          <w:sz w:val="24"/>
          <w:vertAlign w:val="subscript"/>
        </w:rPr>
        <w:t>2</w:t>
      </w:r>
      <w:r>
        <w:rPr>
          <w:rFonts w:hint="eastAsia" w:eastAsia="仿宋_GB2312"/>
          <w:sz w:val="24"/>
        </w:rPr>
        <w:t>，</w:t>
      </w:r>
      <w:r>
        <w:rPr>
          <w:rFonts w:hint="eastAsia" w:ascii="仿宋" w:hAnsi="仿宋" w:eastAsia="仿宋"/>
          <w:sz w:val="24"/>
        </w:rPr>
        <w:t>…</w:t>
      </w:r>
      <w:r>
        <w:rPr>
          <w:rFonts w:hint="eastAsia" w:eastAsia="仿宋_GB2312"/>
          <w:sz w:val="24"/>
        </w:rPr>
        <w:t>Q</w:t>
      </w:r>
      <w:r>
        <w:rPr>
          <w:rFonts w:hint="eastAsia" w:eastAsia="仿宋_GB2312"/>
          <w:sz w:val="24"/>
          <w:vertAlign w:val="subscript"/>
        </w:rPr>
        <w:t>3</w:t>
      </w:r>
      <w:r>
        <w:rPr>
          <w:rFonts w:hint="eastAsia" w:ascii="仿宋" w:hAnsi="仿宋" w:eastAsia="仿宋"/>
          <w:sz w:val="24"/>
        </w:rPr>
        <w:t>-----与每种危险化学品相对应的临界量,单位为吨（t）。</w:t>
      </w:r>
    </w:p>
    <w:p>
      <w:pPr>
        <w:adjustRightInd w:val="0"/>
        <w:snapToGrid w:val="0"/>
        <w:spacing w:before="120" w:beforeLines="50" w:line="360" w:lineRule="auto"/>
        <w:ind w:firstLine="480" w:firstLineChars="200"/>
        <w:rPr>
          <w:rFonts w:eastAsia="仿宋_GB2312"/>
          <w:sz w:val="24"/>
        </w:rPr>
      </w:pPr>
      <w:r>
        <w:rPr>
          <w:rFonts w:hint="eastAsia" w:ascii="仿宋" w:hAnsi="仿宋" w:eastAsia="仿宋"/>
          <w:sz w:val="24"/>
        </w:rPr>
        <w:t>③</w:t>
      </w:r>
      <w:r>
        <w:rPr>
          <w:rFonts w:hint="eastAsia" w:eastAsia="仿宋_GB2312"/>
          <w:sz w:val="24"/>
        </w:rPr>
        <w:t>辨识结果</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仿宋_GB2312" w:eastAsia="仿宋_GB2312"/>
          <w:sz w:val="24"/>
          <w:szCs w:val="24"/>
          <w:lang w:eastAsia="zh-CN"/>
        </w:rPr>
      </w:pPr>
      <w:r>
        <w:rPr>
          <w:rFonts w:hint="eastAsia" w:ascii="仿宋_GB2312" w:eastAsia="仿宋_GB2312"/>
          <w:sz w:val="24"/>
          <w:szCs w:val="24"/>
        </w:rPr>
        <w:t>根据《危险化学品重大危险源辨识》（GB18218-2018）和《建设项目环境风险评价技术导则》（HJ/T169－2004）附录 A中的辨别方法，对</w:t>
      </w:r>
      <w:r>
        <w:rPr>
          <w:rFonts w:hint="eastAsia" w:ascii="仿宋_GB2312" w:eastAsia="仿宋_GB2312"/>
          <w:sz w:val="24"/>
          <w:szCs w:val="24"/>
          <w:lang w:val="en-US" w:eastAsia="zh-CN"/>
        </w:rPr>
        <w:t>公司</w:t>
      </w:r>
      <w:r>
        <w:rPr>
          <w:rFonts w:hint="eastAsia" w:ascii="仿宋_GB2312" w:eastAsia="仿宋_GB2312"/>
          <w:sz w:val="24"/>
          <w:szCs w:val="24"/>
        </w:rPr>
        <w:t>危险化学品进行辨识</w:t>
      </w:r>
      <w:r>
        <w:rPr>
          <w:rFonts w:hint="eastAsia" w:ascii="仿宋_GB2312" w:eastAsia="仿宋_GB2312"/>
          <w:sz w:val="24"/>
          <w:szCs w:val="24"/>
          <w:lang w:eastAsia="zh-CN"/>
        </w:rPr>
        <w:t>：</w:t>
      </w:r>
    </w:p>
    <w:p>
      <w:pPr>
        <w:adjustRightInd w:val="0"/>
        <w:snapToGrid w:val="0"/>
        <w:spacing w:line="360" w:lineRule="auto"/>
        <w:ind w:firstLine="422" w:firstLineChars="200"/>
        <w:jc w:val="center"/>
        <w:rPr>
          <w:rFonts w:hint="eastAsia" w:ascii="Times New Roman" w:hAnsi="Times New Roman" w:eastAsia="仿宋_GB2312" w:cs="Times New Roman"/>
          <w:b/>
          <w:szCs w:val="21"/>
        </w:rPr>
      </w:pPr>
      <w:r>
        <w:rPr>
          <w:rFonts w:hint="eastAsia" w:ascii="Times New Roman" w:hAnsi="Times New Roman" w:eastAsia="仿宋_GB2312" w:cs="Times New Roman"/>
          <w:b/>
          <w:szCs w:val="21"/>
        </w:rPr>
        <w:t>表</w:t>
      </w:r>
      <w:r>
        <w:rPr>
          <w:rFonts w:hint="eastAsia" w:ascii="Times New Roman" w:hAnsi="Times New Roman" w:eastAsia="仿宋_GB2312" w:cs="Times New Roman"/>
          <w:b/>
          <w:szCs w:val="21"/>
          <w:lang w:val="en-US" w:eastAsia="zh-CN"/>
        </w:rPr>
        <w:t>2</w:t>
      </w:r>
      <w:r>
        <w:rPr>
          <w:rFonts w:hint="eastAsia" w:ascii="Times New Roman" w:hAnsi="Times New Roman" w:eastAsia="仿宋_GB2312" w:cs="Times New Roman"/>
          <w:b/>
          <w:szCs w:val="21"/>
        </w:rPr>
        <w:t>.</w:t>
      </w:r>
      <w:r>
        <w:rPr>
          <w:rFonts w:hint="eastAsia" w:ascii="Times New Roman" w:hAnsi="Times New Roman" w:eastAsia="仿宋_GB2312" w:cs="Times New Roman"/>
          <w:b/>
          <w:szCs w:val="21"/>
          <w:lang w:val="en-US" w:eastAsia="zh-CN"/>
        </w:rPr>
        <w:t xml:space="preserve">7-4 </w:t>
      </w:r>
      <w:r>
        <w:rPr>
          <w:rFonts w:hint="eastAsia" w:ascii="Times New Roman" w:hAnsi="Times New Roman" w:eastAsia="仿宋_GB2312" w:cs="Times New Roman"/>
          <w:b/>
          <w:szCs w:val="21"/>
        </w:rPr>
        <w:t xml:space="preserve"> 危险化学品重大危险源识别</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1486"/>
        <w:gridCol w:w="2760"/>
        <w:gridCol w:w="1329"/>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242"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eastAsia" w:ascii="宋体" w:hAnsi="宋体" w:eastAsia="宋体" w:cs="宋体"/>
                <w:b/>
                <w:bCs/>
                <w:color w:val="000000"/>
                <w:sz w:val="21"/>
                <w:szCs w:val="21"/>
                <w:lang w:bidi="ar"/>
              </w:rPr>
            </w:pPr>
            <w:r>
              <w:rPr>
                <w:rFonts w:hint="eastAsia" w:ascii="宋体" w:hAnsi="宋体" w:eastAsia="宋体" w:cs="宋体"/>
                <w:b/>
                <w:bCs/>
                <w:sz w:val="21"/>
                <w:szCs w:val="21"/>
              </w:rPr>
              <w:t>序号</w:t>
            </w:r>
          </w:p>
        </w:tc>
        <w:tc>
          <w:tcPr>
            <w:tcW w:w="1486"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eastAsia" w:ascii="宋体" w:hAnsi="宋体" w:eastAsia="宋体" w:cs="宋体"/>
                <w:b/>
                <w:bCs/>
                <w:color w:val="000000"/>
                <w:sz w:val="21"/>
                <w:szCs w:val="21"/>
                <w:lang w:bidi="ar"/>
              </w:rPr>
            </w:pPr>
            <w:r>
              <w:rPr>
                <w:rFonts w:hint="eastAsia" w:ascii="宋体" w:hAnsi="宋体" w:eastAsia="宋体" w:cs="宋体"/>
                <w:b/>
                <w:bCs/>
                <w:sz w:val="21"/>
                <w:szCs w:val="21"/>
              </w:rPr>
              <w:t>名称</w:t>
            </w:r>
          </w:p>
        </w:tc>
        <w:tc>
          <w:tcPr>
            <w:tcW w:w="2760"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eastAsia" w:ascii="宋体" w:hAnsi="宋体" w:eastAsia="宋体" w:cs="宋体"/>
                <w:b/>
                <w:bCs/>
                <w:color w:val="000000"/>
                <w:sz w:val="21"/>
                <w:szCs w:val="21"/>
                <w:lang w:bidi="ar"/>
              </w:rPr>
            </w:pPr>
            <w:r>
              <w:rPr>
                <w:rFonts w:hint="eastAsia" w:ascii="宋体" w:hAnsi="宋体" w:eastAsia="宋体" w:cs="宋体"/>
                <w:b/>
                <w:bCs/>
                <w:sz w:val="21"/>
                <w:szCs w:val="21"/>
              </w:rPr>
              <w:t>最大贮存量/在线量q（t）</w:t>
            </w:r>
          </w:p>
        </w:tc>
        <w:tc>
          <w:tcPr>
            <w:tcW w:w="1329"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eastAsia" w:ascii="宋体" w:hAnsi="宋体" w:eastAsia="宋体" w:cs="宋体"/>
                <w:b/>
                <w:bCs/>
                <w:color w:val="000000"/>
                <w:sz w:val="21"/>
                <w:szCs w:val="21"/>
                <w:lang w:bidi="ar"/>
              </w:rPr>
            </w:pPr>
            <w:r>
              <w:rPr>
                <w:rFonts w:hint="eastAsia" w:ascii="宋体" w:hAnsi="宋体" w:eastAsia="宋体" w:cs="宋体"/>
                <w:b/>
                <w:bCs/>
                <w:sz w:val="21"/>
                <w:szCs w:val="21"/>
              </w:rPr>
              <w:t>临界量Q（t）</w:t>
            </w:r>
          </w:p>
        </w:tc>
        <w:tc>
          <w:tcPr>
            <w:tcW w:w="1705"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eastAsia" w:ascii="宋体" w:hAnsi="宋体" w:eastAsia="宋体" w:cs="宋体"/>
                <w:b/>
                <w:bCs/>
                <w:color w:val="000000"/>
                <w:sz w:val="21"/>
                <w:szCs w:val="21"/>
                <w:lang w:bidi="ar"/>
              </w:rPr>
            </w:pPr>
            <w:r>
              <w:rPr>
                <w:rFonts w:hint="eastAsia" w:ascii="宋体" w:hAnsi="宋体" w:eastAsia="宋体" w:cs="宋体"/>
                <w:b/>
                <w:bCs/>
                <w:sz w:val="21"/>
                <w:szCs w:val="21"/>
              </w:rPr>
              <w:t>q/Q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242"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eastAsia" w:ascii="宋体" w:hAnsi="宋体" w:eastAsia="宋体" w:cs="宋体"/>
                <w:color w:val="000000"/>
                <w:sz w:val="21"/>
                <w:szCs w:val="21"/>
                <w:lang w:val="en-US" w:eastAsia="zh-CN" w:bidi="ar"/>
              </w:rPr>
            </w:pPr>
            <w:r>
              <w:rPr>
                <w:rFonts w:hint="eastAsia" w:ascii="宋体" w:hAnsi="宋体" w:cs="宋体"/>
                <w:color w:val="000000"/>
                <w:sz w:val="21"/>
                <w:szCs w:val="21"/>
                <w:lang w:val="en-US" w:eastAsia="zh-CN" w:bidi="ar"/>
              </w:rPr>
              <w:t>1</w:t>
            </w:r>
          </w:p>
        </w:tc>
        <w:tc>
          <w:tcPr>
            <w:tcW w:w="1486" w:type="dxa"/>
            <w:noWrap w:val="0"/>
            <w:vAlign w:val="top"/>
          </w:tcPr>
          <w:p>
            <w:pPr>
              <w:keepNext w:val="0"/>
              <w:keepLines w:val="0"/>
              <w:pageBreakBefore w:val="0"/>
              <w:widowControl/>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default" w:ascii="宋体" w:hAnsi="宋体" w:eastAsia="宋体" w:cs="宋体"/>
                <w:i w:val="0"/>
                <w:iCs w:val="0"/>
                <w:color w:val="000000"/>
                <w:sz w:val="21"/>
                <w:szCs w:val="21"/>
                <w:u w:val="none"/>
                <w:lang w:val="en-US" w:eastAsia="zh-CN" w:bidi="ar-SA"/>
              </w:rPr>
            </w:pPr>
            <w:r>
              <w:rPr>
                <w:rFonts w:ascii="宋体" w:hAnsi="宋体" w:eastAsia="宋体" w:cs="宋体"/>
                <w:spacing w:val="-5"/>
                <w:sz w:val="21"/>
                <w:szCs w:val="21"/>
              </w:rPr>
              <w:t>氨水</w:t>
            </w:r>
          </w:p>
        </w:tc>
        <w:tc>
          <w:tcPr>
            <w:tcW w:w="2760" w:type="dxa"/>
            <w:noWrap w:val="0"/>
            <w:vAlign w:val="top"/>
          </w:tcPr>
          <w:p>
            <w:pPr>
              <w:keepNext w:val="0"/>
              <w:keepLines w:val="0"/>
              <w:pageBreakBefore w:val="0"/>
              <w:widowControl/>
              <w:kinsoku/>
              <w:wordWrap/>
              <w:overflowPunct/>
              <w:topLinePunct w:val="0"/>
              <w:autoSpaceDE/>
              <w:autoSpaceDN/>
              <w:bidi w:val="0"/>
              <w:adjustRightInd w:val="0"/>
              <w:snapToGrid w:val="0"/>
              <w:spacing w:before="187" w:line="360" w:lineRule="auto"/>
              <w:ind w:firstLine="0" w:firstLineChars="0"/>
              <w:jc w:val="center"/>
              <w:textAlignment w:val="auto"/>
              <w:rPr>
                <w:rFonts w:hint="default" w:ascii="宋体" w:hAnsi="宋体" w:eastAsia="宋体" w:cs="宋体"/>
                <w:i w:val="0"/>
                <w:iCs w:val="0"/>
                <w:color w:val="000000"/>
                <w:sz w:val="21"/>
                <w:szCs w:val="21"/>
                <w:u w:val="none"/>
                <w:lang w:val="en-US" w:eastAsia="zh-CN" w:bidi="ar-SA"/>
              </w:rPr>
            </w:pPr>
            <w:r>
              <w:rPr>
                <w:rFonts w:hint="eastAsia" w:ascii="宋体" w:hAnsi="宋体" w:cs="宋体"/>
                <w:spacing w:val="-3"/>
                <w:sz w:val="21"/>
                <w:szCs w:val="21"/>
                <w:lang w:val="en-US" w:eastAsia="zh-CN"/>
              </w:rPr>
              <w:t>100</w:t>
            </w:r>
          </w:p>
        </w:tc>
        <w:tc>
          <w:tcPr>
            <w:tcW w:w="1329"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default" w:ascii="宋体" w:hAnsi="宋体" w:eastAsia="宋体" w:cs="宋体"/>
                <w:color w:val="000000"/>
                <w:sz w:val="21"/>
                <w:szCs w:val="21"/>
                <w:lang w:val="en-US" w:eastAsia="zh-CN" w:bidi="ar"/>
              </w:rPr>
            </w:pPr>
            <w:r>
              <w:rPr>
                <w:rFonts w:hint="eastAsia" w:ascii="宋体" w:hAnsi="宋体" w:cs="宋体"/>
                <w:color w:val="000000"/>
                <w:sz w:val="21"/>
                <w:szCs w:val="21"/>
                <w:lang w:val="en-US" w:eastAsia="zh-CN" w:bidi="ar"/>
              </w:rPr>
              <w:t>10</w:t>
            </w:r>
          </w:p>
        </w:tc>
        <w:tc>
          <w:tcPr>
            <w:tcW w:w="1705"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default" w:ascii="宋体" w:hAnsi="宋体" w:eastAsia="宋体" w:cs="宋体"/>
                <w:color w:val="000000"/>
                <w:sz w:val="21"/>
                <w:szCs w:val="21"/>
                <w:lang w:val="en-US" w:eastAsia="zh-CN" w:bidi="ar"/>
              </w:rPr>
            </w:pPr>
            <w:r>
              <w:rPr>
                <w:rFonts w:hint="eastAsia" w:ascii="宋体" w:hAnsi="宋体" w:cs="宋体"/>
                <w:color w:val="000000"/>
                <w:sz w:val="21"/>
                <w:szCs w:val="21"/>
                <w:lang w:val="en-US" w:eastAsia="zh-CN"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242"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w:t>
            </w:r>
          </w:p>
        </w:tc>
        <w:tc>
          <w:tcPr>
            <w:tcW w:w="1486" w:type="dxa"/>
            <w:noWrap w:val="0"/>
            <w:vAlign w:val="top"/>
          </w:tcPr>
          <w:p>
            <w:pPr>
              <w:keepNext w:val="0"/>
              <w:keepLines w:val="0"/>
              <w:pageBreakBefore w:val="0"/>
              <w:widowControl/>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eastAsia" w:ascii="宋体" w:hAnsi="宋体" w:eastAsia="宋体" w:cs="宋体"/>
                <w:i w:val="0"/>
                <w:iCs w:val="0"/>
                <w:color w:val="000000"/>
                <w:sz w:val="21"/>
                <w:szCs w:val="21"/>
                <w:u w:val="none"/>
                <w:lang w:val="en-US" w:eastAsia="zh-CN" w:bidi="ar-SA"/>
              </w:rPr>
            </w:pPr>
            <w:r>
              <w:rPr>
                <w:rFonts w:ascii="宋体" w:hAnsi="宋体" w:eastAsia="宋体" w:cs="宋体"/>
                <w:spacing w:val="-6"/>
                <w:sz w:val="21"/>
                <w:szCs w:val="21"/>
              </w:rPr>
              <w:t>硝酸</w:t>
            </w:r>
          </w:p>
        </w:tc>
        <w:tc>
          <w:tcPr>
            <w:tcW w:w="2760" w:type="dxa"/>
            <w:noWrap w:val="0"/>
            <w:vAlign w:val="top"/>
          </w:tcPr>
          <w:p>
            <w:pPr>
              <w:keepNext w:val="0"/>
              <w:keepLines w:val="0"/>
              <w:pageBreakBefore w:val="0"/>
              <w:widowControl/>
              <w:kinsoku/>
              <w:wordWrap/>
              <w:overflowPunct/>
              <w:topLinePunct w:val="0"/>
              <w:autoSpaceDE/>
              <w:autoSpaceDN/>
              <w:bidi w:val="0"/>
              <w:adjustRightInd w:val="0"/>
              <w:snapToGrid w:val="0"/>
              <w:spacing w:before="222" w:line="360" w:lineRule="auto"/>
              <w:ind w:firstLine="0" w:firstLineChars="0"/>
              <w:jc w:val="center"/>
              <w:textAlignment w:val="auto"/>
              <w:rPr>
                <w:rFonts w:hint="eastAsia" w:ascii="宋体" w:hAnsi="宋体" w:eastAsia="宋体" w:cs="宋体"/>
                <w:i w:val="0"/>
                <w:iCs w:val="0"/>
                <w:color w:val="000000"/>
                <w:sz w:val="21"/>
                <w:szCs w:val="21"/>
                <w:u w:val="none"/>
                <w:lang w:val="en-US" w:eastAsia="zh-CN" w:bidi="ar-SA"/>
              </w:rPr>
            </w:pPr>
            <w:r>
              <w:rPr>
                <w:rFonts w:ascii="宋体" w:hAnsi="宋体" w:eastAsia="宋体" w:cs="宋体"/>
                <w:spacing w:val="-3"/>
                <w:sz w:val="21"/>
                <w:szCs w:val="21"/>
              </w:rPr>
              <w:t>0.01</w:t>
            </w:r>
          </w:p>
        </w:tc>
        <w:tc>
          <w:tcPr>
            <w:tcW w:w="1329"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default" w:ascii="宋体" w:hAnsi="宋体" w:eastAsia="宋体" w:cs="宋体"/>
                <w:color w:val="000000"/>
                <w:sz w:val="21"/>
                <w:szCs w:val="21"/>
                <w:lang w:val="en-US" w:eastAsia="zh-CN" w:bidi="ar"/>
              </w:rPr>
            </w:pPr>
            <w:r>
              <w:rPr>
                <w:rFonts w:hint="eastAsia" w:ascii="宋体" w:hAnsi="宋体" w:cs="宋体"/>
                <w:color w:val="000000"/>
                <w:sz w:val="21"/>
                <w:szCs w:val="21"/>
                <w:lang w:val="en-US" w:eastAsia="zh-CN" w:bidi="ar"/>
              </w:rPr>
              <w:t>20</w:t>
            </w:r>
          </w:p>
        </w:tc>
        <w:tc>
          <w:tcPr>
            <w:tcW w:w="1705"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default" w:ascii="宋体" w:hAnsi="宋体" w:eastAsia="宋体" w:cs="宋体"/>
                <w:color w:val="000000"/>
                <w:sz w:val="21"/>
                <w:szCs w:val="21"/>
                <w:lang w:val="en-US" w:eastAsia="zh-CN" w:bidi="ar"/>
              </w:rPr>
            </w:pPr>
            <w:r>
              <w:rPr>
                <w:rFonts w:hint="eastAsia" w:ascii="宋体" w:hAnsi="宋体" w:cs="宋体"/>
                <w:color w:val="000000"/>
                <w:sz w:val="21"/>
                <w:szCs w:val="21"/>
                <w:lang w:val="en-US" w:eastAsia="zh-CN" w:bidi="ar"/>
              </w:rPr>
              <w:t>0.0005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6817" w:type="dxa"/>
            <w:gridSpan w:val="4"/>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eastAsia" w:ascii="宋体" w:hAnsi="宋体" w:eastAsia="宋体" w:cs="宋体"/>
                <w:color w:val="000000"/>
                <w:sz w:val="21"/>
                <w:szCs w:val="21"/>
                <w:lang w:val="en-US" w:eastAsia="zh-CN" w:bidi="ar"/>
              </w:rPr>
            </w:pPr>
            <w:r>
              <w:rPr>
                <w:rFonts w:hint="eastAsia" w:ascii="宋体" w:hAnsi="宋体" w:eastAsia="宋体" w:cs="宋体"/>
                <w:color w:val="000000"/>
                <w:sz w:val="21"/>
                <w:szCs w:val="21"/>
                <w:lang w:val="en-US" w:eastAsia="zh-CN" w:bidi="ar"/>
              </w:rPr>
              <w:t>合计</w:t>
            </w:r>
          </w:p>
        </w:tc>
        <w:tc>
          <w:tcPr>
            <w:tcW w:w="1705" w:type="dxa"/>
            <w:noWrap w:val="0"/>
            <w:vAlign w:val="center"/>
          </w:tcPr>
          <w:p>
            <w:pPr>
              <w:pStyle w:val="70"/>
              <w:keepNext w:val="0"/>
              <w:keepLines w:val="0"/>
              <w:pageBreakBefore w:val="0"/>
              <w:kinsoku/>
              <w:wordWrap/>
              <w:topLinePunct w:val="0"/>
              <w:autoSpaceDE/>
              <w:autoSpaceDN/>
              <w:bidi w:val="0"/>
              <w:adjustRightInd w:val="0"/>
              <w:snapToGrid w:val="0"/>
              <w:spacing w:before="157" w:beforeLines="50" w:after="0" w:line="312" w:lineRule="auto"/>
              <w:jc w:val="center"/>
              <w:rPr>
                <w:rFonts w:hint="default" w:ascii="宋体" w:hAnsi="宋体" w:eastAsia="宋体" w:cs="宋体"/>
                <w:color w:val="000000"/>
                <w:sz w:val="21"/>
                <w:szCs w:val="21"/>
                <w:lang w:val="en-US" w:eastAsia="zh-CN" w:bidi="ar"/>
              </w:rPr>
            </w:pPr>
            <w:r>
              <w:rPr>
                <w:rFonts w:hint="eastAsia" w:ascii="宋体" w:hAnsi="宋体" w:cs="宋体"/>
                <w:color w:val="000000"/>
                <w:sz w:val="21"/>
                <w:szCs w:val="21"/>
                <w:lang w:val="en-US" w:eastAsia="zh-CN" w:bidi="ar"/>
              </w:rPr>
              <w:t>10.0005</w:t>
            </w:r>
          </w:p>
        </w:tc>
      </w:tr>
    </w:tbl>
    <w:p>
      <w:pPr>
        <w:keepNext w:val="0"/>
        <w:keepLines w:val="0"/>
        <w:pageBreakBefore w:val="0"/>
        <w:widowControl w:val="0"/>
        <w:kinsoku/>
        <w:wordWrap/>
        <w:overflowPunct/>
        <w:topLinePunct w:val="0"/>
        <w:autoSpaceDE/>
        <w:autoSpaceDN/>
        <w:bidi w:val="0"/>
        <w:adjustRightInd w:val="0"/>
        <w:snapToGrid w:val="0"/>
        <w:spacing w:before="313" w:beforeLines="100" w:line="360" w:lineRule="auto"/>
        <w:ind w:firstLine="480" w:firstLineChars="200"/>
        <w:textAlignment w:val="auto"/>
        <w:rPr>
          <w:rFonts w:hint="default" w:ascii="仿宋_GB2312" w:hAnsi="Times New Roman" w:eastAsia="仿宋_GB2312" w:cs="Times New Roman"/>
          <w:sz w:val="24"/>
          <w:szCs w:val="24"/>
          <w:lang w:val="en-US" w:eastAsia="zh-CN"/>
        </w:rPr>
      </w:pPr>
      <w:r>
        <w:rPr>
          <w:rFonts w:hint="default" w:ascii="仿宋_GB2312" w:hAnsi="Times New Roman" w:eastAsia="仿宋_GB2312" w:cs="Times New Roman"/>
          <w:sz w:val="24"/>
          <w:szCs w:val="24"/>
        </w:rPr>
        <w:t>对企业危险化学品进行辨识为</w:t>
      </w:r>
      <w:r>
        <w:rPr>
          <w:rFonts w:hint="eastAsia" w:ascii="仿宋_GB2312" w:eastAsia="仿宋_GB2312" w:cs="Times New Roman"/>
          <w:sz w:val="24"/>
          <w:szCs w:val="24"/>
          <w:lang w:val="en-US" w:eastAsia="zh-CN"/>
        </w:rPr>
        <w:t>10.0005＞</w:t>
      </w:r>
      <w:r>
        <w:rPr>
          <w:rFonts w:hint="eastAsia" w:ascii="仿宋_GB2312" w:hAnsi="Times New Roman" w:eastAsia="仿宋_GB2312" w:cs="Times New Roman"/>
          <w:sz w:val="24"/>
          <w:szCs w:val="24"/>
        </w:rPr>
        <w:t>1</w:t>
      </w:r>
      <w:r>
        <w:rPr>
          <w:rFonts w:hint="default" w:ascii="仿宋_GB2312" w:hAnsi="Times New Roman" w:eastAsia="仿宋_GB2312" w:cs="Times New Roman"/>
          <w:sz w:val="24"/>
          <w:szCs w:val="24"/>
        </w:rPr>
        <w:t>，</w:t>
      </w:r>
      <w:r>
        <w:rPr>
          <w:rFonts w:hint="default" w:ascii="仿宋_GB2312" w:hAnsi="Times New Roman" w:eastAsia="仿宋_GB2312" w:cs="Times New Roman"/>
          <w:sz w:val="24"/>
          <w:szCs w:val="24"/>
          <w:lang w:val="en-US" w:eastAsia="zh-CN"/>
        </w:rPr>
        <w:t>故本</w:t>
      </w:r>
      <w:r>
        <w:rPr>
          <w:rFonts w:hint="eastAsia" w:ascii="仿宋_GB2312" w:hAnsi="Times New Roman" w:eastAsia="仿宋_GB2312" w:cs="Times New Roman"/>
          <w:sz w:val="24"/>
          <w:szCs w:val="24"/>
          <w:lang w:val="en-US" w:eastAsia="zh-CN"/>
        </w:rPr>
        <w:t>公司</w:t>
      </w:r>
      <w:r>
        <w:rPr>
          <w:rFonts w:hint="eastAsia" w:ascii="仿宋_GB2312" w:eastAsia="仿宋_GB2312" w:cs="Times New Roman"/>
          <w:sz w:val="24"/>
          <w:szCs w:val="24"/>
          <w:lang w:val="en-US" w:eastAsia="zh-CN"/>
        </w:rPr>
        <w:t>氨水储罐构成</w:t>
      </w:r>
      <w:r>
        <w:rPr>
          <w:rFonts w:hint="default" w:ascii="仿宋_GB2312" w:hAnsi="Times New Roman" w:eastAsia="仿宋_GB2312" w:cs="Times New Roman"/>
          <w:sz w:val="24"/>
          <w:szCs w:val="24"/>
          <w:lang w:val="en-US" w:eastAsia="zh-CN"/>
        </w:rPr>
        <w:t>重大危险源。</w:t>
      </w:r>
    </w:p>
    <w:p>
      <w:pPr>
        <w:spacing w:before="240" w:beforeLines="100" w:line="360" w:lineRule="auto"/>
        <w:outlineLvl w:val="1"/>
        <w:rPr>
          <w:b/>
          <w:sz w:val="30"/>
          <w:szCs w:val="30"/>
        </w:rPr>
      </w:pPr>
      <w:bookmarkStart w:id="49" w:name="_Toc26728"/>
      <w:r>
        <w:rPr>
          <w:rFonts w:hint="eastAsia"/>
          <w:b/>
          <w:sz w:val="30"/>
          <w:szCs w:val="30"/>
        </w:rPr>
        <w:t>2</w:t>
      </w:r>
      <w:r>
        <w:rPr>
          <w:b/>
          <w:sz w:val="30"/>
          <w:szCs w:val="30"/>
        </w:rPr>
        <w:t>.</w:t>
      </w:r>
      <w:r>
        <w:rPr>
          <w:rFonts w:hint="eastAsia"/>
          <w:b/>
          <w:sz w:val="30"/>
          <w:szCs w:val="30"/>
        </w:rPr>
        <w:t>8环境风险单元</w:t>
      </w:r>
      <w:bookmarkEnd w:id="49"/>
    </w:p>
    <w:p>
      <w:pPr>
        <w:pStyle w:val="2"/>
        <w:spacing w:line="360" w:lineRule="auto"/>
        <w:ind w:firstLine="480" w:firstLineChars="200"/>
        <w:rPr>
          <w:rFonts w:hint="eastAsia" w:ascii="Times New Roman" w:eastAsia="仿宋_GB2312" w:cs="Times New Roman"/>
          <w:lang w:val="en-US" w:eastAsia="zh-CN"/>
        </w:rPr>
      </w:pPr>
      <w:r>
        <w:rPr>
          <w:rFonts w:hint="eastAsia" w:eastAsia="仿宋_GB2312"/>
        </w:rPr>
        <w:t>根据生产流程、功能与环境风险物质分布，</w:t>
      </w:r>
      <w:r>
        <w:rPr>
          <w:rFonts w:hint="eastAsia" w:eastAsia="仿宋_GB2312"/>
          <w:lang w:eastAsia="zh-CN"/>
        </w:rPr>
        <w:t>翁源县中源发展有限公司</w:t>
      </w:r>
      <w:r>
        <w:rPr>
          <w:rFonts w:hint="eastAsia" w:ascii="Times New Roman" w:eastAsia="仿宋_GB2312" w:cs="Times New Roman"/>
        </w:rPr>
        <w:t>风险单元有生产车间、</w:t>
      </w:r>
      <w:r>
        <w:rPr>
          <w:rFonts w:hint="eastAsia" w:ascii="Times New Roman" w:eastAsia="仿宋_GB2312" w:cs="Times New Roman"/>
          <w:lang w:val="en-US" w:eastAsia="zh-CN"/>
        </w:rPr>
        <w:t>危险化学品仓库、危废暂存间、污水处理站以及废气治理设施。</w:t>
      </w:r>
    </w:p>
    <w:p>
      <w:pPr>
        <w:spacing w:before="240" w:beforeLines="100" w:line="360" w:lineRule="auto"/>
        <w:outlineLvl w:val="1"/>
        <w:rPr>
          <w:b/>
          <w:sz w:val="30"/>
          <w:szCs w:val="30"/>
        </w:rPr>
      </w:pPr>
      <w:bookmarkStart w:id="50" w:name="_Toc20575"/>
      <w:r>
        <w:rPr>
          <w:rFonts w:hint="eastAsia"/>
          <w:b/>
          <w:sz w:val="30"/>
          <w:szCs w:val="30"/>
        </w:rPr>
        <w:t>2</w:t>
      </w:r>
      <w:r>
        <w:rPr>
          <w:b/>
          <w:sz w:val="30"/>
          <w:szCs w:val="30"/>
        </w:rPr>
        <w:t>.</w:t>
      </w:r>
      <w:r>
        <w:rPr>
          <w:rFonts w:hint="eastAsia"/>
          <w:b/>
          <w:sz w:val="30"/>
          <w:szCs w:val="30"/>
        </w:rPr>
        <w:t>9历史事故分析</w:t>
      </w:r>
      <w:bookmarkEnd w:id="50"/>
    </w:p>
    <w:p>
      <w:pPr>
        <w:spacing w:before="120" w:beforeLines="50" w:line="360" w:lineRule="auto"/>
        <w:ind w:firstLine="480" w:firstLineChars="200"/>
        <w:rPr>
          <w:rFonts w:hint="default" w:ascii="仿宋_GB2312" w:hAnsi="仿宋_GB2312" w:eastAsia="仿宋_GB2312" w:cs="仿宋_GB2312"/>
          <w:b w:val="0"/>
          <w:bCs w:val="0"/>
          <w:sz w:val="24"/>
          <w:lang w:val="en-US" w:eastAsia="zh-CN"/>
        </w:rPr>
      </w:pPr>
      <w:r>
        <w:rPr>
          <w:rFonts w:hint="eastAsia" w:eastAsia="仿宋_GB2312"/>
          <w:sz w:val="24"/>
          <w:lang w:val="zh-CN"/>
        </w:rPr>
        <w:t>翁源县中源发展有限公司</w:t>
      </w:r>
      <w:r>
        <w:rPr>
          <w:rFonts w:hint="eastAsia" w:eastAsia="仿宋_GB2312"/>
          <w:sz w:val="24"/>
          <w:lang w:val="en-US" w:eastAsia="zh-CN"/>
        </w:rPr>
        <w:t>近三年没有出现过废水、废气事故性排放事故以及泄漏、火灾爆炸事故。</w:t>
      </w:r>
    </w:p>
    <w:p>
      <w:pPr>
        <w:spacing w:before="240" w:beforeLines="100" w:line="360" w:lineRule="auto"/>
        <w:outlineLvl w:val="1"/>
        <w:rPr>
          <w:b/>
          <w:sz w:val="30"/>
          <w:szCs w:val="30"/>
        </w:rPr>
      </w:pPr>
      <w:bookmarkStart w:id="51" w:name="_Toc14790"/>
      <w:r>
        <w:rPr>
          <w:rFonts w:hint="eastAsia"/>
          <w:b/>
          <w:sz w:val="30"/>
          <w:szCs w:val="30"/>
        </w:rPr>
        <w:t>2</w:t>
      </w:r>
      <w:r>
        <w:rPr>
          <w:b/>
          <w:sz w:val="30"/>
          <w:szCs w:val="30"/>
        </w:rPr>
        <w:t>.</w:t>
      </w:r>
      <w:r>
        <w:rPr>
          <w:rFonts w:hint="eastAsia"/>
          <w:b/>
          <w:sz w:val="30"/>
          <w:szCs w:val="30"/>
        </w:rPr>
        <w:t>10环境风险防范措施</w:t>
      </w:r>
      <w:bookmarkEnd w:id="51"/>
    </w:p>
    <w:p>
      <w:pPr>
        <w:spacing w:before="120" w:beforeLines="50" w:line="360" w:lineRule="auto"/>
        <w:ind w:firstLine="480" w:firstLineChars="200"/>
        <w:rPr>
          <w:rFonts w:eastAsia="仿宋_GB2312"/>
          <w:sz w:val="24"/>
        </w:rPr>
      </w:pPr>
      <w:r>
        <w:rPr>
          <w:rFonts w:hint="eastAsia" w:eastAsia="仿宋_GB2312"/>
          <w:sz w:val="24"/>
        </w:rPr>
        <w:t>根据相关技术规范与管理要求，企业现有环境风险防控主要分为二级：</w:t>
      </w:r>
    </w:p>
    <w:p>
      <w:pPr>
        <w:spacing w:before="120" w:beforeLines="50" w:line="360" w:lineRule="auto"/>
        <w:ind w:firstLine="480" w:firstLineChars="200"/>
        <w:rPr>
          <w:rFonts w:eastAsia="仿宋_GB2312"/>
          <w:sz w:val="24"/>
        </w:rPr>
      </w:pPr>
      <w:r>
        <w:rPr>
          <w:rFonts w:hint="eastAsia" w:eastAsia="仿宋_GB2312"/>
          <w:sz w:val="24"/>
        </w:rPr>
        <w:t>一级防控为沙土、消防沙袋，危险化学品仓库墙边四周设置防泄漏沟，连接收集池，当风险源发生突发环境事件时，小规模泄露可用沙土收集，大规模的泄漏则排至事故应急池。</w:t>
      </w:r>
    </w:p>
    <w:p>
      <w:pPr>
        <w:spacing w:before="120" w:beforeLines="50" w:line="360" w:lineRule="auto"/>
        <w:ind w:firstLine="480" w:firstLineChars="200"/>
        <w:rPr>
          <w:rFonts w:eastAsia="仿宋_GB2312"/>
          <w:sz w:val="24"/>
        </w:rPr>
      </w:pPr>
      <w:r>
        <w:rPr>
          <w:rFonts w:hint="eastAsia" w:eastAsia="仿宋_GB2312"/>
          <w:sz w:val="24"/>
        </w:rPr>
        <w:t>二级防控为事故应急池，发生危险源泄漏或者火灾产生的消防水时，排至事故应急池，关闭事故应急池排放口阀门，待处理合格后排入</w:t>
      </w:r>
      <w:r>
        <w:rPr>
          <w:rFonts w:hint="eastAsia" w:eastAsia="仿宋_GB2312"/>
          <w:sz w:val="24"/>
          <w:lang w:val="en-US" w:eastAsia="zh-CN"/>
        </w:rPr>
        <w:t>外界水体</w:t>
      </w:r>
      <w:r>
        <w:rPr>
          <w:rFonts w:hint="eastAsia" w:eastAsia="仿宋_GB2312"/>
          <w:sz w:val="24"/>
        </w:rPr>
        <w:t>或者外运合理处置。</w:t>
      </w:r>
    </w:p>
    <w:p>
      <w:pPr>
        <w:snapToGrid w:val="0"/>
        <w:spacing w:before="120" w:beforeLines="50" w:line="360" w:lineRule="auto"/>
        <w:ind w:firstLine="480" w:firstLineChars="200"/>
        <w:rPr>
          <w:rFonts w:eastAsia="仿宋_GB2312"/>
          <w:sz w:val="24"/>
        </w:rPr>
      </w:pPr>
      <w:r>
        <w:rPr>
          <w:rFonts w:hint="eastAsia" w:eastAsia="仿宋_GB2312"/>
          <w:sz w:val="24"/>
        </w:rPr>
        <w:t>公司目前针对各风险源设置的风险防范措施见下表：</w:t>
      </w:r>
    </w:p>
    <w:p>
      <w:pPr>
        <w:snapToGrid w:val="0"/>
        <w:spacing w:before="120" w:beforeLines="50" w:line="360" w:lineRule="auto"/>
        <w:jc w:val="center"/>
        <w:rPr>
          <w:rFonts w:hint="eastAsia" w:eastAsia="仿宋_GB2312"/>
          <w:b/>
          <w:szCs w:val="21"/>
        </w:rPr>
      </w:pPr>
      <w:r>
        <w:rPr>
          <w:rFonts w:hint="eastAsia" w:eastAsia="仿宋_GB2312"/>
          <w:b/>
          <w:szCs w:val="21"/>
        </w:rPr>
        <w:t>表2.10-1</w:t>
      </w:r>
      <w:r>
        <w:rPr>
          <w:rFonts w:eastAsia="仿宋_GB2312"/>
          <w:b/>
          <w:szCs w:val="21"/>
        </w:rPr>
        <w:t xml:space="preserve">  </w:t>
      </w:r>
      <w:r>
        <w:rPr>
          <w:rFonts w:hint="eastAsia" w:eastAsia="仿宋_GB2312"/>
          <w:b/>
          <w:szCs w:val="21"/>
        </w:rPr>
        <w:t>各主要环境风险源预防措施</w:t>
      </w:r>
    </w:p>
    <w:tbl>
      <w:tblPr>
        <w:tblStyle w:val="98"/>
        <w:tblW w:w="8402"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29"/>
        <w:gridCol w:w="697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trPr>
        <w:tc>
          <w:tcPr>
            <w:tcW w:w="1429" w:type="dxa"/>
            <w:tcBorders>
              <w:top w:val="single" w:color="000000" w:sz="2" w:space="0"/>
              <w:left w:val="single" w:color="000000" w:sz="2" w:space="0"/>
            </w:tcBorders>
            <w:vAlign w:val="top"/>
          </w:tcPr>
          <w:p>
            <w:pPr>
              <w:keepNext w:val="0"/>
              <w:keepLines w:val="0"/>
              <w:pageBreakBefore w:val="0"/>
              <w:widowControl w:val="0"/>
              <w:kinsoku/>
              <w:wordWrap/>
              <w:overflowPunct/>
              <w:topLinePunct w:val="0"/>
              <w:autoSpaceDE/>
              <w:autoSpaceDN/>
              <w:bidi w:val="0"/>
              <w:adjustRightInd/>
              <w:snapToGrid/>
              <w:spacing w:line="288" w:lineRule="auto"/>
              <w:ind w:firstLine="0"/>
              <w:jc w:val="center"/>
              <w:textAlignment w:val="auto"/>
              <w:rPr>
                <w:rFonts w:hint="eastAsia" w:ascii="宋体" w:hAnsi="宋体" w:eastAsia="宋体" w:cs="宋体"/>
                <w:sz w:val="21"/>
                <w:szCs w:val="21"/>
              </w:rPr>
            </w:pPr>
            <w:r>
              <w:rPr>
                <w:rFonts w:hint="eastAsia" w:ascii="宋体" w:hAnsi="宋体" w:eastAsia="宋体" w:cs="宋体"/>
                <w:spacing w:val="-5"/>
                <w:sz w:val="21"/>
                <w:szCs w:val="21"/>
                <w14:textOutline w14:w="3795" w14:cap="sq" w14:cmpd="sng">
                  <w14:solidFill>
                    <w14:srgbClr w14:val="000000"/>
                  </w14:solidFill>
                  <w14:prstDash w14:val="solid"/>
                  <w14:bevel/>
                </w14:textOutline>
              </w:rPr>
              <w:t>防范区域</w:t>
            </w:r>
          </w:p>
        </w:tc>
        <w:tc>
          <w:tcPr>
            <w:tcW w:w="6973" w:type="dxa"/>
            <w:tcBorders>
              <w:top w:val="single" w:color="000000" w:sz="2" w:space="0"/>
              <w:right w:val="single" w:color="000000" w:sz="2" w:space="0"/>
            </w:tcBorders>
            <w:vAlign w:val="top"/>
          </w:tcPr>
          <w:p>
            <w:pPr>
              <w:spacing w:before="178" w:line="184" w:lineRule="auto"/>
              <w:ind w:firstLine="2595"/>
              <w:rPr>
                <w:rFonts w:hint="eastAsia" w:ascii="宋体" w:hAnsi="宋体" w:eastAsia="宋体" w:cs="宋体"/>
                <w:sz w:val="21"/>
                <w:szCs w:val="21"/>
              </w:rPr>
            </w:pPr>
            <w:r>
              <w:rPr>
                <w:rFonts w:hint="eastAsia" w:ascii="宋体" w:hAnsi="宋体" w:eastAsia="宋体" w:cs="宋体"/>
                <w:spacing w:val="-5"/>
                <w:sz w:val="21"/>
                <w:szCs w:val="21"/>
                <w14:textOutline w14:w="3795" w14:cap="sq" w14:cmpd="sng">
                  <w14:solidFill>
                    <w14:srgbClr w14:val="000000"/>
                  </w14:solidFill>
                  <w14:prstDash w14:val="solid"/>
                  <w14:bevel/>
                </w14:textOutline>
              </w:rPr>
              <w:t>防范措施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87" w:hRule="atLeast"/>
        </w:trPr>
        <w:tc>
          <w:tcPr>
            <w:tcW w:w="1429" w:type="dxa"/>
            <w:tcBorders>
              <w:left w:val="single" w:color="000000" w:sz="2" w:space="0"/>
            </w:tcBorders>
            <w:vAlign w:val="top"/>
          </w:tcPr>
          <w:p>
            <w:pPr>
              <w:keepNext w:val="0"/>
              <w:keepLines w:val="0"/>
              <w:pageBreakBefore w:val="0"/>
              <w:widowControl w:val="0"/>
              <w:kinsoku/>
              <w:wordWrap/>
              <w:overflowPunct/>
              <w:topLinePunct w:val="0"/>
              <w:autoSpaceDE/>
              <w:autoSpaceDN/>
              <w:bidi w:val="0"/>
              <w:adjustRightInd/>
              <w:snapToGrid/>
              <w:spacing w:line="288" w:lineRule="auto"/>
              <w:ind w:firstLine="0"/>
              <w:jc w:val="center"/>
              <w:textAlignment w:val="auto"/>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288" w:lineRule="auto"/>
              <w:ind w:firstLine="0"/>
              <w:jc w:val="center"/>
              <w:textAlignment w:val="auto"/>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288" w:lineRule="auto"/>
              <w:ind w:firstLine="0"/>
              <w:jc w:val="center"/>
              <w:textAlignment w:val="auto"/>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288" w:lineRule="auto"/>
              <w:ind w:firstLine="0"/>
              <w:jc w:val="center"/>
              <w:textAlignment w:val="auto"/>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288" w:lineRule="auto"/>
              <w:ind w:firstLine="0"/>
              <w:jc w:val="center"/>
              <w:textAlignment w:val="auto"/>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288" w:lineRule="auto"/>
              <w:ind w:firstLine="0"/>
              <w:jc w:val="center"/>
              <w:textAlignment w:val="auto"/>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288" w:lineRule="auto"/>
              <w:ind w:firstLine="0"/>
              <w:jc w:val="center"/>
              <w:textAlignment w:val="auto"/>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288" w:lineRule="auto"/>
              <w:ind w:firstLine="0"/>
              <w:jc w:val="center"/>
              <w:textAlignment w:val="auto"/>
              <w:rPr>
                <w:rFonts w:hint="eastAsia" w:ascii="宋体" w:hAnsi="宋体" w:eastAsia="宋体" w:cs="宋体"/>
                <w:sz w:val="21"/>
                <w:szCs w:val="21"/>
              </w:rPr>
            </w:pPr>
            <w:r>
              <w:rPr>
                <w:rFonts w:hint="eastAsia" w:ascii="宋体" w:hAnsi="宋体" w:eastAsia="宋体" w:cs="宋体"/>
                <w:spacing w:val="-1"/>
                <w:sz w:val="21"/>
                <w:szCs w:val="21"/>
              </w:rPr>
              <w:t>氨水储罐泄漏防范措施</w:t>
            </w:r>
          </w:p>
        </w:tc>
        <w:tc>
          <w:tcPr>
            <w:tcW w:w="6973" w:type="dxa"/>
            <w:tcBorders>
              <w:right w:val="single" w:color="000000" w:sz="2" w:space="0"/>
            </w:tcBorders>
            <w:vAlign w:val="top"/>
          </w:tcPr>
          <w:p>
            <w:pPr>
              <w:spacing w:before="49" w:line="259" w:lineRule="auto"/>
              <w:ind w:left="110" w:right="43" w:firstLine="5"/>
              <w:rPr>
                <w:rFonts w:hint="eastAsia" w:ascii="宋体" w:hAnsi="宋体" w:eastAsia="宋体" w:cs="宋体"/>
                <w:sz w:val="21"/>
                <w:szCs w:val="21"/>
              </w:rPr>
            </w:pPr>
            <w:r>
              <w:rPr>
                <w:rFonts w:hint="eastAsia" w:ascii="宋体" w:hAnsi="宋体" w:cs="宋体"/>
                <w:spacing w:val="-5"/>
                <w:sz w:val="21"/>
                <w:szCs w:val="21"/>
                <w:lang w:val="en-US" w:eastAsia="zh-CN"/>
              </w:rPr>
              <w:t>1、</w:t>
            </w:r>
            <w:r>
              <w:rPr>
                <w:rFonts w:hint="eastAsia" w:ascii="宋体" w:hAnsi="宋体" w:eastAsia="宋体" w:cs="宋体"/>
                <w:spacing w:val="-5"/>
                <w:sz w:val="21"/>
                <w:szCs w:val="21"/>
              </w:rPr>
              <w:t>设有气体浓度报警系统。设有泄压装置及喷淋装置装置等</w:t>
            </w:r>
            <w:r>
              <w:rPr>
                <w:rFonts w:hint="eastAsia" w:ascii="宋体" w:hAnsi="宋体" w:eastAsia="宋体" w:cs="宋体"/>
                <w:spacing w:val="-6"/>
                <w:sz w:val="21"/>
                <w:szCs w:val="21"/>
              </w:rPr>
              <w:t>设施。配备有过滤式防毒面具（半面罩）</w:t>
            </w:r>
            <w:r>
              <w:rPr>
                <w:rFonts w:hint="eastAsia" w:ascii="宋体" w:hAnsi="宋体" w:eastAsia="宋体" w:cs="宋体"/>
                <w:spacing w:val="22"/>
                <w:sz w:val="21"/>
                <w:szCs w:val="21"/>
              </w:rPr>
              <w:t xml:space="preserve"> </w:t>
            </w:r>
            <w:r>
              <w:rPr>
                <w:rFonts w:hint="eastAsia" w:ascii="宋体" w:hAnsi="宋体" w:eastAsia="宋体" w:cs="宋体"/>
                <w:spacing w:val="-6"/>
                <w:sz w:val="21"/>
                <w:szCs w:val="21"/>
              </w:rPr>
              <w:t>、正压式空气呼吸器、</w:t>
            </w:r>
            <w:r>
              <w:rPr>
                <w:rFonts w:hint="eastAsia" w:ascii="宋体" w:hAnsi="宋体" w:eastAsia="宋体" w:cs="宋体"/>
                <w:sz w:val="21"/>
                <w:szCs w:val="21"/>
              </w:rPr>
              <w:t xml:space="preserve"> </w:t>
            </w:r>
            <w:r>
              <w:rPr>
                <w:rFonts w:hint="eastAsia" w:ascii="宋体" w:hAnsi="宋体" w:eastAsia="宋体" w:cs="宋体"/>
                <w:spacing w:val="-2"/>
                <w:sz w:val="21"/>
                <w:szCs w:val="21"/>
              </w:rPr>
              <w:t>防化服、防静电服、化学安全防护眼镜、橡胶手套等防护用品。</w:t>
            </w:r>
            <w:r>
              <w:rPr>
                <w:rFonts w:hint="eastAsia" w:ascii="宋体" w:hAnsi="宋体" w:eastAsia="宋体" w:cs="宋体"/>
                <w:spacing w:val="15"/>
                <w:sz w:val="21"/>
                <w:szCs w:val="21"/>
              </w:rPr>
              <w:t xml:space="preserve"> </w:t>
            </w:r>
            <w:r>
              <w:rPr>
                <w:rFonts w:hint="eastAsia" w:ascii="宋体" w:hAnsi="宋体" w:eastAsia="宋体" w:cs="宋体"/>
                <w:spacing w:val="-4"/>
                <w:sz w:val="21"/>
                <w:szCs w:val="21"/>
              </w:rPr>
              <w:t>配备有消防栓、干粉灭火器、砂土等消防设施和消防工具。氨水</w:t>
            </w:r>
            <w:r>
              <w:rPr>
                <w:rFonts w:hint="eastAsia" w:ascii="宋体" w:hAnsi="宋体" w:eastAsia="宋体" w:cs="宋体"/>
                <w:spacing w:val="8"/>
                <w:sz w:val="21"/>
                <w:szCs w:val="21"/>
              </w:rPr>
              <w:t xml:space="preserve"> </w:t>
            </w:r>
            <w:r>
              <w:rPr>
                <w:rFonts w:hint="eastAsia" w:ascii="宋体" w:hAnsi="宋体" w:eastAsia="宋体" w:cs="宋体"/>
                <w:spacing w:val="-2"/>
                <w:sz w:val="21"/>
                <w:szCs w:val="21"/>
              </w:rPr>
              <w:t>罐区设置围堰，围堰约</w:t>
            </w:r>
            <w:r>
              <w:rPr>
                <w:rFonts w:hint="eastAsia" w:ascii="宋体" w:hAnsi="宋体" w:eastAsia="宋体" w:cs="宋体"/>
                <w:spacing w:val="-39"/>
                <w:sz w:val="21"/>
                <w:szCs w:val="21"/>
              </w:rPr>
              <w:t xml:space="preserve"> </w:t>
            </w:r>
            <w:r>
              <w:rPr>
                <w:rFonts w:hint="eastAsia" w:ascii="宋体" w:hAnsi="宋体" w:eastAsia="宋体" w:cs="宋体"/>
                <w:spacing w:val="-2"/>
                <w:sz w:val="21"/>
                <w:szCs w:val="21"/>
              </w:rPr>
              <w:t>48</w:t>
            </w:r>
            <w:r>
              <w:rPr>
                <w:rFonts w:hint="eastAsia" w:ascii="宋体" w:hAnsi="宋体" w:eastAsia="宋体" w:cs="宋体"/>
                <w:spacing w:val="-2"/>
                <w:sz w:val="21"/>
                <w:szCs w:val="21"/>
                <w:lang w:val="en-US" w:eastAsia="zh-CN"/>
              </w:rPr>
              <w:t>m³，</w:t>
            </w:r>
            <w:r>
              <w:rPr>
                <w:rFonts w:hint="eastAsia" w:ascii="宋体" w:hAnsi="宋体" w:eastAsia="宋体" w:cs="宋体"/>
                <w:spacing w:val="-2"/>
                <w:sz w:val="21"/>
                <w:szCs w:val="21"/>
              </w:rPr>
              <w:t>设</w:t>
            </w:r>
            <w:r>
              <w:rPr>
                <w:rFonts w:hint="eastAsia" w:ascii="宋体" w:hAnsi="宋体" w:eastAsia="宋体" w:cs="宋体"/>
                <w:spacing w:val="-41"/>
                <w:sz w:val="21"/>
                <w:szCs w:val="21"/>
              </w:rPr>
              <w:t xml:space="preserve"> </w:t>
            </w:r>
            <w:r>
              <w:rPr>
                <w:rFonts w:hint="eastAsia" w:ascii="宋体" w:hAnsi="宋体" w:eastAsia="宋体" w:cs="宋体"/>
                <w:spacing w:val="-2"/>
                <w:sz w:val="21"/>
                <w:szCs w:val="21"/>
              </w:rPr>
              <w:t>80</w:t>
            </w:r>
            <w:r>
              <w:rPr>
                <w:rFonts w:hint="eastAsia" w:ascii="宋体" w:hAnsi="宋体" w:eastAsia="宋体" w:cs="宋体"/>
                <w:spacing w:val="-21"/>
                <w:position w:val="10"/>
                <w:sz w:val="21"/>
                <w:szCs w:val="21"/>
              </w:rPr>
              <w:t xml:space="preserve"> </w:t>
            </w:r>
            <w:r>
              <w:rPr>
                <w:rFonts w:hint="eastAsia" w:ascii="宋体" w:hAnsi="宋体" w:eastAsia="宋体" w:cs="宋体"/>
                <w:spacing w:val="-2"/>
                <w:sz w:val="21"/>
                <w:szCs w:val="21"/>
                <w:lang w:val="en-US" w:eastAsia="zh-CN"/>
              </w:rPr>
              <w:t>m³</w:t>
            </w:r>
            <w:r>
              <w:rPr>
                <w:rFonts w:hint="eastAsia" w:ascii="宋体" w:hAnsi="宋体" w:eastAsia="宋体" w:cs="宋体"/>
                <w:spacing w:val="-2"/>
                <w:sz w:val="21"/>
                <w:szCs w:val="21"/>
              </w:rPr>
              <w:t>事故应急池，用于临时贮存</w:t>
            </w:r>
            <w:r>
              <w:rPr>
                <w:rFonts w:hint="eastAsia" w:ascii="宋体" w:hAnsi="宋体" w:eastAsia="宋体" w:cs="宋体"/>
                <w:sz w:val="21"/>
                <w:szCs w:val="21"/>
              </w:rPr>
              <w:t xml:space="preserve"> </w:t>
            </w:r>
            <w:r>
              <w:rPr>
                <w:rFonts w:hint="eastAsia" w:ascii="宋体" w:hAnsi="宋体" w:eastAsia="宋体" w:cs="宋体"/>
                <w:spacing w:val="-1"/>
                <w:sz w:val="21"/>
                <w:szCs w:val="21"/>
              </w:rPr>
              <w:t>泄漏氨水，防止氨水泄漏外流影响周围环境。</w:t>
            </w:r>
          </w:p>
          <w:p>
            <w:pPr>
              <w:spacing w:before="103" w:line="244" w:lineRule="auto"/>
              <w:ind w:left="109" w:right="28" w:firstLine="5"/>
              <w:rPr>
                <w:rFonts w:hint="eastAsia" w:ascii="宋体" w:hAnsi="宋体" w:eastAsia="宋体" w:cs="宋体"/>
                <w:sz w:val="21"/>
                <w:szCs w:val="21"/>
              </w:rPr>
            </w:pPr>
            <w:r>
              <w:rPr>
                <w:rFonts w:hint="eastAsia" w:ascii="宋体" w:hAnsi="宋体" w:cs="宋体"/>
                <w:spacing w:val="-8"/>
                <w:sz w:val="21"/>
                <w:szCs w:val="21"/>
                <w:lang w:val="en-US" w:eastAsia="zh-CN"/>
              </w:rPr>
              <w:t>2、</w:t>
            </w:r>
            <w:r>
              <w:rPr>
                <w:rFonts w:hint="eastAsia" w:ascii="宋体" w:hAnsi="宋体" w:eastAsia="宋体" w:cs="宋体"/>
                <w:spacing w:val="-8"/>
                <w:sz w:val="21"/>
                <w:szCs w:val="21"/>
              </w:rPr>
              <w:t>氨水罐防止阳光曝晒，保持罐区的阴凉、通风，远离火种、</w:t>
            </w:r>
            <w:r>
              <w:rPr>
                <w:rFonts w:hint="eastAsia" w:ascii="宋体" w:hAnsi="宋体" w:eastAsia="宋体" w:cs="宋体"/>
                <w:spacing w:val="-4"/>
                <w:sz w:val="21"/>
                <w:szCs w:val="21"/>
              </w:rPr>
              <w:t>热源。氨水储罐和输送管线应严加密闭，避免与酸类、金属粉末</w:t>
            </w:r>
            <w:r>
              <w:rPr>
                <w:rFonts w:hint="eastAsia" w:ascii="宋体" w:hAnsi="宋体" w:eastAsia="宋体" w:cs="宋体"/>
                <w:spacing w:val="8"/>
                <w:sz w:val="21"/>
                <w:szCs w:val="21"/>
              </w:rPr>
              <w:t xml:space="preserve"> </w:t>
            </w:r>
            <w:r>
              <w:rPr>
                <w:rFonts w:hint="eastAsia" w:ascii="宋体" w:hAnsi="宋体" w:eastAsia="宋体" w:cs="宋体"/>
                <w:spacing w:val="-3"/>
                <w:sz w:val="21"/>
                <w:szCs w:val="21"/>
              </w:rPr>
              <w:t>接触。</w:t>
            </w:r>
          </w:p>
          <w:p>
            <w:pPr>
              <w:spacing w:before="104" w:line="259" w:lineRule="auto"/>
              <w:ind w:left="108" w:right="104" w:firstLine="6"/>
              <w:rPr>
                <w:rFonts w:hint="eastAsia" w:ascii="宋体" w:hAnsi="宋体" w:eastAsia="宋体" w:cs="宋体"/>
                <w:sz w:val="21"/>
                <w:szCs w:val="21"/>
              </w:rPr>
            </w:pPr>
            <w:r>
              <w:rPr>
                <w:rFonts w:hint="eastAsia" w:ascii="宋体" w:hAnsi="宋体" w:cs="宋体"/>
                <w:spacing w:val="-4"/>
                <w:sz w:val="21"/>
                <w:szCs w:val="21"/>
                <w:lang w:val="en-US" w:eastAsia="zh-CN"/>
              </w:rPr>
              <w:t>3、</w:t>
            </w:r>
            <w:r>
              <w:rPr>
                <w:rFonts w:hint="eastAsia" w:ascii="宋体" w:hAnsi="宋体" w:eastAsia="宋体" w:cs="宋体"/>
                <w:spacing w:val="-4"/>
                <w:sz w:val="21"/>
                <w:szCs w:val="21"/>
              </w:rPr>
              <w:t>定期进行安全保护系统检查，截至阀、安全阀等应处于良</w:t>
            </w:r>
            <w:r>
              <w:rPr>
                <w:rFonts w:hint="eastAsia" w:ascii="宋体" w:hAnsi="宋体" w:eastAsia="宋体" w:cs="宋体"/>
                <w:sz w:val="21"/>
                <w:szCs w:val="21"/>
              </w:rPr>
              <w:t xml:space="preserve"> </w:t>
            </w:r>
            <w:r>
              <w:rPr>
                <w:rFonts w:hint="eastAsia" w:ascii="宋体" w:hAnsi="宋体" w:eastAsia="宋体" w:cs="宋体"/>
                <w:spacing w:val="-4"/>
                <w:sz w:val="21"/>
                <w:szCs w:val="21"/>
              </w:rPr>
              <w:t>好技术状态，以备随时利用。加强日常维护与管理，定期检漏和</w:t>
            </w:r>
            <w:r>
              <w:rPr>
                <w:rFonts w:hint="eastAsia" w:ascii="宋体" w:hAnsi="宋体" w:eastAsia="宋体" w:cs="宋体"/>
                <w:spacing w:val="12"/>
                <w:sz w:val="21"/>
                <w:szCs w:val="21"/>
              </w:rPr>
              <w:t xml:space="preserve"> </w:t>
            </w:r>
            <w:r>
              <w:rPr>
                <w:rFonts w:hint="eastAsia" w:ascii="宋体" w:hAnsi="宋体" w:eastAsia="宋体" w:cs="宋体"/>
                <w:spacing w:val="-4"/>
                <w:sz w:val="21"/>
                <w:szCs w:val="21"/>
              </w:rPr>
              <w:t>测量管壁厚度，巡视检修电控等重要设备。一旦发现泄漏，立即进行可靠隔绝，并进行抢修。抢修应在氨气检测装置无报警后进行。为使检漏工作制度化，应确定巡查检漏的周期，设立事故急</w:t>
            </w:r>
            <w:r>
              <w:rPr>
                <w:rFonts w:hint="eastAsia" w:ascii="宋体" w:hAnsi="宋体" w:eastAsia="宋体" w:cs="宋体"/>
                <w:spacing w:val="-6"/>
                <w:sz w:val="21"/>
                <w:szCs w:val="21"/>
              </w:rPr>
              <w:t>修班组，</w:t>
            </w:r>
            <w:r>
              <w:rPr>
                <w:rFonts w:hint="eastAsia" w:ascii="宋体" w:hAnsi="宋体" w:eastAsia="宋体" w:cs="宋体"/>
                <w:spacing w:val="-58"/>
                <w:sz w:val="21"/>
                <w:szCs w:val="21"/>
              </w:rPr>
              <w:t xml:space="preserve"> </w:t>
            </w:r>
            <w:r>
              <w:rPr>
                <w:rFonts w:hint="eastAsia" w:ascii="宋体" w:hAnsi="宋体" w:eastAsia="宋体" w:cs="宋体"/>
                <w:spacing w:val="-6"/>
                <w:sz w:val="21"/>
                <w:szCs w:val="21"/>
              </w:rPr>
              <w:t>日夜值班。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9" w:hRule="atLeast"/>
        </w:trPr>
        <w:tc>
          <w:tcPr>
            <w:tcW w:w="1429" w:type="dxa"/>
            <w:tcBorders>
              <w:left w:val="single" w:color="000000" w:sz="2" w:space="0"/>
            </w:tcBorders>
            <w:vAlign w:val="top"/>
          </w:tcPr>
          <w:p>
            <w:pPr>
              <w:keepNext w:val="0"/>
              <w:keepLines w:val="0"/>
              <w:pageBreakBefore w:val="0"/>
              <w:widowControl w:val="0"/>
              <w:kinsoku/>
              <w:wordWrap/>
              <w:overflowPunct/>
              <w:topLinePunct w:val="0"/>
              <w:autoSpaceDE/>
              <w:autoSpaceDN/>
              <w:bidi w:val="0"/>
              <w:adjustRightInd/>
              <w:snapToGrid/>
              <w:spacing w:line="288" w:lineRule="auto"/>
              <w:ind w:firstLine="0"/>
              <w:jc w:val="both"/>
              <w:textAlignment w:val="auto"/>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288" w:lineRule="auto"/>
              <w:ind w:right="149"/>
              <w:jc w:val="left"/>
              <w:textAlignment w:val="auto"/>
              <w:rPr>
                <w:rFonts w:hint="eastAsia" w:ascii="宋体" w:hAnsi="宋体" w:eastAsia="宋体" w:cs="宋体"/>
                <w:sz w:val="21"/>
                <w:szCs w:val="21"/>
              </w:rPr>
            </w:pPr>
            <w:r>
              <w:rPr>
                <w:rFonts w:hint="eastAsia" w:ascii="宋体" w:hAnsi="宋体" w:eastAsia="宋体" w:cs="宋体"/>
                <w:spacing w:val="-2"/>
                <w:sz w:val="21"/>
                <w:szCs w:val="21"/>
              </w:rPr>
              <w:t>其他化学品泄漏事故防</w:t>
            </w:r>
            <w:r>
              <w:rPr>
                <w:rFonts w:hint="eastAsia" w:ascii="宋体" w:hAnsi="宋体" w:eastAsia="宋体" w:cs="宋体"/>
                <w:spacing w:val="-5"/>
                <w:sz w:val="21"/>
                <w:szCs w:val="21"/>
              </w:rPr>
              <w:t>范措施</w:t>
            </w:r>
          </w:p>
        </w:tc>
        <w:tc>
          <w:tcPr>
            <w:tcW w:w="6973" w:type="dxa"/>
            <w:tcBorders>
              <w:right w:val="single" w:color="000000" w:sz="2" w:space="0"/>
            </w:tcBorders>
            <w:vAlign w:val="top"/>
          </w:tcPr>
          <w:p>
            <w:pPr>
              <w:spacing w:before="52" w:line="244" w:lineRule="auto"/>
              <w:ind w:left="110" w:right="104" w:firstLine="15"/>
              <w:rPr>
                <w:rFonts w:hint="eastAsia" w:ascii="宋体" w:hAnsi="宋体" w:eastAsia="宋体" w:cs="宋体"/>
                <w:sz w:val="21"/>
                <w:szCs w:val="21"/>
              </w:rPr>
            </w:pPr>
            <w:r>
              <w:rPr>
                <w:rFonts w:hint="eastAsia" w:ascii="宋体" w:hAnsi="宋体" w:eastAsia="宋体" w:cs="宋体"/>
                <w:spacing w:val="-1"/>
                <w:sz w:val="21"/>
                <w:szCs w:val="21"/>
              </w:rPr>
              <w:t>1、定期对原辅材料使用量、化学品的消耗量等与产品量进行对</w:t>
            </w:r>
            <w:r>
              <w:rPr>
                <w:rFonts w:hint="eastAsia" w:ascii="宋体" w:hAnsi="宋体" w:eastAsia="宋体" w:cs="宋体"/>
                <w:spacing w:val="-4"/>
                <w:sz w:val="21"/>
                <w:szCs w:val="21"/>
              </w:rPr>
              <w:t>比分析，发现有异常情况应及时停止生产，进行各个生产环节的</w:t>
            </w:r>
            <w:r>
              <w:rPr>
                <w:rFonts w:hint="eastAsia" w:ascii="宋体" w:hAnsi="宋体" w:eastAsia="宋体" w:cs="宋体"/>
                <w:spacing w:val="10"/>
                <w:sz w:val="21"/>
                <w:szCs w:val="21"/>
              </w:rPr>
              <w:t xml:space="preserve"> </w:t>
            </w:r>
            <w:r>
              <w:rPr>
                <w:rFonts w:hint="eastAsia" w:ascii="宋体" w:hAnsi="宋体" w:eastAsia="宋体" w:cs="宋体"/>
                <w:spacing w:val="-2"/>
                <w:sz w:val="21"/>
                <w:szCs w:val="21"/>
              </w:rPr>
              <w:t>检查和维修工作。</w:t>
            </w:r>
          </w:p>
          <w:p>
            <w:pPr>
              <w:spacing w:before="103" w:line="229" w:lineRule="auto"/>
              <w:ind w:left="109" w:right="104" w:firstLine="3"/>
              <w:rPr>
                <w:rFonts w:hint="eastAsia" w:ascii="宋体" w:hAnsi="宋体" w:eastAsia="宋体" w:cs="宋体"/>
                <w:sz w:val="21"/>
                <w:szCs w:val="21"/>
              </w:rPr>
            </w:pPr>
            <w:r>
              <w:rPr>
                <w:rFonts w:hint="eastAsia" w:ascii="宋体" w:hAnsi="宋体" w:eastAsia="宋体" w:cs="宋体"/>
                <w:spacing w:val="-2"/>
                <w:sz w:val="21"/>
                <w:szCs w:val="21"/>
              </w:rPr>
              <w:t>2、</w:t>
            </w:r>
            <w:r>
              <w:rPr>
                <w:rFonts w:hint="eastAsia" w:ascii="宋体" w:hAnsi="宋体" w:eastAsia="宋体" w:cs="宋体"/>
                <w:spacing w:val="-49"/>
                <w:sz w:val="21"/>
                <w:szCs w:val="21"/>
              </w:rPr>
              <w:t xml:space="preserve"> </w:t>
            </w:r>
            <w:r>
              <w:rPr>
                <w:rFonts w:hint="eastAsia" w:ascii="宋体" w:hAnsi="宋体" w:eastAsia="宋体" w:cs="宋体"/>
                <w:spacing w:val="-2"/>
                <w:sz w:val="21"/>
                <w:szCs w:val="21"/>
              </w:rPr>
              <w:t>目前目前厂区配制仓库和成品仓库已对地面采取防渗硬化措</w:t>
            </w:r>
            <w:r>
              <w:rPr>
                <w:rFonts w:hint="eastAsia" w:ascii="宋体" w:hAnsi="宋体" w:eastAsia="宋体" w:cs="宋体"/>
                <w:spacing w:val="-1"/>
                <w:sz w:val="21"/>
                <w:szCs w:val="21"/>
              </w:rPr>
              <w:t>施，周边有安装监控设施；</w:t>
            </w:r>
          </w:p>
          <w:p>
            <w:pPr>
              <w:spacing w:before="103" w:line="229" w:lineRule="auto"/>
              <w:ind w:left="112" w:right="104" w:firstLine="1"/>
              <w:rPr>
                <w:rFonts w:hint="eastAsia" w:ascii="宋体" w:hAnsi="宋体" w:eastAsia="宋体" w:cs="宋体"/>
                <w:sz w:val="21"/>
                <w:szCs w:val="21"/>
              </w:rPr>
            </w:pPr>
            <w:r>
              <w:rPr>
                <w:rFonts w:hint="eastAsia" w:ascii="宋体" w:hAnsi="宋体" w:eastAsia="宋体" w:cs="宋体"/>
                <w:spacing w:val="-1"/>
                <w:sz w:val="21"/>
                <w:szCs w:val="21"/>
              </w:rPr>
              <w:t>3、厂区化学品仓库有独立房间，由专人看管，设有托盘，并准</w:t>
            </w:r>
            <w:r>
              <w:rPr>
                <w:rFonts w:hint="eastAsia" w:ascii="宋体" w:hAnsi="宋体" w:eastAsia="宋体" w:cs="宋体"/>
                <w:spacing w:val="-2"/>
                <w:sz w:val="21"/>
                <w:szCs w:val="21"/>
              </w:rPr>
              <w:t>备了化学溶剂吸附棉条；</w:t>
            </w:r>
          </w:p>
          <w:p>
            <w:pPr>
              <w:spacing w:before="103" w:line="229" w:lineRule="auto"/>
              <w:ind w:left="109" w:right="104"/>
              <w:rPr>
                <w:rFonts w:hint="eastAsia" w:ascii="宋体" w:hAnsi="宋体" w:eastAsia="宋体" w:cs="宋体"/>
                <w:sz w:val="21"/>
                <w:szCs w:val="21"/>
              </w:rPr>
            </w:pPr>
            <w:r>
              <w:rPr>
                <w:rFonts w:hint="eastAsia" w:ascii="宋体" w:hAnsi="宋体" w:eastAsia="宋体" w:cs="宋体"/>
                <w:sz w:val="21"/>
                <w:szCs w:val="21"/>
              </w:rPr>
              <w:t>4、化学品入库前保管人员认真检查包装是否完好，如发现泄漏</w:t>
            </w:r>
            <w:r>
              <w:rPr>
                <w:rFonts w:hint="eastAsia" w:ascii="宋体" w:hAnsi="宋体" w:eastAsia="宋体" w:cs="宋体"/>
                <w:spacing w:val="-1"/>
                <w:sz w:val="21"/>
                <w:szCs w:val="21"/>
              </w:rPr>
              <w:t>及时更换，确保包装完好无损；</w:t>
            </w:r>
          </w:p>
          <w:p>
            <w:pPr>
              <w:spacing w:before="103" w:line="229" w:lineRule="auto"/>
              <w:ind w:left="109" w:right="150" w:firstLine="5"/>
              <w:rPr>
                <w:rFonts w:hint="eastAsia" w:ascii="宋体" w:hAnsi="宋体" w:eastAsia="宋体" w:cs="宋体"/>
                <w:sz w:val="21"/>
                <w:szCs w:val="21"/>
              </w:rPr>
            </w:pPr>
            <w:r>
              <w:rPr>
                <w:rFonts w:hint="eastAsia" w:ascii="宋体" w:hAnsi="宋体" w:eastAsia="宋体" w:cs="宋体"/>
                <w:spacing w:val="-2"/>
                <w:sz w:val="21"/>
                <w:szCs w:val="21"/>
              </w:rPr>
              <w:t>5、运输其他化学品时，避免烘烤和曝晒。装卸桶装化学品时，</w:t>
            </w:r>
            <w:r>
              <w:rPr>
                <w:rFonts w:hint="eastAsia" w:ascii="宋体" w:hAnsi="宋体" w:eastAsia="宋体" w:cs="宋体"/>
                <w:spacing w:val="-1"/>
                <w:sz w:val="21"/>
                <w:szCs w:val="21"/>
              </w:rPr>
              <w:t>采取措施防止碰撞，确保包装完好无损；</w:t>
            </w:r>
          </w:p>
          <w:p>
            <w:pPr>
              <w:spacing w:before="103" w:line="229" w:lineRule="auto"/>
              <w:ind w:left="113" w:right="104" w:hanging="1"/>
              <w:rPr>
                <w:rFonts w:hint="eastAsia" w:ascii="宋体" w:hAnsi="宋体" w:eastAsia="宋体" w:cs="宋体"/>
                <w:sz w:val="21"/>
                <w:szCs w:val="21"/>
              </w:rPr>
            </w:pPr>
            <w:r>
              <w:rPr>
                <w:rFonts w:hint="eastAsia" w:ascii="宋体" w:hAnsi="宋体" w:eastAsia="宋体" w:cs="宋体"/>
                <w:sz w:val="21"/>
                <w:szCs w:val="21"/>
              </w:rPr>
              <w:t>6、其他化学品存放并标示。库房人、物分开，杜绝火种并防止</w:t>
            </w:r>
            <w:r>
              <w:rPr>
                <w:rFonts w:hint="eastAsia" w:ascii="宋体" w:hAnsi="宋体" w:eastAsia="宋体" w:cs="宋体"/>
                <w:spacing w:val="-2"/>
                <w:sz w:val="21"/>
                <w:szCs w:val="21"/>
              </w:rPr>
              <w:t>室内温度过高。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76" w:hRule="atLeast"/>
        </w:trPr>
        <w:tc>
          <w:tcPr>
            <w:tcW w:w="1429" w:type="dxa"/>
            <w:tcBorders>
              <w:left w:val="single" w:color="000000" w:sz="2" w:space="0"/>
            </w:tcBorders>
            <w:vAlign w:val="top"/>
          </w:tcPr>
          <w:p>
            <w:pPr>
              <w:spacing w:line="336" w:lineRule="auto"/>
              <w:rPr>
                <w:rFonts w:hint="eastAsia" w:ascii="宋体" w:hAnsi="宋体" w:eastAsia="宋体" w:cs="宋体"/>
                <w:sz w:val="21"/>
                <w:szCs w:val="21"/>
              </w:rPr>
            </w:pPr>
          </w:p>
          <w:p>
            <w:pPr>
              <w:spacing w:line="336" w:lineRule="auto"/>
              <w:rPr>
                <w:rFonts w:hint="eastAsia" w:ascii="宋体" w:hAnsi="宋体" w:eastAsia="宋体" w:cs="宋体"/>
                <w:sz w:val="21"/>
                <w:szCs w:val="21"/>
              </w:rPr>
            </w:pPr>
          </w:p>
          <w:p>
            <w:pPr>
              <w:spacing w:before="68" w:line="184" w:lineRule="auto"/>
              <w:rPr>
                <w:rFonts w:hint="eastAsia" w:ascii="宋体" w:hAnsi="宋体" w:eastAsia="宋体" w:cs="宋体"/>
                <w:sz w:val="21"/>
                <w:szCs w:val="21"/>
              </w:rPr>
            </w:pPr>
            <w:r>
              <w:rPr>
                <w:rFonts w:hint="eastAsia" w:ascii="宋体" w:hAnsi="宋体" w:eastAsia="宋体" w:cs="宋体"/>
                <w:spacing w:val="-2"/>
                <w:sz w:val="21"/>
                <w:szCs w:val="21"/>
              </w:rPr>
              <w:t>污水事故排放防范措施</w:t>
            </w:r>
          </w:p>
        </w:tc>
        <w:tc>
          <w:tcPr>
            <w:tcW w:w="6973" w:type="dxa"/>
            <w:tcBorders>
              <w:right w:val="single" w:color="000000" w:sz="2" w:space="0"/>
            </w:tcBorders>
            <w:vAlign w:val="top"/>
          </w:tcPr>
          <w:p>
            <w:pPr>
              <w:spacing w:before="51" w:line="252" w:lineRule="auto"/>
              <w:ind w:left="113" w:right="104" w:firstLine="12"/>
              <w:rPr>
                <w:rFonts w:hint="eastAsia" w:ascii="宋体" w:hAnsi="宋体" w:eastAsia="宋体" w:cs="宋体"/>
                <w:sz w:val="21"/>
                <w:szCs w:val="21"/>
              </w:rPr>
            </w:pPr>
            <w:r>
              <w:rPr>
                <w:rFonts w:hint="eastAsia" w:ascii="宋体" w:hAnsi="宋体" w:eastAsia="宋体" w:cs="宋体"/>
                <w:spacing w:val="-1"/>
                <w:sz w:val="21"/>
                <w:szCs w:val="21"/>
              </w:rPr>
              <w:t>1、厂区采取雨污分流，雨水经沉淀池沉淀后外排，厂区污水经</w:t>
            </w:r>
            <w:r>
              <w:rPr>
                <w:rFonts w:hint="eastAsia" w:ascii="宋体" w:hAnsi="宋体" w:eastAsia="宋体" w:cs="宋体"/>
                <w:spacing w:val="1"/>
                <w:sz w:val="21"/>
                <w:szCs w:val="21"/>
              </w:rPr>
              <w:t>公司污水处理系统处理后回用。公司设有约</w:t>
            </w:r>
            <w:r>
              <w:rPr>
                <w:rFonts w:hint="eastAsia" w:ascii="宋体" w:hAnsi="宋体" w:eastAsia="宋体" w:cs="宋体"/>
                <w:spacing w:val="-36"/>
                <w:sz w:val="21"/>
                <w:szCs w:val="21"/>
              </w:rPr>
              <w:t xml:space="preserve"> </w:t>
            </w:r>
            <w:r>
              <w:rPr>
                <w:rFonts w:hint="eastAsia" w:ascii="宋体" w:hAnsi="宋体" w:cs="宋体"/>
                <w:spacing w:val="1"/>
                <w:sz w:val="21"/>
                <w:szCs w:val="21"/>
                <w:lang w:eastAsia="zh-CN"/>
              </w:rPr>
              <w:t>150m³</w:t>
            </w:r>
            <w:r>
              <w:rPr>
                <w:rFonts w:hint="eastAsia" w:ascii="宋体" w:hAnsi="宋体" w:eastAsia="宋体" w:cs="宋体"/>
                <w:spacing w:val="1"/>
                <w:sz w:val="21"/>
                <w:szCs w:val="21"/>
              </w:rPr>
              <w:t>的应急池</w:t>
            </w:r>
            <w:r>
              <w:rPr>
                <w:rFonts w:hint="eastAsia" w:ascii="宋体" w:hAnsi="宋体" w:cs="宋体"/>
                <w:spacing w:val="1"/>
                <w:sz w:val="21"/>
                <w:szCs w:val="21"/>
                <w:lang w:val="en-US" w:eastAsia="zh-CN"/>
              </w:rPr>
              <w:t>1个</w:t>
            </w:r>
            <w:r>
              <w:rPr>
                <w:rFonts w:hint="eastAsia" w:ascii="宋体" w:hAnsi="宋体" w:eastAsia="宋体" w:cs="宋体"/>
                <w:spacing w:val="1"/>
                <w:sz w:val="21"/>
                <w:szCs w:val="21"/>
              </w:rPr>
              <w:t>，</w:t>
            </w:r>
            <w:r>
              <w:rPr>
                <w:rFonts w:hint="eastAsia" w:ascii="宋体" w:hAnsi="宋体" w:cs="宋体"/>
                <w:spacing w:val="1"/>
                <w:sz w:val="21"/>
                <w:szCs w:val="21"/>
                <w:lang w:val="en-US" w:eastAsia="zh-CN"/>
              </w:rPr>
              <w:t>25.4m³的沉淀池1个，18m³的沉淀池3个（沉淀池兼事故应急池）。当事故废水进入雨水管网或污水处理站发生故障，可将事故废水排入事故应急池暂存，事故结束后</w:t>
            </w:r>
            <w:r>
              <w:rPr>
                <w:rFonts w:hint="eastAsia" w:ascii="宋体" w:hAnsi="宋体" w:eastAsia="宋体" w:cs="宋体"/>
                <w:spacing w:val="3"/>
                <w:sz w:val="21"/>
                <w:szCs w:val="21"/>
              </w:rPr>
              <w:t>导入公司污水处理系统进行</w:t>
            </w:r>
            <w:r>
              <w:rPr>
                <w:rFonts w:hint="eastAsia" w:ascii="宋体" w:hAnsi="宋体" w:eastAsia="宋体" w:cs="宋体"/>
                <w:spacing w:val="-5"/>
                <w:sz w:val="21"/>
                <w:szCs w:val="21"/>
              </w:rPr>
              <w:t>处理；</w:t>
            </w:r>
          </w:p>
          <w:p>
            <w:pPr>
              <w:spacing w:before="103" w:line="229" w:lineRule="auto"/>
              <w:ind w:left="119" w:right="104" w:hanging="7"/>
              <w:rPr>
                <w:rFonts w:hint="eastAsia" w:ascii="宋体" w:hAnsi="宋体" w:eastAsia="宋体" w:cs="宋体"/>
                <w:sz w:val="21"/>
                <w:szCs w:val="21"/>
              </w:rPr>
            </w:pPr>
            <w:r>
              <w:rPr>
                <w:rFonts w:hint="eastAsia" w:ascii="宋体" w:hAnsi="宋体" w:eastAsia="宋体" w:cs="宋体"/>
                <w:sz w:val="21"/>
                <w:szCs w:val="21"/>
              </w:rPr>
              <w:t>2、定期检查阀门及水泵等，对存在问题的设备、管道、阀门及</w:t>
            </w:r>
            <w:r>
              <w:rPr>
                <w:rFonts w:hint="eastAsia" w:ascii="宋体" w:hAnsi="宋体" w:eastAsia="宋体" w:cs="宋体"/>
                <w:spacing w:val="-3"/>
                <w:sz w:val="21"/>
                <w:szCs w:val="21"/>
              </w:rPr>
              <w:t>时修理或更换</w:t>
            </w:r>
            <w:r>
              <w:rPr>
                <w:rFonts w:hint="eastAsia" w:ascii="宋体" w:hAnsi="宋体" w:cs="宋体"/>
                <w:spacing w:val="-3"/>
                <w:sz w:val="21"/>
                <w:szCs w:val="21"/>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72" w:hRule="atLeast"/>
        </w:trPr>
        <w:tc>
          <w:tcPr>
            <w:tcW w:w="1429" w:type="dxa"/>
            <w:tcBorders>
              <w:left w:val="single" w:color="000000" w:sz="2" w:space="0"/>
              <w:bottom w:val="single" w:color="000000" w:sz="2" w:space="0"/>
            </w:tcBorders>
            <w:vAlign w:val="center"/>
          </w:tcPr>
          <w:p>
            <w:pPr>
              <w:spacing w:before="69" w:line="274" w:lineRule="auto"/>
              <w:ind w:right="149"/>
              <w:jc w:val="center"/>
              <w:rPr>
                <w:rFonts w:hint="eastAsia" w:ascii="宋体" w:hAnsi="宋体" w:eastAsia="宋体" w:cs="宋体"/>
                <w:sz w:val="21"/>
                <w:szCs w:val="21"/>
              </w:rPr>
            </w:pPr>
            <w:r>
              <w:rPr>
                <w:rFonts w:hint="eastAsia" w:ascii="宋体" w:hAnsi="宋体" w:eastAsia="宋体" w:cs="宋体"/>
                <w:spacing w:val="-1"/>
                <w:sz w:val="21"/>
                <w:szCs w:val="21"/>
              </w:rPr>
              <w:t>粉尘废气事故性排放防</w:t>
            </w:r>
            <w:r>
              <w:rPr>
                <w:rFonts w:hint="eastAsia" w:ascii="宋体" w:hAnsi="宋体" w:eastAsia="宋体" w:cs="宋体"/>
                <w:spacing w:val="-5"/>
                <w:sz w:val="21"/>
                <w:szCs w:val="21"/>
              </w:rPr>
              <w:t>范措施</w:t>
            </w:r>
          </w:p>
        </w:tc>
        <w:tc>
          <w:tcPr>
            <w:tcW w:w="6973" w:type="dxa"/>
            <w:tcBorders>
              <w:bottom w:val="single" w:color="000000" w:sz="2" w:space="0"/>
              <w:right w:val="single" w:color="000000" w:sz="2" w:space="0"/>
            </w:tcBorders>
            <w:vAlign w:val="center"/>
          </w:tcPr>
          <w:p>
            <w:pPr>
              <w:spacing w:before="55" w:line="259" w:lineRule="auto"/>
              <w:ind w:left="110" w:right="31" w:firstLine="9"/>
              <w:jc w:val="left"/>
              <w:rPr>
                <w:rFonts w:hint="eastAsia" w:ascii="宋体" w:hAnsi="宋体" w:eastAsia="宋体" w:cs="宋体"/>
                <w:spacing w:val="-6"/>
                <w:sz w:val="21"/>
                <w:szCs w:val="21"/>
              </w:rPr>
            </w:pPr>
            <w:r>
              <w:rPr>
                <w:rFonts w:hint="eastAsia" w:ascii="宋体" w:hAnsi="宋体" w:eastAsia="宋体" w:cs="宋体"/>
                <w:spacing w:val="-6"/>
                <w:sz w:val="21"/>
                <w:szCs w:val="21"/>
              </w:rPr>
              <w:t>1</w:t>
            </w:r>
            <w:r>
              <w:rPr>
                <w:rFonts w:hint="eastAsia" w:ascii="宋体" w:hAnsi="宋体" w:eastAsia="宋体" w:cs="宋体"/>
                <w:spacing w:val="-13"/>
                <w:sz w:val="21"/>
                <w:szCs w:val="21"/>
              </w:rPr>
              <w:t xml:space="preserve"> </w:t>
            </w:r>
            <w:r>
              <w:rPr>
                <w:rFonts w:hint="eastAsia" w:ascii="宋体" w:hAnsi="宋体" w:eastAsia="宋体" w:cs="宋体"/>
                <w:spacing w:val="-6"/>
                <w:sz w:val="21"/>
                <w:szCs w:val="21"/>
              </w:rPr>
              <w:t>、加强除尘设施日常维护及保养；</w:t>
            </w:r>
          </w:p>
          <w:p>
            <w:pPr>
              <w:spacing w:before="55" w:line="259" w:lineRule="auto"/>
              <w:ind w:left="110" w:right="31" w:firstLine="9"/>
              <w:jc w:val="left"/>
              <w:rPr>
                <w:rFonts w:hint="eastAsia" w:ascii="宋体" w:hAnsi="宋体" w:eastAsia="宋体" w:cs="宋体"/>
                <w:spacing w:val="-2"/>
                <w:sz w:val="21"/>
                <w:szCs w:val="21"/>
              </w:rPr>
            </w:pPr>
            <w:r>
              <w:rPr>
                <w:rFonts w:hint="eastAsia" w:ascii="宋体" w:hAnsi="宋体" w:eastAsia="宋体" w:cs="宋体"/>
                <w:spacing w:val="-6"/>
                <w:sz w:val="21"/>
                <w:szCs w:val="21"/>
              </w:rPr>
              <w:t>2</w:t>
            </w:r>
            <w:r>
              <w:rPr>
                <w:rFonts w:hint="eastAsia" w:ascii="宋体" w:hAnsi="宋体" w:eastAsia="宋体" w:cs="宋体"/>
                <w:spacing w:val="-9"/>
                <w:sz w:val="21"/>
                <w:szCs w:val="21"/>
              </w:rPr>
              <w:t xml:space="preserve"> </w:t>
            </w:r>
            <w:r>
              <w:rPr>
                <w:rFonts w:hint="eastAsia" w:ascii="宋体" w:hAnsi="宋体" w:eastAsia="宋体" w:cs="宋体"/>
                <w:spacing w:val="-6"/>
                <w:sz w:val="21"/>
                <w:szCs w:val="21"/>
              </w:rPr>
              <w:t>、袋式除尘器是由多个平行的室组成的，任何一个室进行清灰、</w:t>
            </w:r>
            <w:r>
              <w:rPr>
                <w:rFonts w:hint="eastAsia" w:ascii="宋体" w:hAnsi="宋体" w:eastAsia="宋体" w:cs="宋体"/>
                <w:spacing w:val="-4"/>
                <w:sz w:val="21"/>
                <w:szCs w:val="21"/>
              </w:rPr>
              <w:t>布袋更换操作时，均可将其调节为离线状态，使其和正在过滤的</w:t>
            </w:r>
            <w:r>
              <w:rPr>
                <w:rFonts w:hint="eastAsia" w:ascii="宋体" w:hAnsi="宋体" w:eastAsia="宋体" w:cs="宋体"/>
                <w:spacing w:val="8"/>
                <w:sz w:val="21"/>
                <w:szCs w:val="21"/>
              </w:rPr>
              <w:t xml:space="preserve"> </w:t>
            </w:r>
            <w:r>
              <w:rPr>
                <w:rFonts w:hint="eastAsia" w:ascii="宋体" w:hAnsi="宋体" w:eastAsia="宋体" w:cs="宋体"/>
                <w:spacing w:val="-2"/>
                <w:sz w:val="21"/>
                <w:szCs w:val="21"/>
              </w:rPr>
              <w:t>室互不干扰，实现了长期连续操作，避免事故排放情况发生；</w:t>
            </w:r>
          </w:p>
          <w:p>
            <w:pPr>
              <w:spacing w:before="55" w:line="259" w:lineRule="auto"/>
              <w:ind w:left="110" w:right="31" w:firstLine="9"/>
              <w:jc w:val="left"/>
              <w:rPr>
                <w:rFonts w:hint="eastAsia" w:ascii="宋体" w:hAnsi="宋体" w:eastAsia="宋体" w:cs="宋体"/>
                <w:sz w:val="21"/>
                <w:szCs w:val="21"/>
              </w:rPr>
            </w:pPr>
            <w:r>
              <w:rPr>
                <w:rFonts w:hint="eastAsia" w:ascii="宋体" w:hAnsi="宋体" w:eastAsia="宋体" w:cs="宋体"/>
                <w:spacing w:val="-1"/>
                <w:sz w:val="21"/>
                <w:szCs w:val="21"/>
              </w:rPr>
              <w:t>3</w:t>
            </w:r>
            <w:r>
              <w:rPr>
                <w:rFonts w:hint="eastAsia" w:ascii="宋体" w:hAnsi="宋体" w:eastAsia="宋体" w:cs="宋体"/>
                <w:spacing w:val="-21"/>
                <w:sz w:val="21"/>
                <w:szCs w:val="21"/>
              </w:rPr>
              <w:t xml:space="preserve"> </w:t>
            </w:r>
            <w:r>
              <w:rPr>
                <w:rFonts w:hint="eastAsia" w:ascii="宋体" w:hAnsi="宋体" w:eastAsia="宋体" w:cs="宋体"/>
                <w:spacing w:val="-1"/>
                <w:sz w:val="21"/>
                <w:szCs w:val="21"/>
              </w:rPr>
              <w:t>、定期检查脱硝系统中循环泵是否正常，管路有没有堵塞，吸收塔防腐层有没有被破坏，喷淋层喷嘴有没有堵塞等。</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trPr>
        <w:tc>
          <w:tcPr>
            <w:tcW w:w="1429" w:type="dxa"/>
            <w:tcBorders>
              <w:bottom w:val="single" w:color="000000" w:sz="4" w:space="0"/>
              <w:right w:val="single" w:color="000000" w:sz="4" w:space="0"/>
            </w:tcBorders>
            <w:vAlign w:val="top"/>
          </w:tcPr>
          <w:p>
            <w:pPr>
              <w:spacing w:before="216" w:line="184" w:lineRule="auto"/>
              <w:rPr>
                <w:rFonts w:ascii="宋体" w:hAnsi="宋体" w:eastAsia="宋体" w:cs="宋体"/>
                <w:sz w:val="21"/>
                <w:szCs w:val="21"/>
              </w:rPr>
            </w:pPr>
            <w:r>
              <w:rPr>
                <w:rFonts w:ascii="宋体" w:hAnsi="宋体" w:eastAsia="宋体" w:cs="宋体"/>
                <w:spacing w:val="-2"/>
                <w:sz w:val="21"/>
                <w:szCs w:val="21"/>
              </w:rPr>
              <w:t>火灾爆炸防范措施</w:t>
            </w:r>
          </w:p>
        </w:tc>
        <w:tc>
          <w:tcPr>
            <w:tcW w:w="6973" w:type="dxa"/>
            <w:tcBorders>
              <w:left w:val="single" w:color="000000" w:sz="4" w:space="0"/>
              <w:bottom w:val="single" w:color="000000" w:sz="4" w:space="0"/>
            </w:tcBorders>
            <w:vAlign w:val="top"/>
          </w:tcPr>
          <w:p>
            <w:pPr>
              <w:spacing w:before="61" w:line="229" w:lineRule="auto"/>
              <w:ind w:left="115" w:right="47" w:hanging="5"/>
              <w:rPr>
                <w:rFonts w:ascii="宋体" w:hAnsi="宋体" w:eastAsia="宋体" w:cs="宋体"/>
                <w:sz w:val="21"/>
                <w:szCs w:val="21"/>
              </w:rPr>
            </w:pPr>
            <w:r>
              <w:rPr>
                <w:rFonts w:ascii="宋体" w:hAnsi="宋体" w:eastAsia="宋体" w:cs="宋体"/>
                <w:spacing w:val="-9"/>
                <w:sz w:val="21"/>
                <w:szCs w:val="21"/>
              </w:rPr>
              <w:t>根据公司实际情况，设有灭火器、消防栓、消防沙池等应急措施，</w:t>
            </w:r>
            <w:r>
              <w:rPr>
                <w:rFonts w:ascii="宋体" w:hAnsi="宋体" w:eastAsia="宋体" w:cs="宋体"/>
                <w:spacing w:val="-2"/>
                <w:sz w:val="21"/>
                <w:szCs w:val="21"/>
              </w:rPr>
              <w:t>导流沟接入事故应急池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 w:hRule="atLeast"/>
        </w:trPr>
        <w:tc>
          <w:tcPr>
            <w:tcW w:w="1429" w:type="dxa"/>
            <w:tcBorders>
              <w:top w:val="single" w:color="000000" w:sz="4" w:space="0"/>
              <w:right w:val="single" w:color="000000" w:sz="4" w:space="0"/>
            </w:tcBorders>
            <w:vAlign w:val="top"/>
          </w:tcPr>
          <w:p>
            <w:pPr>
              <w:spacing w:before="207" w:line="184" w:lineRule="auto"/>
              <w:rPr>
                <w:rFonts w:ascii="宋体" w:hAnsi="宋体" w:eastAsia="宋体" w:cs="宋体"/>
                <w:sz w:val="21"/>
                <w:szCs w:val="21"/>
              </w:rPr>
            </w:pPr>
            <w:r>
              <w:rPr>
                <w:rFonts w:ascii="宋体" w:hAnsi="宋体" w:eastAsia="宋体" w:cs="宋体"/>
                <w:spacing w:val="-3"/>
                <w:sz w:val="21"/>
                <w:szCs w:val="21"/>
              </w:rPr>
              <w:t>管理和教育</w:t>
            </w:r>
          </w:p>
        </w:tc>
        <w:tc>
          <w:tcPr>
            <w:tcW w:w="6973" w:type="dxa"/>
            <w:tcBorders>
              <w:top w:val="single" w:color="000000" w:sz="4" w:space="0"/>
              <w:left w:val="single" w:color="000000" w:sz="4" w:space="0"/>
            </w:tcBorders>
            <w:vAlign w:val="top"/>
          </w:tcPr>
          <w:p>
            <w:pPr>
              <w:spacing w:before="51" w:line="229" w:lineRule="auto"/>
              <w:ind w:left="111" w:right="104" w:firstLine="5"/>
              <w:rPr>
                <w:rFonts w:ascii="宋体" w:hAnsi="宋体" w:eastAsia="宋体" w:cs="宋体"/>
                <w:sz w:val="21"/>
                <w:szCs w:val="21"/>
              </w:rPr>
            </w:pPr>
            <w:r>
              <w:rPr>
                <w:rFonts w:ascii="宋体" w:hAnsi="宋体" w:eastAsia="宋体" w:cs="宋体"/>
                <w:spacing w:val="3"/>
                <w:sz w:val="21"/>
                <w:szCs w:val="21"/>
              </w:rPr>
              <w:t>公司制度了相关的安全生产管理制度及各重要岗位的安全管理</w:t>
            </w:r>
            <w:r>
              <w:rPr>
                <w:rFonts w:ascii="宋体" w:hAnsi="宋体" w:eastAsia="宋体" w:cs="宋体"/>
                <w:spacing w:val="-1"/>
                <w:sz w:val="21"/>
                <w:szCs w:val="21"/>
              </w:rPr>
              <w:t>制度，定期组织应急培训寻和演练，落实责任与奖励制度。</w:t>
            </w:r>
          </w:p>
        </w:tc>
      </w:tr>
    </w:tbl>
    <w:p>
      <w:pPr>
        <w:pStyle w:val="2"/>
        <w:rPr>
          <w:rFonts w:hint="eastAsia" w:eastAsia="仿宋_GB2312"/>
          <w:b/>
          <w:szCs w:val="21"/>
        </w:rPr>
      </w:pPr>
    </w:p>
    <w:p>
      <w:pPr>
        <w:pStyle w:val="2"/>
        <w:rPr>
          <w:rFonts w:hint="eastAsia" w:eastAsia="仿宋_GB2312"/>
          <w:b/>
          <w:szCs w:val="21"/>
        </w:rPr>
      </w:pPr>
    </w:p>
    <w:p>
      <w:pPr>
        <w:pStyle w:val="2"/>
        <w:rPr>
          <w:rFonts w:hint="eastAsia" w:eastAsia="仿宋_GB2312"/>
          <w:b/>
          <w:szCs w:val="21"/>
        </w:rPr>
      </w:pPr>
    </w:p>
    <w:p>
      <w:pPr>
        <w:pStyle w:val="2"/>
        <w:rPr>
          <w:rFonts w:hint="eastAsia" w:eastAsia="仿宋_GB2312"/>
          <w:b/>
          <w:szCs w:val="21"/>
        </w:rPr>
      </w:pPr>
    </w:p>
    <w:p>
      <w:pPr>
        <w:pStyle w:val="2"/>
        <w:rPr>
          <w:rFonts w:hint="eastAsia" w:eastAsia="仿宋_GB2312"/>
          <w:b/>
          <w:szCs w:val="21"/>
        </w:rPr>
      </w:pPr>
    </w:p>
    <w:p>
      <w:pPr>
        <w:pStyle w:val="2"/>
        <w:rPr>
          <w:rFonts w:hint="eastAsia" w:eastAsia="仿宋_GB2312"/>
          <w:b/>
          <w:szCs w:val="21"/>
        </w:rPr>
      </w:pPr>
    </w:p>
    <w:p>
      <w:pPr>
        <w:pStyle w:val="2"/>
        <w:rPr>
          <w:rFonts w:hint="eastAsia" w:eastAsia="仿宋_GB2312"/>
          <w:b/>
          <w:szCs w:val="21"/>
        </w:rPr>
      </w:pPr>
    </w:p>
    <w:p>
      <w:pPr>
        <w:spacing w:line="360" w:lineRule="auto"/>
        <w:ind w:firstLine="480" w:firstLineChars="200"/>
        <w:rPr>
          <w:rFonts w:eastAsia="仿宋_GB2312"/>
          <w:sz w:val="24"/>
        </w:rPr>
        <w:sectPr>
          <w:pgSz w:w="11906" w:h="16838"/>
          <w:pgMar w:top="1440" w:right="1800" w:bottom="1440" w:left="1800" w:header="851" w:footer="992" w:gutter="0"/>
          <w:pgNumType w:fmt="decimal"/>
          <w:cols w:space="720" w:num="1"/>
          <w:docGrid w:linePitch="312" w:charSpace="0"/>
        </w:sectPr>
      </w:pPr>
    </w:p>
    <w:p>
      <w:pPr>
        <w:spacing w:before="360" w:beforeLines="150" w:after="240" w:afterLines="100" w:line="360" w:lineRule="auto"/>
        <w:jc w:val="center"/>
        <w:outlineLvl w:val="0"/>
        <w:rPr>
          <w:b/>
          <w:sz w:val="36"/>
          <w:szCs w:val="36"/>
        </w:rPr>
      </w:pPr>
      <w:bookmarkStart w:id="52" w:name="_Toc397507811"/>
      <w:bookmarkStart w:id="53" w:name="_Toc24919"/>
      <w:r>
        <w:rPr>
          <w:rFonts w:hint="eastAsia"/>
          <w:b/>
          <w:sz w:val="36"/>
          <w:szCs w:val="36"/>
        </w:rPr>
        <w:t>3</w:t>
      </w:r>
      <w:r>
        <w:rPr>
          <w:b/>
          <w:sz w:val="36"/>
          <w:szCs w:val="36"/>
        </w:rPr>
        <w:t xml:space="preserve"> 组织</w:t>
      </w:r>
      <w:r>
        <w:rPr>
          <w:rFonts w:hint="eastAsia"/>
          <w:b/>
          <w:sz w:val="36"/>
          <w:szCs w:val="36"/>
        </w:rPr>
        <w:t>体系</w:t>
      </w:r>
      <w:r>
        <w:rPr>
          <w:b/>
          <w:sz w:val="36"/>
          <w:szCs w:val="36"/>
        </w:rPr>
        <w:t>和职责</w:t>
      </w:r>
      <w:bookmarkEnd w:id="52"/>
      <w:bookmarkEnd w:id="53"/>
    </w:p>
    <w:p>
      <w:pPr>
        <w:spacing w:before="120" w:beforeLines="50" w:line="360" w:lineRule="auto"/>
        <w:ind w:firstLine="480" w:firstLineChars="200"/>
        <w:rPr>
          <w:rFonts w:eastAsia="仿宋_GB2312"/>
          <w:sz w:val="24"/>
        </w:rPr>
      </w:pPr>
      <w:r>
        <w:rPr>
          <w:rFonts w:eastAsia="仿宋_GB2312"/>
          <w:sz w:val="24"/>
        </w:rPr>
        <w:t>为了降低或避免突发环境事件所造成的损失，确保有组织、有计划、快速地应对突发环境事件，建立突发环境事故应急组织机构，明确各成员的职责，应急组织的建立基本遵循应急机构人员职能不交叉的原则。</w:t>
      </w:r>
    </w:p>
    <w:p>
      <w:pPr>
        <w:spacing w:before="120" w:beforeLines="50" w:line="360" w:lineRule="auto"/>
        <w:outlineLvl w:val="1"/>
        <w:rPr>
          <w:b/>
          <w:sz w:val="30"/>
          <w:szCs w:val="30"/>
        </w:rPr>
      </w:pPr>
      <w:bookmarkStart w:id="54" w:name="_Toc10308"/>
      <w:r>
        <w:rPr>
          <w:rFonts w:hint="eastAsia"/>
          <w:b/>
          <w:sz w:val="30"/>
          <w:szCs w:val="30"/>
        </w:rPr>
        <w:t>3</w:t>
      </w:r>
      <w:r>
        <w:rPr>
          <w:b/>
          <w:sz w:val="30"/>
          <w:szCs w:val="30"/>
        </w:rPr>
        <w:t>.1应急组织</w:t>
      </w:r>
      <w:r>
        <w:rPr>
          <w:rFonts w:hint="eastAsia"/>
          <w:b/>
          <w:sz w:val="30"/>
          <w:szCs w:val="30"/>
        </w:rPr>
        <w:t>体系</w:t>
      </w:r>
      <w:bookmarkEnd w:id="54"/>
    </w:p>
    <w:p>
      <w:pPr>
        <w:spacing w:before="120" w:beforeLines="50" w:line="360" w:lineRule="auto"/>
        <w:ind w:firstLine="480" w:firstLineChars="200"/>
        <w:rPr>
          <w:rFonts w:eastAsia="仿宋_GB2312"/>
          <w:sz w:val="24"/>
        </w:rPr>
      </w:pPr>
      <w:r>
        <w:rPr>
          <w:rFonts w:hint="eastAsia" w:eastAsia="仿宋_GB2312"/>
          <w:sz w:val="24"/>
        </w:rPr>
        <w:t>公司成立了应急组织机构，专门负责突发环境事件的应对与处置。应急组织机构由应急领导小组、应急领导小组办公室以及4个应急救援小组组成。</w:t>
      </w:r>
    </w:p>
    <w:p>
      <w:pPr>
        <w:spacing w:before="120" w:beforeLines="50" w:line="360" w:lineRule="auto"/>
        <w:ind w:firstLine="480" w:firstLineChars="200"/>
        <w:rPr>
          <w:rFonts w:eastAsia="仿宋_GB2312"/>
          <w:sz w:val="24"/>
        </w:rPr>
      </w:pPr>
      <w:r>
        <w:rPr>
          <w:rFonts w:eastAsia="仿宋_GB2312"/>
          <w:sz w:val="24"/>
        </w:rPr>
        <w:t>环境应急机构组织体系如图</w:t>
      </w:r>
      <w:r>
        <w:rPr>
          <w:rFonts w:hint="eastAsia" w:eastAsia="仿宋_GB2312"/>
          <w:sz w:val="24"/>
        </w:rPr>
        <w:t>3.1-1</w:t>
      </w:r>
      <w:r>
        <w:rPr>
          <w:rFonts w:eastAsia="仿宋_GB2312"/>
          <w:sz w:val="24"/>
        </w:rPr>
        <w:t>所示：</w:t>
      </w:r>
    </w:p>
    <w:p>
      <w:pPr>
        <w:spacing w:before="120" w:beforeLines="50" w:line="360" w:lineRule="auto"/>
        <w:jc w:val="center"/>
        <w:rPr>
          <w:rFonts w:eastAsia="仿宋_GB2312"/>
          <w:sz w:val="24"/>
        </w:rPr>
      </w:pPr>
      <w:r>
        <mc:AlternateContent>
          <mc:Choice Requires="wpc">
            <w:drawing>
              <wp:inline distT="0" distB="0" distL="0" distR="0">
                <wp:extent cx="3967480" cy="3116580"/>
                <wp:effectExtent l="0" t="0" r="0" b="0"/>
                <wp:docPr id="42" name="画布 487"/>
                <wp:cNvGraphicFramePr/>
                <a:graphic xmlns:a="http://schemas.openxmlformats.org/drawingml/2006/main">
                  <a:graphicData uri="http://schemas.microsoft.com/office/word/2010/wordprocessingCanvas">
                    <wpc:wpc>
                      <wpc:bg>
                        <a:noFill/>
                      </wpc:bg>
                      <wpc:whole/>
                      <wps:wsp>
                        <wps:cNvPr id="11" name="Rectangle 608"/>
                        <wps:cNvSpPr>
                          <a:spLocks noChangeArrowheads="1"/>
                        </wps:cNvSpPr>
                        <wps:spPr bwMode="auto">
                          <a:xfrm>
                            <a:off x="1129832" y="310101"/>
                            <a:ext cx="1580838" cy="260216"/>
                          </a:xfrm>
                          <a:prstGeom prst="rect">
                            <a:avLst/>
                          </a:prstGeom>
                          <a:solidFill>
                            <a:srgbClr val="FFFFFF"/>
                          </a:solidFill>
                          <a:ln w="9525">
                            <a:solidFill>
                              <a:srgbClr val="000000"/>
                            </a:solidFill>
                            <a:miter lim="800000"/>
                          </a:ln>
                        </wps:spPr>
                        <wps:txbx>
                          <w:txbxContent>
                            <w:p>
                              <w:pPr>
                                <w:jc w:val="center"/>
                              </w:pPr>
                              <w:r>
                                <w:rPr>
                                  <w:rFonts w:hint="eastAsia"/>
                                </w:rPr>
                                <w:t xml:space="preserve">应急领导小组   </w:t>
                              </w:r>
                            </w:p>
                          </w:txbxContent>
                        </wps:txbx>
                        <wps:bodyPr rot="0" vert="horz" wrap="square" lIns="91440" tIns="45720" rIns="91440" bIns="45720" anchor="t" anchorCtr="0" upright="1">
                          <a:noAutofit/>
                        </wps:bodyPr>
                      </wps:wsp>
                      <wps:wsp>
                        <wps:cNvPr id="26" name="AutoShape 618"/>
                        <wps:cNvCnPr>
                          <a:cxnSpLocks noChangeShapeType="1"/>
                        </wps:cNvCnPr>
                        <wps:spPr bwMode="auto">
                          <a:xfrm flipV="1">
                            <a:off x="332606" y="1348664"/>
                            <a:ext cx="3088256" cy="700"/>
                          </a:xfrm>
                          <a:prstGeom prst="straightConnector1">
                            <a:avLst/>
                          </a:prstGeom>
                          <a:noFill/>
                          <a:ln w="9525">
                            <a:solidFill>
                              <a:srgbClr val="000000"/>
                            </a:solidFill>
                            <a:round/>
                          </a:ln>
                        </wps:spPr>
                        <wps:bodyPr/>
                      </wps:wsp>
                      <wps:wsp>
                        <wps:cNvPr id="28" name="Rectangle 623"/>
                        <wps:cNvSpPr>
                          <a:spLocks noChangeArrowheads="1"/>
                        </wps:cNvSpPr>
                        <wps:spPr bwMode="auto">
                          <a:xfrm>
                            <a:off x="2374607" y="1615796"/>
                            <a:ext cx="362604" cy="1350110"/>
                          </a:xfrm>
                          <a:prstGeom prst="rect">
                            <a:avLst/>
                          </a:prstGeom>
                          <a:solidFill>
                            <a:srgbClr val="FFFFFF"/>
                          </a:solidFill>
                          <a:ln w="9525">
                            <a:solidFill>
                              <a:srgbClr val="000000"/>
                            </a:solidFill>
                            <a:miter lim="800000"/>
                          </a:ln>
                        </wps:spPr>
                        <wps:txbx>
                          <w:txbxContent>
                            <w:p>
                              <w:r>
                                <w:rPr>
                                  <w:rFonts w:hint="eastAsia"/>
                                </w:rPr>
                                <w:t xml:space="preserve">应急监测组   </w:t>
                              </w:r>
                            </w:p>
                          </w:txbxContent>
                        </wps:txbx>
                        <wps:bodyPr rot="0" vert="horz" wrap="square" lIns="91440" tIns="45720" rIns="91440" bIns="45720" anchor="t" anchorCtr="0" upright="1">
                          <a:noAutofit/>
                        </wps:bodyPr>
                      </wps:wsp>
                      <wps:wsp>
                        <wps:cNvPr id="29" name="AutoShape 630"/>
                        <wps:cNvCnPr>
                          <a:cxnSpLocks noChangeShapeType="1"/>
                        </wps:cNvCnPr>
                        <wps:spPr bwMode="auto">
                          <a:xfrm flipV="1">
                            <a:off x="2547789" y="1349364"/>
                            <a:ext cx="1900" cy="263502"/>
                          </a:xfrm>
                          <a:prstGeom prst="straightConnector1">
                            <a:avLst/>
                          </a:prstGeom>
                          <a:noFill/>
                          <a:ln w="9525">
                            <a:solidFill>
                              <a:srgbClr val="000000"/>
                            </a:solidFill>
                            <a:round/>
                            <a:headEnd type="triangle"/>
                          </a:ln>
                        </wps:spPr>
                        <wps:bodyPr/>
                      </wps:wsp>
                      <wps:wsp>
                        <wps:cNvPr id="31" name="AutoShape 630"/>
                        <wps:cNvCnPr>
                          <a:cxnSpLocks noChangeShapeType="1"/>
                        </wps:cNvCnPr>
                        <wps:spPr bwMode="auto">
                          <a:xfrm flipV="1">
                            <a:off x="3418962" y="1349264"/>
                            <a:ext cx="1900" cy="263502"/>
                          </a:xfrm>
                          <a:prstGeom prst="straightConnector1">
                            <a:avLst/>
                          </a:prstGeom>
                          <a:noFill/>
                          <a:ln w="9525">
                            <a:solidFill>
                              <a:srgbClr val="000000"/>
                            </a:solidFill>
                            <a:round/>
                            <a:headEnd type="triangle"/>
                          </a:ln>
                        </wps:spPr>
                        <wps:bodyPr/>
                      </wps:wsp>
                      <wps:wsp>
                        <wps:cNvPr id="32" name="AutoShape 630"/>
                        <wps:cNvCnPr>
                          <a:cxnSpLocks noChangeShapeType="1"/>
                        </wps:cNvCnPr>
                        <wps:spPr bwMode="auto">
                          <a:xfrm flipV="1">
                            <a:off x="1219878" y="1348664"/>
                            <a:ext cx="1900" cy="263502"/>
                          </a:xfrm>
                          <a:prstGeom prst="straightConnector1">
                            <a:avLst/>
                          </a:prstGeom>
                          <a:noFill/>
                          <a:ln w="9525">
                            <a:solidFill>
                              <a:srgbClr val="000000"/>
                            </a:solidFill>
                            <a:round/>
                            <a:headEnd type="triangle"/>
                            <a:tailEnd type="none"/>
                          </a:ln>
                        </wps:spPr>
                        <wps:bodyPr/>
                      </wps:wsp>
                      <wps:wsp>
                        <wps:cNvPr id="33" name="Rectangle 620"/>
                        <wps:cNvSpPr>
                          <a:spLocks noChangeArrowheads="1"/>
                        </wps:cNvSpPr>
                        <wps:spPr bwMode="auto">
                          <a:xfrm>
                            <a:off x="1056473" y="1612166"/>
                            <a:ext cx="362004" cy="1350010"/>
                          </a:xfrm>
                          <a:prstGeom prst="rect">
                            <a:avLst/>
                          </a:prstGeom>
                          <a:solidFill>
                            <a:srgbClr val="FFFFFF"/>
                          </a:solidFill>
                          <a:ln w="9525">
                            <a:solidFill>
                              <a:srgbClr val="000000"/>
                            </a:solidFill>
                            <a:miter lim="800000"/>
                          </a:ln>
                        </wps:spPr>
                        <wps:txbx>
                          <w:txbxContent>
                            <w:p>
                              <w:r>
                                <w:rPr>
                                  <w:rFonts w:hint="eastAsia"/>
                                </w:rPr>
                                <w:t xml:space="preserve">现场处置组   </w:t>
                              </w:r>
                            </w:p>
                          </w:txbxContent>
                        </wps:txbx>
                        <wps:bodyPr rot="0" vert="horz" wrap="square" lIns="91440" tIns="45720" rIns="91440" bIns="45720" anchor="t" anchorCtr="0" upright="1">
                          <a:noAutofit/>
                        </wps:bodyPr>
                      </wps:wsp>
                      <wps:wsp>
                        <wps:cNvPr id="34" name="Rectangle 620"/>
                        <wps:cNvSpPr>
                          <a:spLocks noChangeArrowheads="1"/>
                        </wps:cNvSpPr>
                        <wps:spPr bwMode="auto">
                          <a:xfrm>
                            <a:off x="159332" y="1615099"/>
                            <a:ext cx="362004" cy="1350010"/>
                          </a:xfrm>
                          <a:prstGeom prst="rect">
                            <a:avLst/>
                          </a:prstGeom>
                          <a:solidFill>
                            <a:srgbClr val="FFFFFF"/>
                          </a:solidFill>
                          <a:ln w="9525">
                            <a:solidFill>
                              <a:srgbClr val="000000"/>
                            </a:solidFill>
                            <a:miter lim="800000"/>
                          </a:ln>
                        </wps:spPr>
                        <wps:txbx>
                          <w:txbxContent>
                            <w:p>
                              <w:r>
                                <w:rPr>
                                  <w:rFonts w:hint="eastAsia"/>
                                </w:rPr>
                                <w:t xml:space="preserve">综合协调组  </w:t>
                              </w:r>
                            </w:p>
                          </w:txbxContent>
                        </wps:txbx>
                        <wps:bodyPr rot="0" vert="horz" wrap="square" lIns="91440" tIns="45720" rIns="91440" bIns="45720" anchor="t" anchorCtr="0" upright="1">
                          <a:noAutofit/>
                        </wps:bodyPr>
                      </wps:wsp>
                      <wps:wsp>
                        <wps:cNvPr id="35" name="Rectangle 620"/>
                        <wps:cNvSpPr>
                          <a:spLocks noChangeArrowheads="1"/>
                        </wps:cNvSpPr>
                        <wps:spPr bwMode="auto">
                          <a:xfrm>
                            <a:off x="3256213" y="1612866"/>
                            <a:ext cx="362004" cy="1350010"/>
                          </a:xfrm>
                          <a:prstGeom prst="rect">
                            <a:avLst/>
                          </a:prstGeom>
                          <a:solidFill>
                            <a:srgbClr val="FFFFFF"/>
                          </a:solidFill>
                          <a:ln w="9525">
                            <a:solidFill>
                              <a:srgbClr val="000000"/>
                            </a:solidFill>
                            <a:miter lim="800000"/>
                          </a:ln>
                        </wps:spPr>
                        <wps:txbx>
                          <w:txbxContent>
                            <w:p>
                              <w:r>
                                <w:rPr>
                                  <w:rFonts w:hint="eastAsia"/>
                                </w:rPr>
                                <w:t xml:space="preserve">后勤保障组  </w:t>
                              </w:r>
                            </w:p>
                          </w:txbxContent>
                        </wps:txbx>
                        <wps:bodyPr rot="0" vert="horz" wrap="square" lIns="91440" tIns="45720" rIns="91440" bIns="45720" anchor="t" anchorCtr="0" upright="1">
                          <a:noAutofit/>
                        </wps:bodyPr>
                      </wps:wsp>
                      <wps:wsp>
                        <wps:cNvPr id="36" name="AutoShape 630"/>
                        <wps:cNvCnPr>
                          <a:cxnSpLocks noChangeShapeType="1"/>
                        </wps:cNvCnPr>
                        <wps:spPr bwMode="auto">
                          <a:xfrm flipV="1">
                            <a:off x="332606" y="1349364"/>
                            <a:ext cx="1900" cy="263502"/>
                          </a:xfrm>
                          <a:prstGeom prst="straightConnector1">
                            <a:avLst/>
                          </a:prstGeom>
                          <a:noFill/>
                          <a:ln w="9525">
                            <a:solidFill>
                              <a:srgbClr val="000000"/>
                            </a:solidFill>
                            <a:round/>
                            <a:headEnd type="triangle"/>
                          </a:ln>
                        </wps:spPr>
                        <wps:bodyPr/>
                      </wps:wsp>
                      <wps:wsp>
                        <wps:cNvPr id="180" name="Rectangle 612"/>
                        <wps:cNvSpPr>
                          <a:spLocks noChangeArrowheads="1"/>
                        </wps:cNvSpPr>
                        <wps:spPr bwMode="auto">
                          <a:xfrm>
                            <a:off x="1122188" y="831337"/>
                            <a:ext cx="1581264" cy="254857"/>
                          </a:xfrm>
                          <a:prstGeom prst="rect">
                            <a:avLst/>
                          </a:prstGeom>
                          <a:solidFill>
                            <a:srgbClr val="FFFFFF"/>
                          </a:solidFill>
                          <a:ln w="9525">
                            <a:solidFill>
                              <a:srgbClr val="000000"/>
                            </a:solidFill>
                            <a:miter lim="800000"/>
                          </a:ln>
                        </wps:spPr>
                        <wps:txbx>
                          <w:txbxContent>
                            <w:p>
                              <w:pPr>
                                <w:jc w:val="center"/>
                              </w:pPr>
                              <w:r>
                                <w:rPr>
                                  <w:rFonts w:hint="eastAsia"/>
                                </w:rPr>
                                <w:t>应急领导小组办公室</w:t>
                              </w:r>
                            </w:p>
                          </w:txbxContent>
                        </wps:txbx>
                        <wps:bodyPr rot="0" vert="horz" wrap="square" lIns="91440" tIns="45720" rIns="91440" bIns="45720" anchor="t" anchorCtr="0" upright="1">
                          <a:noAutofit/>
                        </wps:bodyPr>
                      </wps:wsp>
                      <wps:wsp>
                        <wps:cNvPr id="254" name="AutoShape 630"/>
                        <wps:cNvCnPr>
                          <a:cxnSpLocks noChangeShapeType="1"/>
                        </wps:cNvCnPr>
                        <wps:spPr bwMode="auto">
                          <a:xfrm flipV="1">
                            <a:off x="1927587" y="1085896"/>
                            <a:ext cx="1900" cy="263502"/>
                          </a:xfrm>
                          <a:prstGeom prst="straightConnector1">
                            <a:avLst/>
                          </a:prstGeom>
                          <a:noFill/>
                          <a:ln w="9525">
                            <a:solidFill>
                              <a:srgbClr val="000000"/>
                            </a:solidFill>
                            <a:round/>
                            <a:headEnd type="triangle"/>
                          </a:ln>
                        </wps:spPr>
                        <wps:bodyPr/>
                      </wps:wsp>
                      <wps:wsp>
                        <wps:cNvPr id="255" name="AutoShape 630"/>
                        <wps:cNvCnPr>
                          <a:cxnSpLocks noChangeShapeType="1"/>
                        </wps:cNvCnPr>
                        <wps:spPr bwMode="auto">
                          <a:xfrm flipV="1">
                            <a:off x="1917736" y="570381"/>
                            <a:ext cx="1900" cy="263502"/>
                          </a:xfrm>
                          <a:prstGeom prst="straightConnector1">
                            <a:avLst/>
                          </a:prstGeom>
                          <a:noFill/>
                          <a:ln w="9525">
                            <a:solidFill>
                              <a:srgbClr val="000000"/>
                            </a:solidFill>
                            <a:round/>
                            <a:headEnd type="triangle"/>
                          </a:ln>
                        </wps:spPr>
                        <wps:bodyPr/>
                      </wps:wsp>
                    </wpc:wpc>
                  </a:graphicData>
                </a:graphic>
              </wp:inline>
            </w:drawing>
          </mc:Choice>
          <mc:Fallback>
            <w:pict>
              <v:group id="画布 487" o:spid="_x0000_s1026" o:spt="203" style="height:245.4pt;width:312.4pt;" coordsize="3967480,3116580" editas="canvas" o:gfxdata="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">
                <o:lock v:ext="edit" aspectratio="f"/>
                <v:shape id="画布 487" o:spid="_x0000_s1026" style="position:absolute;left:0;top:0;height:3116580;width:3967480;" filled="f" stroked="f" coordsize="21600,21600" o:gfxdata="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">
                  <v:fill on="f" focussize="0,0"/>
                  <v:stroke on="f"/>
                  <v:imagedata o:title=""/>
                  <o:lock v:ext="edit" aspectratio="f"/>
                </v:shape>
                <v:rect id="Rectangle 608" o:spid="_x0000_s1026" o:spt="1" style="position:absolute;left:1129832;top:310101;height:260216;width:1580838;" fillcolor="#FFFFFF" filled="t" stroked="t" coordsize="21600,21600" o:gfxdata="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oCxJ9UAAAAFAQAADwAAAAAAAAABACAAAAAiAAAAZHJzL2Rvd25y&#10;ZXYueG1sUEsBAhQAFAAAAAgAh07iQE5i+Qc6AgAAiwQAAA4AAAAAAAAAAQAgAAAAJAEAAGRycy9l&#10;Mm9Eb2MueG1sUEsFBgAAAAAGAAYAWQEAANAFAAAAAA==&#10;">
                  <v:fill on="t" focussize="0,0"/>
                  <v:stroke color="#000000" miterlimit="8" joinstyle="miter"/>
                  <v:imagedata o:title=""/>
                  <o:lock v:ext="edit" aspectratio="f"/>
                  <v:textbox>
                    <w:txbxContent>
                      <w:p>
                        <w:pPr>
                          <w:jc w:val="center"/>
                        </w:pPr>
                        <w:r>
                          <w:rPr>
                            <w:rFonts w:hint="eastAsia"/>
                          </w:rPr>
                          <w:t xml:space="preserve">应急领导小组   </w:t>
                        </w:r>
                      </w:p>
                    </w:txbxContent>
                  </v:textbox>
                </v:rect>
                <v:shape id="AutoShape 618" o:spid="_x0000_s1026" o:spt="32" type="#_x0000_t32" style="position:absolute;left:332606;top:1348664;flip:y;height:700;width:3088256;" filled="f" stroked="t" coordsize="21600,21600" o:gfxdata="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h6LJs&#10;1AAAAAUBAAAPAAAAAAAAAAEAIAAAACIAAABkcnMvZG93bnJldi54bWxQSwECFAAUAAAACACHTuJA&#10;CDgikOwBAADMAwAADgAAAAAAAAABACAAAAAjAQAAZHJzL2Uyb0RvYy54bWxQSwUGAAAAAAYABgBZ&#10;AQAAgQUAAAAA&#10;">
                  <v:fill on="f" focussize="0,0"/>
                  <v:stroke color="#000000" joinstyle="round"/>
                  <v:imagedata o:title=""/>
                  <o:lock v:ext="edit" aspectratio="f"/>
                </v:shape>
                <v:rect id="Rectangle 623" o:spid="_x0000_s1026" o:spt="1" style="position:absolute;left:2374607;top:1615796;height:1350110;width:362604;" fillcolor="#FFFFFF" filled="t" stroked="t" coordsize="21600,21600" o:gfxdata="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PqAsSfVAAAABQEAAA8AAAAAAAAAAQAgAAAAIgAAAGRycy9k&#10;b3ducmV2LnhtbFBLAQIUABQAAAAIAIdO4kCy6OBlPgIAAIwEAAAOAAAAAAAAAAEAIAAAACQBAABk&#10;cnMvZTJvRG9jLnhtbFBLBQYAAAAABgAGAFkBAADUBQAAAAA=&#10;">
                  <v:fill on="t" focussize="0,0"/>
                  <v:stroke color="#000000" miterlimit="8" joinstyle="miter"/>
                  <v:imagedata o:title=""/>
                  <o:lock v:ext="edit" aspectratio="f"/>
                  <v:textbox>
                    <w:txbxContent>
                      <w:p>
                        <w:r>
                          <w:rPr>
                            <w:rFonts w:hint="eastAsia"/>
                          </w:rPr>
                          <w:t xml:space="preserve">应急监测组   </w:t>
                        </w:r>
                      </w:p>
                    </w:txbxContent>
                  </v:textbox>
                </v:rect>
                <v:shape id="AutoShape 630" o:spid="_x0000_s1026" o:spt="32" type="#_x0000_t32" style="position:absolute;left:2547789;top:1349364;flip:y;height:263502;width:1900;" filled="f" stroked="t" coordsize="21600,21600" o:gfxdata="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GhWA+1gAAAAUBAAAPAAAAAAAAAAEAIAAAACIAAABkcnMvZG93bnJldi54&#10;bWxQSwECFAAUAAAACACHTuJAsVet3/wBAADpAwAADgAAAAAAAAABACAAAAAlAQAAZHJzL2Uyb0Rv&#10;Yy54bWxQSwUGAAAAAAYABgBZAQAAkwUAAAAA&#10;">
                  <v:fill on="f" focussize="0,0"/>
                  <v:stroke color="#000000" joinstyle="round" startarrow="block"/>
                  <v:imagedata o:title=""/>
                  <o:lock v:ext="edit" aspectratio="f"/>
                </v:shape>
                <v:shape id="AutoShape 630" o:spid="_x0000_s1026" o:spt="32" type="#_x0000_t32" style="position:absolute;left:3418962;top:1349264;flip:y;height:263502;width:1900;" filled="f" stroked="t" coordsize="21600,21600" o:gfxdata="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GhWA+1gAAAAUBAAAPAAAAAAAAAAEAIAAAACIAAABkcnMvZG93bnJldi54&#10;bWxQSwECFAAUAAAACACHTuJAQXUFGPwBAADpAwAADgAAAAAAAAABACAAAAAlAQAAZHJzL2Uyb0Rv&#10;Yy54bWxQSwUGAAAAAAYABgBZAQAAkwUAAAAA&#10;">
                  <v:fill on="f" focussize="0,0"/>
                  <v:stroke color="#000000" joinstyle="round" startarrow="block"/>
                  <v:imagedata o:title=""/>
                  <o:lock v:ext="edit" aspectratio="f"/>
                </v:shape>
                <v:shape id="AutoShape 630" o:spid="_x0000_s1026" o:spt="32" type="#_x0000_t32" style="position:absolute;left:1219878;top:1348664;flip:y;height:263502;width:1900;" filled="f" stroked="t" coordsize="21600,21600" o:gfxdata="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aFYD7WAAAABQEAAA8AAAAAAAAAAQAgAAAAIgAAAGRycy9k&#10;b3ducmV2LnhtbFBLAQIUABQAAAAIAIdO4kCZhNlIBAIAAAEEAAAOAAAAAAAAAAEAIAAAACUBAABk&#10;cnMvZTJvRG9jLnhtbFBLBQYAAAAABgAGAFkBAACbBQAAAAA=&#10;">
                  <v:fill on="f" focussize="0,0"/>
                  <v:stroke color="#000000" joinstyle="round" startarrow="block"/>
                  <v:imagedata o:title=""/>
                  <o:lock v:ext="edit" aspectratio="f"/>
                </v:shape>
                <v:rect id="Rectangle 620" o:spid="_x0000_s1026" o:spt="1" style="position:absolute;left:1056473;top:1612166;height:1350010;width:362004;" fillcolor="#FFFFFF" filled="t" stroked="t" coordsize="21600,21600" o:gfxdata="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PqAsSfVAAAABQEAAA8AAAAAAAAAAQAgAAAAIgAAAGRycy9kb3du&#10;cmV2LnhtbFBLAQIUABQAAAAIAIdO4kAyrTGaOwIAAIwEAAAOAAAAAAAAAAEAIAAAACQBAABkcnMv&#10;ZTJvRG9jLnhtbFBLBQYAAAAABgAGAFkBAADRBQAAAAA=&#10;">
                  <v:fill on="t" focussize="0,0"/>
                  <v:stroke color="#000000" miterlimit="8" joinstyle="miter"/>
                  <v:imagedata o:title=""/>
                  <o:lock v:ext="edit" aspectratio="f"/>
                  <v:textbox>
                    <w:txbxContent>
                      <w:p>
                        <w:r>
                          <w:rPr>
                            <w:rFonts w:hint="eastAsia"/>
                          </w:rPr>
                          <w:t xml:space="preserve">现场处置组   </w:t>
                        </w:r>
                      </w:p>
                    </w:txbxContent>
                  </v:textbox>
                </v:rect>
                <v:rect id="Rectangle 620" o:spid="_x0000_s1026" o:spt="1" style="position:absolute;left:159332;top:1615099;height:1350010;width:362004;" fillcolor="#FFFFFF" filled="t" stroked="t" coordsize="21600,21600" o:gfxdata="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oCxJ9UAAAAFAQAADwAAAAAAAAABACAAAAAiAAAAZHJzL2Rvd25y&#10;ZXYueG1sUEsBAhQAFAAAAAgAh07iQEWnrRI6AgAAiwQAAA4AAAAAAAAAAQAgAAAAJAEAAGRycy9l&#10;Mm9Eb2MueG1sUEsFBgAAAAAGAAYAWQEAANAFAAAAAA==&#10;">
                  <v:fill on="t" focussize="0,0"/>
                  <v:stroke color="#000000" miterlimit="8" joinstyle="miter"/>
                  <v:imagedata o:title=""/>
                  <o:lock v:ext="edit" aspectratio="f"/>
                  <v:textbox>
                    <w:txbxContent>
                      <w:p>
                        <w:r>
                          <w:rPr>
                            <w:rFonts w:hint="eastAsia"/>
                          </w:rPr>
                          <w:t xml:space="preserve">综合协调组  </w:t>
                        </w:r>
                      </w:p>
                    </w:txbxContent>
                  </v:textbox>
                </v:rect>
                <v:rect id="Rectangle 620" o:spid="_x0000_s1026" o:spt="1" style="position:absolute;left:3256213;top:1612866;height:1350010;width:362004;" fillcolor="#FFFFFF" filled="t" stroked="t" coordsize="21600,21600" o:gfxdata="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PqAsSfVAAAABQEAAA8AAAAAAAAAAQAgAAAAIgAAAGRycy9kb3du&#10;cmV2LnhtbFBLAQIUABQAAAAIAIdO4kDfkdN5OwIAAIwEAAAOAAAAAAAAAAEAIAAAACQBAABkcnMv&#10;ZTJvRG9jLnhtbFBLBQYAAAAABgAGAFkBAADRBQAAAAA=&#10;">
                  <v:fill on="t" focussize="0,0"/>
                  <v:stroke color="#000000" miterlimit="8" joinstyle="miter"/>
                  <v:imagedata o:title=""/>
                  <o:lock v:ext="edit" aspectratio="f"/>
                  <v:textbox>
                    <w:txbxContent>
                      <w:p>
                        <w:r>
                          <w:rPr>
                            <w:rFonts w:hint="eastAsia"/>
                          </w:rPr>
                          <w:t xml:space="preserve">后勤保障组  </w:t>
                        </w:r>
                      </w:p>
                    </w:txbxContent>
                  </v:textbox>
                </v:rect>
                <v:shape id="AutoShape 630" o:spid="_x0000_s1026" o:spt="32" type="#_x0000_t32" style="position:absolute;left:332606;top:1349364;flip:y;height:263502;width:1900;" filled="f" stroked="t" coordsize="21600,21600" o:gfxdata="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RoVgPtYAAAAFAQAADwAAAAAAAAABACAAAAAiAAAAZHJzL2Rvd25yZXYueG1s&#10;UEsBAhQAFAAAAAgAh07iQNrJzrP6AQAA6AMAAA4AAAAAAAAAAQAgAAAAJQEAAGRycy9lMm9Eb2Mu&#10;eG1sUEsFBgAAAAAGAAYAWQEAAJEFAAAAAA==&#10;">
                  <v:fill on="f" focussize="0,0"/>
                  <v:stroke color="#000000" joinstyle="round" startarrow="block"/>
                  <v:imagedata o:title=""/>
                  <o:lock v:ext="edit" aspectratio="f"/>
                </v:shape>
                <v:rect id="Rectangle 612" o:spid="_x0000_s1026" o:spt="1" style="position:absolute;left:1122188;top:831337;height:254857;width:1581264;" fillcolor="#FFFFFF" filled="t" stroked="t" coordsize="21600,21600" o:gfxdata="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6gLEn1QAAAAUBAAAPAAAAAAAAAAEAIAAAACIAAABkcnMvZG93&#10;bnJldi54bWxQSwECFAAUAAAACACHTuJAEk9C4DwCAACMBAAADgAAAAAAAAABACAAAAAkAQAAZHJz&#10;L2Uyb0RvYy54bWxQSwUGAAAAAAYABgBZAQAA0gUAAAAA&#10;">
                  <v:fill on="t" focussize="0,0"/>
                  <v:stroke color="#000000" miterlimit="8" joinstyle="miter"/>
                  <v:imagedata o:title=""/>
                  <o:lock v:ext="edit" aspectratio="f"/>
                  <v:textbox>
                    <w:txbxContent>
                      <w:p>
                        <w:pPr>
                          <w:jc w:val="center"/>
                        </w:pPr>
                        <w:r>
                          <w:rPr>
                            <w:rFonts w:hint="eastAsia"/>
                          </w:rPr>
                          <w:t>应急领导小组办公室</w:t>
                        </w:r>
                      </w:p>
                    </w:txbxContent>
                  </v:textbox>
                </v:rect>
                <v:shape id="AutoShape 630" o:spid="_x0000_s1026" o:spt="32" type="#_x0000_t32" style="position:absolute;left:1927587;top:1085896;flip:y;height:263502;width:1900;" filled="f" stroked="t" coordsize="21600,21600" o:gfxdata="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aFYD7WAAAABQEAAA8AAAAAAAAAAQAgAAAAIgAAAGRycy9kb3ducmV2Lnht&#10;bFBLAQIUABQAAAAIAIdO4kCW1A7f+wEAAOoDAAAOAAAAAAAAAAEAIAAAACUBAABkcnMvZTJvRG9j&#10;LnhtbFBLBQYAAAAABgAGAFkBAACSBQAAAAA=&#10;">
                  <v:fill on="f" focussize="0,0"/>
                  <v:stroke color="#000000" joinstyle="round" startarrow="block"/>
                  <v:imagedata o:title=""/>
                  <o:lock v:ext="edit" aspectratio="f"/>
                </v:shape>
                <v:shape id="AutoShape 630" o:spid="_x0000_s1026" o:spt="32" type="#_x0000_t32" style="position:absolute;left:1917736;top:570381;flip:y;height:263502;width:1900;" filled="f" stroked="t" coordsize="21600,21600" o:gfxdata="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aFYD7WAAAABQEAAA8AAAAAAAAAAQAgAAAAIgAAAGRycy9kb3ducmV2Lnht&#10;bFBLAQIUABQAAAAIAIdO4kB4pzws+wEAAOkDAAAOAAAAAAAAAAEAIAAAACUBAABkcnMvZTJvRG9j&#10;LnhtbFBLBQYAAAAABgAGAFkBAACSBQAAAAA=&#10;">
                  <v:fill on="f" focussize="0,0"/>
                  <v:stroke color="#000000" joinstyle="round" startarrow="block"/>
                  <v:imagedata o:title=""/>
                  <o:lock v:ext="edit" aspectratio="f"/>
                </v:shape>
                <w10:wrap type="none"/>
                <w10:anchorlock/>
              </v:group>
            </w:pict>
          </mc:Fallback>
        </mc:AlternateContent>
      </w:r>
    </w:p>
    <w:p>
      <w:pPr>
        <w:spacing w:line="360" w:lineRule="auto"/>
        <w:jc w:val="center"/>
      </w:pPr>
      <w:r>
        <w:rPr>
          <w:rFonts w:hint="eastAsia" w:eastAsia="仿宋"/>
          <w:b/>
          <w:szCs w:val="21"/>
        </w:rPr>
        <w:t>图3.1-1</w:t>
      </w:r>
      <w:r>
        <w:rPr>
          <w:rFonts w:eastAsia="仿宋"/>
          <w:b/>
          <w:szCs w:val="21"/>
        </w:rPr>
        <w:t xml:space="preserve"> </w:t>
      </w:r>
      <w:r>
        <w:rPr>
          <w:rFonts w:hint="eastAsia" w:eastAsia="仿宋"/>
          <w:b/>
          <w:szCs w:val="21"/>
          <w:lang w:eastAsia="zh-CN"/>
        </w:rPr>
        <w:t>翁源县中源发展有限公司</w:t>
      </w:r>
      <w:r>
        <w:rPr>
          <w:rFonts w:hint="eastAsia" w:eastAsia="仿宋"/>
          <w:b/>
          <w:szCs w:val="21"/>
        </w:rPr>
        <w:t>环境突发事件应急机构组织体系图</w:t>
      </w:r>
    </w:p>
    <w:p>
      <w:pPr>
        <w:spacing w:before="120" w:beforeLines="50" w:line="360" w:lineRule="auto"/>
        <w:outlineLvl w:val="1"/>
        <w:rPr>
          <w:b/>
          <w:sz w:val="30"/>
          <w:szCs w:val="30"/>
        </w:rPr>
      </w:pPr>
      <w:bookmarkStart w:id="55" w:name="_Toc8143"/>
      <w:r>
        <w:rPr>
          <w:b/>
          <w:sz w:val="30"/>
          <w:szCs w:val="30"/>
        </w:rPr>
        <w:t>3.2职责</w:t>
      </w:r>
      <w:bookmarkEnd w:id="55"/>
    </w:p>
    <w:p>
      <w:pPr>
        <w:spacing w:before="120" w:beforeLines="50" w:line="360" w:lineRule="auto"/>
        <w:ind w:firstLine="480" w:firstLineChars="200"/>
        <w:rPr>
          <w:rFonts w:eastAsia="仿宋_GB2312"/>
          <w:sz w:val="24"/>
        </w:rPr>
      </w:pPr>
      <w:r>
        <w:rPr>
          <w:rFonts w:hint="eastAsia" w:eastAsia="仿宋_GB2312"/>
          <w:sz w:val="24"/>
        </w:rPr>
        <w:t>应急领导小组及各应急救援小组是突发环境事件应急的主要力量，其任务主要是担负厂区突发环境事件的应急救援工作。各应急岗组联系方式和职责见表3.2</w:t>
      </w:r>
      <w:r>
        <w:rPr>
          <w:rFonts w:eastAsia="仿宋_GB2312"/>
          <w:sz w:val="24"/>
        </w:rPr>
        <w:t>-1</w:t>
      </w:r>
      <w:r>
        <w:rPr>
          <w:rFonts w:hint="eastAsia" w:eastAsia="仿宋_GB2312"/>
          <w:sz w:val="24"/>
        </w:rPr>
        <w:t>和表3.2</w:t>
      </w:r>
      <w:r>
        <w:rPr>
          <w:rFonts w:eastAsia="仿宋_GB2312"/>
          <w:sz w:val="24"/>
        </w:rPr>
        <w:t>-2</w:t>
      </w:r>
      <w:r>
        <w:rPr>
          <w:rFonts w:hint="eastAsia" w:eastAsia="仿宋_GB2312"/>
          <w:sz w:val="24"/>
        </w:rPr>
        <w:t>。</w:t>
      </w:r>
    </w:p>
    <w:p>
      <w:pPr>
        <w:spacing w:before="120" w:beforeLines="50" w:line="360" w:lineRule="auto"/>
        <w:ind w:firstLine="480" w:firstLineChars="200"/>
        <w:rPr>
          <w:rFonts w:eastAsia="仿宋_GB2312"/>
          <w:sz w:val="24"/>
        </w:rPr>
      </w:pPr>
    </w:p>
    <w:p>
      <w:pPr>
        <w:spacing w:before="120" w:beforeLines="50" w:line="360" w:lineRule="auto"/>
        <w:ind w:firstLine="480" w:firstLineChars="200"/>
        <w:rPr>
          <w:rFonts w:eastAsia="仿宋_GB2312"/>
          <w:sz w:val="24"/>
        </w:rPr>
      </w:pPr>
    </w:p>
    <w:p>
      <w:pPr>
        <w:spacing w:line="360" w:lineRule="auto"/>
        <w:ind w:firstLine="2951" w:firstLineChars="1400"/>
        <w:rPr>
          <w:b/>
          <w:kern w:val="0"/>
          <w:szCs w:val="21"/>
        </w:rPr>
      </w:pPr>
      <w:r>
        <w:rPr>
          <w:b/>
          <w:szCs w:val="21"/>
        </w:rPr>
        <w:t>表</w:t>
      </w:r>
      <w:r>
        <w:rPr>
          <w:rFonts w:hint="eastAsia"/>
          <w:b/>
          <w:szCs w:val="21"/>
        </w:rPr>
        <w:t>3.2-1</w:t>
      </w:r>
      <w:r>
        <w:rPr>
          <w:b/>
          <w:szCs w:val="21"/>
        </w:rPr>
        <w:t xml:space="preserve"> </w:t>
      </w:r>
      <w:r>
        <w:rPr>
          <w:b/>
          <w:kern w:val="0"/>
          <w:szCs w:val="21"/>
        </w:rPr>
        <w:t>内部应急联络表</w:t>
      </w:r>
    </w:p>
    <w:tbl>
      <w:tblPr>
        <w:tblStyle w:val="32"/>
        <w:tblW w:w="5000" w:type="pct"/>
        <w:jc w:val="center"/>
        <w:tblLayout w:type="autofit"/>
        <w:tblCellMar>
          <w:top w:w="0" w:type="dxa"/>
          <w:left w:w="108" w:type="dxa"/>
          <w:bottom w:w="0" w:type="dxa"/>
          <w:right w:w="108" w:type="dxa"/>
        </w:tblCellMar>
      </w:tblPr>
      <w:tblGrid>
        <w:gridCol w:w="1167"/>
        <w:gridCol w:w="1410"/>
        <w:gridCol w:w="1364"/>
        <w:gridCol w:w="2304"/>
        <w:gridCol w:w="2283"/>
      </w:tblGrid>
      <w:tr>
        <w:tblPrEx>
          <w:tblCellMar>
            <w:top w:w="0" w:type="dxa"/>
            <w:left w:w="108" w:type="dxa"/>
            <w:bottom w:w="0" w:type="dxa"/>
            <w:right w:w="108" w:type="dxa"/>
          </w:tblCellMar>
        </w:tblPrEx>
        <w:trPr>
          <w:trHeight w:val="441" w:hRule="atLeast"/>
          <w:jc w:val="center"/>
        </w:trPr>
        <w:tc>
          <w:tcPr>
            <w:tcW w:w="1510" w:type="pct"/>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应急职责</w:t>
            </w:r>
          </w:p>
        </w:tc>
        <w:tc>
          <w:tcPr>
            <w:tcW w:w="799" w:type="pct"/>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姓名</w:t>
            </w:r>
          </w:p>
        </w:tc>
        <w:tc>
          <w:tcPr>
            <w:tcW w:w="1350" w:type="pct"/>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职务</w:t>
            </w:r>
          </w:p>
        </w:tc>
        <w:tc>
          <w:tcPr>
            <w:tcW w:w="1338" w:type="pct"/>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手机号码</w:t>
            </w:r>
          </w:p>
        </w:tc>
      </w:tr>
      <w:tr>
        <w:tblPrEx>
          <w:tblCellMar>
            <w:top w:w="0" w:type="dxa"/>
            <w:left w:w="108" w:type="dxa"/>
            <w:bottom w:w="0" w:type="dxa"/>
            <w:right w:w="108" w:type="dxa"/>
          </w:tblCellMar>
        </w:tblPrEx>
        <w:trPr>
          <w:trHeight w:val="441" w:hRule="atLeast"/>
          <w:jc w:val="center"/>
        </w:trPr>
        <w:tc>
          <w:tcPr>
            <w:tcW w:w="1510" w:type="pct"/>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总指挥</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肖正祥</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总经理</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13927838628</w:t>
            </w:r>
          </w:p>
        </w:tc>
      </w:tr>
      <w:tr>
        <w:tblPrEx>
          <w:tblCellMar>
            <w:top w:w="0" w:type="dxa"/>
            <w:left w:w="108" w:type="dxa"/>
            <w:bottom w:w="0" w:type="dxa"/>
            <w:right w:w="108" w:type="dxa"/>
          </w:tblCellMar>
        </w:tblPrEx>
        <w:trPr>
          <w:trHeight w:val="441" w:hRule="atLeast"/>
          <w:jc w:val="center"/>
        </w:trPr>
        <w:tc>
          <w:tcPr>
            <w:tcW w:w="1510" w:type="pct"/>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副总指挥</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赵志兴</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生产副总</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13828515582</w:t>
            </w:r>
          </w:p>
        </w:tc>
      </w:tr>
      <w:tr>
        <w:tblPrEx>
          <w:tblCellMar>
            <w:top w:w="0" w:type="dxa"/>
            <w:left w:w="108" w:type="dxa"/>
            <w:bottom w:w="0" w:type="dxa"/>
            <w:right w:w="108" w:type="dxa"/>
          </w:tblCellMar>
        </w:tblPrEx>
        <w:trPr>
          <w:trHeight w:val="441" w:hRule="atLeast"/>
          <w:jc w:val="center"/>
        </w:trPr>
        <w:tc>
          <w:tcPr>
            <w:tcW w:w="1510" w:type="pct"/>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办公室主任</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丘发亮</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cs="宋体"/>
                <w:i w:val="0"/>
                <w:iCs w:val="0"/>
                <w:color w:val="000000"/>
                <w:kern w:val="0"/>
                <w:sz w:val="21"/>
                <w:szCs w:val="21"/>
                <w:u w:val="none"/>
                <w:lang w:val="en-US" w:eastAsia="zh-CN" w:bidi="ar"/>
              </w:rPr>
              <w:t>安全环保部</w:t>
            </w:r>
            <w:r>
              <w:rPr>
                <w:rFonts w:hint="eastAsia" w:ascii="宋体" w:hAnsi="宋体" w:eastAsia="宋体" w:cs="宋体"/>
                <w:i w:val="0"/>
                <w:iCs w:val="0"/>
                <w:color w:val="000000"/>
                <w:kern w:val="0"/>
                <w:sz w:val="21"/>
                <w:szCs w:val="21"/>
                <w:u w:val="none"/>
                <w:lang w:val="en-US" w:eastAsia="zh-CN" w:bidi="ar"/>
              </w:rPr>
              <w:t>主任</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15219802005</w:t>
            </w:r>
          </w:p>
        </w:tc>
      </w:tr>
      <w:tr>
        <w:tblPrEx>
          <w:tblCellMar>
            <w:top w:w="0" w:type="dxa"/>
            <w:left w:w="108" w:type="dxa"/>
            <w:bottom w:w="0" w:type="dxa"/>
            <w:right w:w="108" w:type="dxa"/>
          </w:tblCellMar>
        </w:tblPrEx>
        <w:trPr>
          <w:trHeight w:val="441" w:hRule="atLeast"/>
          <w:jc w:val="center"/>
        </w:trPr>
        <w:tc>
          <w:tcPr>
            <w:tcW w:w="1510" w:type="pct"/>
            <w:gridSpan w:val="2"/>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应急领导小组成员</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李泽斌</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cs="宋体"/>
                <w:i w:val="0"/>
                <w:iCs w:val="0"/>
                <w:color w:val="000000"/>
                <w:kern w:val="0"/>
                <w:sz w:val="21"/>
                <w:szCs w:val="21"/>
                <w:u w:val="none"/>
                <w:lang w:val="en-US" w:eastAsia="zh-CN" w:bidi="ar"/>
              </w:rPr>
              <w:t>安全环保部</w:t>
            </w:r>
            <w:r>
              <w:rPr>
                <w:rFonts w:hint="eastAsia" w:ascii="宋体" w:hAnsi="宋体" w:eastAsia="宋体" w:cs="宋体"/>
                <w:i w:val="0"/>
                <w:iCs w:val="0"/>
                <w:color w:val="000000"/>
                <w:kern w:val="0"/>
                <w:sz w:val="21"/>
                <w:szCs w:val="21"/>
                <w:u w:val="none"/>
                <w:lang w:val="en-US" w:eastAsia="zh-CN" w:bidi="ar"/>
              </w:rPr>
              <w:t>主管</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13420598993</w:t>
            </w:r>
          </w:p>
        </w:tc>
      </w:tr>
      <w:tr>
        <w:tblPrEx>
          <w:tblCellMar>
            <w:top w:w="0" w:type="dxa"/>
            <w:left w:w="108" w:type="dxa"/>
            <w:bottom w:w="0" w:type="dxa"/>
            <w:right w:w="108" w:type="dxa"/>
          </w:tblCellMar>
        </w:tblPrEx>
        <w:trPr>
          <w:trHeight w:val="441" w:hRule="atLeast"/>
          <w:jc w:val="center"/>
        </w:trPr>
        <w:tc>
          <w:tcPr>
            <w:tcW w:w="1510" w:type="pct"/>
            <w:gridSpan w:val="2"/>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曾洁</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安环专员</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18825120133</w:t>
            </w:r>
          </w:p>
        </w:tc>
      </w:tr>
      <w:tr>
        <w:tblPrEx>
          <w:tblCellMar>
            <w:top w:w="0" w:type="dxa"/>
            <w:left w:w="108" w:type="dxa"/>
            <w:bottom w:w="0" w:type="dxa"/>
            <w:right w:w="108" w:type="dxa"/>
          </w:tblCellMar>
        </w:tblPrEx>
        <w:trPr>
          <w:trHeight w:val="441" w:hRule="atLeast"/>
          <w:jc w:val="center"/>
        </w:trPr>
        <w:tc>
          <w:tcPr>
            <w:tcW w:w="684" w:type="pct"/>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现场处置组</w:t>
            </w: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组长</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黄华</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生产技术部部长</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13827994342</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rPr>
              <w:t>组员</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黄锋山</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机械室主任</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18933726886</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徐良锋</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烧成主任</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13030127283</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rPr>
              <w:t>组员</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胡春添</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原料主任</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13827967298</w:t>
            </w:r>
          </w:p>
        </w:tc>
      </w:tr>
      <w:tr>
        <w:tblPrEx>
          <w:tblCellMar>
            <w:top w:w="0" w:type="dxa"/>
            <w:left w:w="108" w:type="dxa"/>
            <w:bottom w:w="0" w:type="dxa"/>
            <w:right w:w="108" w:type="dxa"/>
          </w:tblCellMar>
        </w:tblPrEx>
        <w:trPr>
          <w:trHeight w:val="441" w:hRule="atLeast"/>
          <w:jc w:val="center"/>
        </w:trPr>
        <w:tc>
          <w:tcPr>
            <w:tcW w:w="684" w:type="pct"/>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应急监测组</w:t>
            </w: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组长</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吴宏</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质量管理部部长</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13926627870</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周金义</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质量管理部工程师</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18673217388</w:t>
            </w:r>
          </w:p>
        </w:tc>
      </w:tr>
      <w:tr>
        <w:tblPrEx>
          <w:tblCellMar>
            <w:top w:w="0" w:type="dxa"/>
            <w:left w:w="108" w:type="dxa"/>
            <w:bottom w:w="0" w:type="dxa"/>
            <w:right w:w="108" w:type="dxa"/>
          </w:tblCellMar>
        </w:tblPrEx>
        <w:trPr>
          <w:trHeight w:val="441" w:hRule="atLeast"/>
          <w:jc w:val="center"/>
        </w:trPr>
        <w:tc>
          <w:tcPr>
            <w:tcW w:w="684" w:type="pct"/>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综合协调组</w:t>
            </w: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组长</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张志义</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保安部经理</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13112027829</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谢清枚</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质量管理部工艺员</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13346521652</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陈爱明</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制成主任</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13726552941</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highlight w:val="none"/>
              </w:rPr>
            </w:pPr>
            <w:r>
              <w:rPr>
                <w:rFonts w:hint="eastAsia" w:ascii="宋体" w:hAnsi="宋体" w:eastAsia="宋体" w:cs="宋体"/>
                <w:i w:val="0"/>
                <w:iCs w:val="0"/>
                <w:color w:val="000000"/>
                <w:kern w:val="0"/>
                <w:sz w:val="21"/>
                <w:szCs w:val="21"/>
                <w:u w:val="none"/>
                <w:lang w:val="en-US" w:eastAsia="zh-CN" w:bidi="ar"/>
              </w:rPr>
              <w:t>张样坚</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原料副主任</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highlight w:val="none"/>
              </w:rPr>
            </w:pPr>
            <w:r>
              <w:rPr>
                <w:rFonts w:hint="eastAsia" w:ascii="宋体" w:hAnsi="宋体" w:eastAsia="宋体" w:cs="宋体"/>
                <w:i w:val="0"/>
                <w:iCs w:val="0"/>
                <w:color w:val="000000"/>
                <w:kern w:val="0"/>
                <w:sz w:val="21"/>
                <w:szCs w:val="21"/>
                <w:u w:val="none"/>
                <w:lang w:val="en-US" w:eastAsia="zh-CN" w:bidi="ar"/>
              </w:rPr>
              <w:t>15914815101</w:t>
            </w:r>
          </w:p>
        </w:tc>
      </w:tr>
      <w:tr>
        <w:tblPrEx>
          <w:tblCellMar>
            <w:top w:w="0" w:type="dxa"/>
            <w:left w:w="108" w:type="dxa"/>
            <w:bottom w:w="0" w:type="dxa"/>
            <w:right w:w="108" w:type="dxa"/>
          </w:tblCellMar>
        </w:tblPrEx>
        <w:trPr>
          <w:trHeight w:val="441" w:hRule="atLeast"/>
          <w:jc w:val="center"/>
        </w:trPr>
        <w:tc>
          <w:tcPr>
            <w:tcW w:w="684" w:type="pct"/>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后勤保障组</w:t>
            </w: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组长</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胡新志</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行政人事部部长</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18933726808</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阮立安</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行政通讯管理员</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13640002953</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lang w:val="en-US" w:eastAsia="zh-CN"/>
              </w:rPr>
            </w:pPr>
            <w:r>
              <w:rPr>
                <w:rFonts w:hint="eastAsia" w:ascii="宋体" w:hAnsi="宋体" w:eastAsia="宋体" w:cs="宋体"/>
                <w:color w:val="000000"/>
                <w:kern w:val="0"/>
                <w:sz w:val="21"/>
                <w:szCs w:val="21"/>
                <w:lang w:val="en-US" w:eastAsia="zh-CN"/>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李洪声</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电气室工程师</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13435045537</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highlight w:val="none"/>
              </w:rPr>
            </w:pPr>
            <w:r>
              <w:rPr>
                <w:rFonts w:hint="eastAsia" w:ascii="宋体" w:hAnsi="宋体" w:eastAsia="宋体" w:cs="宋体"/>
                <w:i w:val="0"/>
                <w:iCs w:val="0"/>
                <w:color w:val="000000"/>
                <w:kern w:val="0"/>
                <w:sz w:val="21"/>
                <w:szCs w:val="21"/>
                <w:u w:val="none"/>
                <w:lang w:val="en-US" w:eastAsia="zh-CN" w:bidi="ar"/>
              </w:rPr>
              <w:t>张培帮</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余热发电主任</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13827952003</w:t>
            </w:r>
          </w:p>
        </w:tc>
      </w:tr>
    </w:tbl>
    <w:p>
      <w:pPr>
        <w:pStyle w:val="96"/>
        <w:rPr>
          <w:b/>
          <w:kern w:val="0"/>
          <w:szCs w:val="21"/>
        </w:rPr>
      </w:pPr>
    </w:p>
    <w:p>
      <w:pPr>
        <w:pStyle w:val="96"/>
        <w:rPr>
          <w:b/>
          <w:kern w:val="0"/>
          <w:szCs w:val="21"/>
        </w:rPr>
      </w:pPr>
    </w:p>
    <w:p>
      <w:pPr>
        <w:pStyle w:val="96"/>
        <w:rPr>
          <w:b/>
          <w:kern w:val="0"/>
          <w:szCs w:val="21"/>
        </w:rPr>
      </w:pPr>
    </w:p>
    <w:p>
      <w:pPr>
        <w:pStyle w:val="96"/>
        <w:rPr>
          <w:b/>
          <w:kern w:val="0"/>
          <w:szCs w:val="21"/>
        </w:rPr>
      </w:pPr>
    </w:p>
    <w:p>
      <w:pPr>
        <w:pStyle w:val="2"/>
      </w:pPr>
    </w:p>
    <w:p>
      <w:pPr>
        <w:pStyle w:val="2"/>
      </w:pPr>
    </w:p>
    <w:p>
      <w:pPr>
        <w:pStyle w:val="2"/>
      </w:pPr>
    </w:p>
    <w:p>
      <w:pPr>
        <w:pStyle w:val="85"/>
        <w:spacing w:before="120" w:beforeLines="50" w:line="360" w:lineRule="auto"/>
        <w:rPr>
          <w:szCs w:val="21"/>
        </w:rPr>
        <w:sectPr>
          <w:pgSz w:w="11906" w:h="16838"/>
          <w:pgMar w:top="1440" w:right="1797" w:bottom="1440" w:left="1797" w:header="851" w:footer="992" w:gutter="0"/>
          <w:pgNumType w:fmt="decimal"/>
          <w:cols w:space="720" w:num="1"/>
          <w:docGrid w:linePitch="312" w:charSpace="0"/>
        </w:sectPr>
      </w:pPr>
    </w:p>
    <w:p>
      <w:pPr>
        <w:pStyle w:val="85"/>
        <w:spacing w:before="120" w:beforeLines="50" w:line="360" w:lineRule="auto"/>
        <w:rPr>
          <w:szCs w:val="21"/>
        </w:rPr>
      </w:pPr>
      <w:r>
        <w:rPr>
          <w:szCs w:val="21"/>
        </w:rPr>
        <w:t>表</w:t>
      </w:r>
      <w:r>
        <w:rPr>
          <w:rFonts w:hint="eastAsia"/>
          <w:szCs w:val="21"/>
        </w:rPr>
        <w:t>3.2</w:t>
      </w:r>
      <w:r>
        <w:rPr>
          <w:szCs w:val="21"/>
        </w:rPr>
        <w:t>-</w:t>
      </w:r>
      <w:r>
        <w:rPr>
          <w:rFonts w:hint="eastAsia"/>
          <w:szCs w:val="21"/>
        </w:rPr>
        <w:t>2</w:t>
      </w:r>
      <w:r>
        <w:rPr>
          <w:szCs w:val="21"/>
        </w:rPr>
        <w:t xml:space="preserve"> </w:t>
      </w:r>
      <w:r>
        <w:rPr>
          <w:rFonts w:hint="eastAsia"/>
          <w:szCs w:val="21"/>
        </w:rPr>
        <w:t>内部</w:t>
      </w:r>
      <w:r>
        <w:rPr>
          <w:szCs w:val="21"/>
        </w:rPr>
        <w:t>应急队伍的岗位职责</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4"/>
        <w:gridCol w:w="1946"/>
        <w:gridCol w:w="1134"/>
        <w:gridCol w:w="3828"/>
        <w:gridCol w:w="5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tblHeader/>
        </w:trPr>
        <w:tc>
          <w:tcPr>
            <w:tcW w:w="1564" w:type="dxa"/>
            <w:shd w:val="clear" w:color="auto" w:fill="auto"/>
            <w:vAlign w:val="center"/>
          </w:tcPr>
          <w:p>
            <w:pPr>
              <w:spacing w:before="0" w:beforeLines="0" w:line="312" w:lineRule="auto"/>
              <w:ind w:firstLine="0" w:firstLineChars="0"/>
              <w:jc w:val="center"/>
              <w:rPr>
                <w:rFonts w:asciiTheme="minorEastAsia" w:hAnsiTheme="minorEastAsia" w:eastAsiaTheme="minorEastAsia"/>
                <w:b/>
                <w:color w:val="000000"/>
                <w:sz w:val="21"/>
                <w:szCs w:val="21"/>
              </w:rPr>
            </w:pPr>
            <w:r>
              <w:rPr>
                <w:rFonts w:asciiTheme="minorEastAsia" w:hAnsiTheme="minorEastAsia" w:eastAsiaTheme="minorEastAsia"/>
                <w:b/>
                <w:color w:val="000000"/>
                <w:sz w:val="21"/>
                <w:szCs w:val="21"/>
              </w:rPr>
              <w:t>应急机构</w:t>
            </w:r>
          </w:p>
        </w:tc>
        <w:tc>
          <w:tcPr>
            <w:tcW w:w="1946" w:type="dxa"/>
            <w:shd w:val="clear" w:color="auto" w:fill="auto"/>
            <w:vAlign w:val="center"/>
          </w:tcPr>
          <w:p>
            <w:pPr>
              <w:spacing w:before="0" w:beforeLines="0" w:line="312" w:lineRule="auto"/>
              <w:ind w:firstLine="0" w:firstLineChars="0"/>
              <w:jc w:val="center"/>
              <w:rPr>
                <w:rFonts w:asciiTheme="minorEastAsia" w:hAnsiTheme="minorEastAsia" w:eastAsiaTheme="minorEastAsia"/>
                <w:b/>
                <w:color w:val="000000"/>
                <w:sz w:val="21"/>
                <w:szCs w:val="21"/>
              </w:rPr>
            </w:pPr>
            <w:r>
              <w:rPr>
                <w:rFonts w:asciiTheme="minorEastAsia" w:hAnsiTheme="minorEastAsia" w:eastAsiaTheme="minorEastAsia"/>
                <w:b/>
                <w:color w:val="000000"/>
                <w:sz w:val="21"/>
                <w:szCs w:val="21"/>
              </w:rPr>
              <w:t>责任人及联系方式</w:t>
            </w:r>
          </w:p>
        </w:tc>
        <w:tc>
          <w:tcPr>
            <w:tcW w:w="1134" w:type="dxa"/>
            <w:shd w:val="clear" w:color="auto" w:fill="auto"/>
            <w:vAlign w:val="center"/>
          </w:tcPr>
          <w:p>
            <w:pPr>
              <w:spacing w:before="0" w:beforeLines="0" w:line="312" w:lineRule="auto"/>
              <w:ind w:firstLine="0" w:firstLineChars="0"/>
              <w:jc w:val="center"/>
              <w:rPr>
                <w:rFonts w:asciiTheme="minorEastAsia" w:hAnsiTheme="minorEastAsia" w:eastAsiaTheme="minorEastAsia"/>
                <w:b/>
                <w:color w:val="000000"/>
                <w:sz w:val="21"/>
                <w:szCs w:val="21"/>
              </w:rPr>
            </w:pPr>
            <w:r>
              <w:rPr>
                <w:rFonts w:asciiTheme="minorEastAsia" w:hAnsiTheme="minorEastAsia" w:eastAsiaTheme="minorEastAsia"/>
                <w:b/>
                <w:color w:val="000000"/>
                <w:sz w:val="21"/>
                <w:szCs w:val="21"/>
              </w:rPr>
              <w:t>日常职位</w:t>
            </w:r>
          </w:p>
        </w:tc>
        <w:tc>
          <w:tcPr>
            <w:tcW w:w="3828" w:type="dxa"/>
            <w:shd w:val="clear" w:color="auto" w:fill="auto"/>
            <w:vAlign w:val="center"/>
          </w:tcPr>
          <w:p>
            <w:pPr>
              <w:spacing w:before="0" w:beforeLines="0" w:line="312" w:lineRule="auto"/>
              <w:ind w:firstLine="0" w:firstLineChars="0"/>
              <w:jc w:val="center"/>
              <w:rPr>
                <w:rFonts w:asciiTheme="minorEastAsia" w:hAnsiTheme="minorEastAsia" w:eastAsiaTheme="minorEastAsia"/>
                <w:b/>
                <w:color w:val="000000"/>
                <w:sz w:val="21"/>
                <w:szCs w:val="21"/>
              </w:rPr>
            </w:pPr>
            <w:r>
              <w:rPr>
                <w:rFonts w:asciiTheme="minorEastAsia" w:hAnsiTheme="minorEastAsia" w:eastAsiaTheme="minorEastAsia"/>
                <w:b/>
                <w:color w:val="000000"/>
                <w:sz w:val="21"/>
                <w:szCs w:val="21"/>
              </w:rPr>
              <w:t>日常职责</w:t>
            </w:r>
          </w:p>
        </w:tc>
        <w:tc>
          <w:tcPr>
            <w:tcW w:w="5702" w:type="dxa"/>
            <w:shd w:val="clear" w:color="auto" w:fill="auto"/>
            <w:vAlign w:val="center"/>
          </w:tcPr>
          <w:p>
            <w:pPr>
              <w:spacing w:before="0" w:beforeLines="0" w:line="312" w:lineRule="auto"/>
              <w:ind w:firstLine="0" w:firstLineChars="0"/>
              <w:jc w:val="center"/>
              <w:rPr>
                <w:rFonts w:asciiTheme="minorEastAsia" w:hAnsiTheme="minorEastAsia" w:eastAsiaTheme="minorEastAsia"/>
                <w:b/>
                <w:color w:val="000000"/>
                <w:sz w:val="21"/>
                <w:szCs w:val="21"/>
              </w:rPr>
            </w:pPr>
            <w:r>
              <w:rPr>
                <w:rFonts w:asciiTheme="minorEastAsia" w:hAnsiTheme="minorEastAsia" w:eastAsiaTheme="minorEastAsia"/>
                <w:b/>
                <w:color w:val="000000"/>
                <w:sz w:val="21"/>
                <w:szCs w:val="21"/>
              </w:rPr>
              <w:t>应急职责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7" w:hRule="atLeast"/>
        </w:trPr>
        <w:tc>
          <w:tcPr>
            <w:tcW w:w="1564" w:type="dxa"/>
            <w:shd w:val="clear" w:color="auto" w:fill="auto"/>
            <w:vAlign w:val="center"/>
          </w:tcPr>
          <w:p>
            <w:pPr>
              <w:spacing w:before="0" w:beforeLines="0" w:line="312" w:lineRule="auto"/>
              <w:ind w:firstLine="0" w:firstLineChars="0"/>
              <w:jc w:val="center"/>
              <w:rPr>
                <w:rFonts w:asciiTheme="minorEastAsia" w:hAnsiTheme="minorEastAsia" w:eastAsiaTheme="minorEastAsia"/>
                <w:sz w:val="21"/>
                <w:szCs w:val="21"/>
              </w:rPr>
            </w:pPr>
            <w:r>
              <w:rPr>
                <w:rFonts w:asciiTheme="minorEastAsia" w:hAnsiTheme="minorEastAsia" w:eastAsiaTheme="minorEastAsia"/>
                <w:sz w:val="21"/>
                <w:szCs w:val="21"/>
              </w:rPr>
              <w:t>总指挥</w:t>
            </w:r>
          </w:p>
        </w:tc>
        <w:tc>
          <w:tcPr>
            <w:tcW w:w="1946" w:type="dxa"/>
            <w:shd w:val="clear" w:color="auto" w:fill="auto"/>
            <w:vAlign w:val="center"/>
          </w:tcPr>
          <w:p>
            <w:pPr>
              <w:spacing w:before="0" w:beforeLines="0" w:line="312" w:lineRule="auto"/>
              <w:ind w:firstLine="0" w:firstLineChars="0"/>
              <w:jc w:val="center"/>
              <w:rPr>
                <w:rFonts w:asciiTheme="minorEastAsia" w:hAnsiTheme="minorEastAsia" w:eastAsiaTheme="minorEastAsia"/>
                <w:sz w:val="21"/>
                <w:szCs w:val="21"/>
                <w:highlight w:val="yellow"/>
              </w:rPr>
            </w:pPr>
            <w:r>
              <w:rPr>
                <w:rFonts w:hint="eastAsia" w:ascii="宋体" w:hAnsi="宋体" w:eastAsia="宋体" w:cs="宋体"/>
                <w:i w:val="0"/>
                <w:iCs w:val="0"/>
                <w:color w:val="000000"/>
                <w:kern w:val="0"/>
                <w:sz w:val="21"/>
                <w:szCs w:val="21"/>
                <w:u w:val="none"/>
                <w:lang w:val="en-US" w:eastAsia="zh-CN" w:bidi="ar"/>
              </w:rPr>
              <w:t>肖正祥13927838628</w:t>
            </w:r>
          </w:p>
        </w:tc>
        <w:tc>
          <w:tcPr>
            <w:tcW w:w="1134" w:type="dxa"/>
            <w:shd w:val="clear" w:color="auto" w:fill="auto"/>
            <w:vAlign w:val="center"/>
          </w:tcPr>
          <w:p>
            <w:pPr>
              <w:spacing w:before="0" w:beforeLines="0" w:line="312" w:lineRule="auto"/>
              <w:ind w:firstLine="0" w:firstLineChars="0"/>
              <w:jc w:val="center"/>
              <w:rPr>
                <w:rFonts w:hint="eastAsia" w:asciiTheme="minorEastAsia" w:hAnsiTheme="minorEastAsia" w:eastAsiaTheme="minorEastAsia"/>
                <w:sz w:val="21"/>
                <w:szCs w:val="21"/>
                <w:highlight w:val="yellow"/>
                <w:lang w:eastAsia="zh-CN"/>
              </w:rPr>
            </w:pPr>
            <w:r>
              <w:rPr>
                <w:rFonts w:hint="eastAsia" w:ascii="宋体" w:hAnsi="宋体" w:eastAsia="宋体" w:cs="宋体"/>
                <w:i w:val="0"/>
                <w:iCs w:val="0"/>
                <w:color w:val="000000"/>
                <w:kern w:val="0"/>
                <w:sz w:val="21"/>
                <w:szCs w:val="21"/>
                <w:u w:val="none"/>
                <w:lang w:val="en-US" w:eastAsia="zh-CN" w:bidi="ar"/>
              </w:rPr>
              <w:t>总经理</w:t>
            </w:r>
          </w:p>
        </w:tc>
        <w:tc>
          <w:tcPr>
            <w:tcW w:w="3828" w:type="dxa"/>
            <w:shd w:val="clear" w:color="auto" w:fill="auto"/>
            <w:vAlign w:val="center"/>
          </w:tcPr>
          <w:p>
            <w:pPr>
              <w:numPr>
                <w:ilvl w:val="0"/>
                <w:numId w:val="3"/>
              </w:numPr>
              <w:tabs>
                <w:tab w:val="clear" w:pos="0"/>
              </w:tabs>
              <w:spacing w:before="0" w:beforeLines="0" w:line="312" w:lineRule="auto"/>
              <w:ind w:firstLineChars="0"/>
              <w:jc w:val="left"/>
              <w:rPr>
                <w:rFonts w:asciiTheme="minorEastAsia" w:hAnsiTheme="minorEastAsia" w:eastAsiaTheme="minorEastAsia"/>
                <w:sz w:val="21"/>
                <w:szCs w:val="21"/>
              </w:rPr>
            </w:pPr>
            <w:r>
              <w:rPr>
                <w:rFonts w:asciiTheme="minorEastAsia" w:hAnsiTheme="minorEastAsia" w:eastAsiaTheme="minorEastAsia"/>
                <w:sz w:val="21"/>
                <w:szCs w:val="21"/>
              </w:rPr>
              <w:t>贯彻执行国家、当地政府、上级主管部门关于突发环境事件的发生；</w:t>
            </w:r>
          </w:p>
          <w:p>
            <w:pPr>
              <w:numPr>
                <w:ilvl w:val="0"/>
                <w:numId w:val="3"/>
              </w:numPr>
              <w:tabs>
                <w:tab w:val="clear" w:pos="0"/>
              </w:tabs>
              <w:autoSpaceDE w:val="0"/>
              <w:autoSpaceDN w:val="0"/>
              <w:spacing w:before="0" w:beforeLines="0" w:line="312" w:lineRule="auto"/>
              <w:ind w:firstLineChars="0"/>
              <w:rPr>
                <w:rFonts w:asciiTheme="minorEastAsia" w:hAnsiTheme="minorEastAsia" w:eastAsiaTheme="minorEastAsia"/>
                <w:sz w:val="21"/>
                <w:szCs w:val="21"/>
              </w:rPr>
            </w:pPr>
            <w:r>
              <w:rPr>
                <w:rFonts w:asciiTheme="minorEastAsia" w:hAnsiTheme="minorEastAsia" w:eastAsiaTheme="minorEastAsia"/>
                <w:sz w:val="21"/>
                <w:szCs w:val="21"/>
              </w:rPr>
              <w:t>对突发环境事件应急预案的编制、修订内容进行审定、批准；</w:t>
            </w:r>
          </w:p>
          <w:p>
            <w:pPr>
              <w:numPr>
                <w:ilvl w:val="0"/>
                <w:numId w:val="3"/>
              </w:numPr>
              <w:tabs>
                <w:tab w:val="clear" w:pos="0"/>
              </w:tabs>
              <w:autoSpaceDE w:val="0"/>
              <w:autoSpaceDN w:val="0"/>
              <w:spacing w:before="0" w:beforeLines="0" w:line="312" w:lineRule="auto"/>
              <w:ind w:firstLineChars="0"/>
              <w:rPr>
                <w:rFonts w:asciiTheme="minorEastAsia" w:hAnsiTheme="minorEastAsia" w:eastAsiaTheme="minorEastAsia"/>
                <w:sz w:val="21"/>
                <w:szCs w:val="21"/>
              </w:rPr>
            </w:pPr>
            <w:r>
              <w:rPr>
                <w:rFonts w:asciiTheme="minorEastAsia" w:hAnsiTheme="minorEastAsia" w:eastAsiaTheme="minorEastAsia"/>
                <w:sz w:val="21"/>
                <w:szCs w:val="21"/>
              </w:rPr>
              <w:t>保障企业突发环境时间应急保障经费的投入。</w:t>
            </w:r>
          </w:p>
          <w:p>
            <w:pPr>
              <w:autoSpaceDE w:val="0"/>
              <w:autoSpaceDN w:val="0"/>
              <w:spacing w:before="0" w:beforeLines="0" w:line="312" w:lineRule="auto"/>
              <w:ind w:firstLine="0" w:firstLineChars="0"/>
              <w:rPr>
                <w:rFonts w:asciiTheme="minorEastAsia" w:hAnsiTheme="minorEastAsia" w:eastAsiaTheme="minorEastAsia"/>
                <w:sz w:val="21"/>
                <w:szCs w:val="21"/>
              </w:rPr>
            </w:pPr>
          </w:p>
        </w:tc>
        <w:tc>
          <w:tcPr>
            <w:tcW w:w="5702" w:type="dxa"/>
            <w:shd w:val="clear" w:color="auto" w:fill="auto"/>
            <w:vAlign w:val="center"/>
          </w:tcPr>
          <w:p>
            <w:pPr>
              <w:numPr>
                <w:ilvl w:val="0"/>
                <w:numId w:val="4"/>
              </w:numPr>
              <w:tabs>
                <w:tab w:val="clear" w:pos="0"/>
              </w:tabs>
              <w:spacing w:before="0" w:beforeLines="0" w:line="312" w:lineRule="auto"/>
              <w:ind w:firstLineChars="0"/>
              <w:jc w:val="left"/>
              <w:rPr>
                <w:rFonts w:asciiTheme="minorEastAsia" w:hAnsiTheme="minorEastAsia" w:eastAsiaTheme="minorEastAsia"/>
                <w:sz w:val="21"/>
                <w:szCs w:val="21"/>
              </w:rPr>
            </w:pPr>
            <w:r>
              <w:rPr>
                <w:rFonts w:asciiTheme="minorEastAsia" w:hAnsiTheme="minorEastAsia" w:eastAsiaTheme="minorEastAsia"/>
                <w:sz w:val="21"/>
                <w:szCs w:val="21"/>
              </w:rPr>
              <w:t>接受政府的指令和调动；</w:t>
            </w:r>
          </w:p>
          <w:p>
            <w:pPr>
              <w:numPr>
                <w:ilvl w:val="0"/>
                <w:numId w:val="4"/>
              </w:numPr>
              <w:tabs>
                <w:tab w:val="clear" w:pos="0"/>
              </w:tabs>
              <w:autoSpaceDE w:val="0"/>
              <w:autoSpaceDN w:val="0"/>
              <w:spacing w:before="0" w:beforeLines="0" w:line="312" w:lineRule="auto"/>
              <w:ind w:firstLineChars="0"/>
              <w:rPr>
                <w:rFonts w:asciiTheme="minorEastAsia" w:hAnsiTheme="minorEastAsia" w:eastAsiaTheme="minorEastAsia"/>
                <w:sz w:val="21"/>
                <w:szCs w:val="21"/>
              </w:rPr>
            </w:pPr>
            <w:r>
              <w:rPr>
                <w:rFonts w:asciiTheme="minorEastAsia" w:hAnsiTheme="minorEastAsia" w:eastAsiaTheme="minorEastAsia"/>
                <w:sz w:val="21"/>
                <w:szCs w:val="21"/>
              </w:rPr>
              <w:t>决定应急预案的启动和终止；</w:t>
            </w:r>
          </w:p>
          <w:p>
            <w:pPr>
              <w:numPr>
                <w:ilvl w:val="0"/>
                <w:numId w:val="4"/>
              </w:numPr>
              <w:tabs>
                <w:tab w:val="clear" w:pos="0"/>
              </w:tabs>
              <w:autoSpaceDE w:val="0"/>
              <w:autoSpaceDN w:val="0"/>
              <w:spacing w:before="0" w:beforeLines="0" w:line="312" w:lineRule="auto"/>
              <w:ind w:firstLineChars="0"/>
              <w:rPr>
                <w:rFonts w:asciiTheme="minorEastAsia" w:hAnsiTheme="minorEastAsia" w:eastAsiaTheme="minorEastAsia"/>
                <w:sz w:val="21"/>
                <w:szCs w:val="21"/>
              </w:rPr>
            </w:pPr>
            <w:r>
              <w:rPr>
                <w:rFonts w:asciiTheme="minorEastAsia" w:hAnsiTheme="minorEastAsia" w:eastAsiaTheme="minorEastAsia"/>
                <w:sz w:val="21"/>
                <w:szCs w:val="21"/>
              </w:rPr>
              <w:t>审核突发环境事件的险情及应急处理进展等情况，确定预警和应急响应级别；</w:t>
            </w:r>
          </w:p>
          <w:p>
            <w:pPr>
              <w:numPr>
                <w:ilvl w:val="0"/>
                <w:numId w:val="4"/>
              </w:numPr>
              <w:tabs>
                <w:tab w:val="clear" w:pos="0"/>
              </w:tabs>
              <w:autoSpaceDE w:val="0"/>
              <w:autoSpaceDN w:val="0"/>
              <w:spacing w:before="0" w:beforeLines="0" w:line="312" w:lineRule="auto"/>
              <w:ind w:firstLineChars="0"/>
              <w:rPr>
                <w:rFonts w:asciiTheme="minorEastAsia" w:hAnsiTheme="minorEastAsia" w:eastAsiaTheme="minorEastAsia"/>
                <w:sz w:val="21"/>
                <w:szCs w:val="21"/>
              </w:rPr>
            </w:pPr>
            <w:r>
              <w:rPr>
                <w:rFonts w:asciiTheme="minorEastAsia" w:hAnsiTheme="minorEastAsia" w:eastAsiaTheme="minorEastAsia"/>
                <w:sz w:val="21"/>
                <w:szCs w:val="21"/>
              </w:rPr>
              <w:t>发生环境事件时，亲自或委托副总指挥赶赴现场进行指挥及组织现场应急处理；</w:t>
            </w:r>
          </w:p>
          <w:p>
            <w:pPr>
              <w:numPr>
                <w:ilvl w:val="0"/>
                <w:numId w:val="4"/>
              </w:numPr>
              <w:tabs>
                <w:tab w:val="clear" w:pos="0"/>
              </w:tabs>
              <w:autoSpaceDE w:val="0"/>
              <w:autoSpaceDN w:val="0"/>
              <w:spacing w:before="0" w:beforeLines="0" w:line="312" w:lineRule="auto"/>
              <w:ind w:firstLineChars="0"/>
              <w:rPr>
                <w:rFonts w:asciiTheme="minorEastAsia" w:hAnsiTheme="minorEastAsia" w:eastAsiaTheme="minorEastAsia"/>
                <w:sz w:val="21"/>
                <w:szCs w:val="21"/>
              </w:rPr>
            </w:pPr>
            <w:r>
              <w:rPr>
                <w:rFonts w:asciiTheme="minorEastAsia" w:hAnsiTheme="minorEastAsia" w:eastAsiaTheme="minorEastAsia"/>
                <w:sz w:val="21"/>
                <w:szCs w:val="21"/>
              </w:rPr>
              <w:t>发布应急处置命令；</w:t>
            </w:r>
          </w:p>
          <w:p>
            <w:pPr>
              <w:numPr>
                <w:ilvl w:val="0"/>
                <w:numId w:val="4"/>
              </w:numPr>
              <w:tabs>
                <w:tab w:val="clear" w:pos="0"/>
              </w:tabs>
              <w:autoSpaceDE w:val="0"/>
              <w:autoSpaceDN w:val="0"/>
              <w:spacing w:before="0" w:beforeLines="0" w:line="312" w:lineRule="auto"/>
              <w:ind w:firstLineChars="0"/>
              <w:rPr>
                <w:rFonts w:asciiTheme="minorEastAsia" w:hAnsiTheme="minorEastAsia" w:eastAsiaTheme="minorEastAsia"/>
                <w:sz w:val="21"/>
                <w:szCs w:val="21"/>
              </w:rPr>
            </w:pPr>
            <w:r>
              <w:rPr>
                <w:rFonts w:asciiTheme="minorEastAsia" w:hAnsiTheme="minorEastAsia" w:eastAsiaTheme="minorEastAsia"/>
                <w:sz w:val="21"/>
                <w:szCs w:val="21"/>
              </w:rPr>
              <w:t>如果事故级别升级到社会应急，负责及时向政府部门报告并提出协助请求。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9" w:hRule="atLeast"/>
        </w:trPr>
        <w:tc>
          <w:tcPr>
            <w:tcW w:w="1564" w:type="dxa"/>
            <w:shd w:val="clear" w:color="auto" w:fill="auto"/>
            <w:vAlign w:val="center"/>
          </w:tcPr>
          <w:p>
            <w:pPr>
              <w:spacing w:before="0" w:beforeLines="0" w:line="312" w:lineRule="auto"/>
              <w:ind w:firstLine="0" w:firstLineChars="0"/>
              <w:jc w:val="center"/>
              <w:rPr>
                <w:rFonts w:asciiTheme="minorEastAsia" w:hAnsiTheme="minorEastAsia" w:eastAsiaTheme="minorEastAsia"/>
                <w:sz w:val="21"/>
                <w:szCs w:val="21"/>
              </w:rPr>
            </w:pPr>
            <w:r>
              <w:rPr>
                <w:rFonts w:asciiTheme="minorEastAsia" w:hAnsiTheme="minorEastAsia" w:eastAsiaTheme="minorEastAsia"/>
                <w:sz w:val="21"/>
                <w:szCs w:val="21"/>
              </w:rPr>
              <w:t>副总指挥</w:t>
            </w:r>
          </w:p>
        </w:tc>
        <w:tc>
          <w:tcPr>
            <w:tcW w:w="1946" w:type="dxa"/>
            <w:shd w:val="clear" w:color="auto" w:fill="auto"/>
            <w:vAlign w:val="center"/>
          </w:tcPr>
          <w:p>
            <w:pPr>
              <w:spacing w:before="0" w:beforeLines="0" w:line="312" w:lineRule="auto"/>
              <w:ind w:firstLine="0" w:firstLineChars="0"/>
              <w:jc w:val="center"/>
              <w:rPr>
                <w:rFonts w:asciiTheme="minorEastAsia" w:hAnsiTheme="minorEastAsia" w:eastAsiaTheme="minorEastAsia"/>
                <w:sz w:val="21"/>
                <w:szCs w:val="21"/>
                <w:highlight w:val="yellow"/>
              </w:rPr>
            </w:pPr>
            <w:r>
              <w:rPr>
                <w:rFonts w:hint="eastAsia" w:ascii="宋体" w:hAnsi="宋体" w:eastAsia="宋体" w:cs="宋体"/>
                <w:i w:val="0"/>
                <w:iCs w:val="0"/>
                <w:color w:val="000000"/>
                <w:kern w:val="0"/>
                <w:sz w:val="21"/>
                <w:szCs w:val="21"/>
                <w:u w:val="none"/>
                <w:lang w:val="en-US" w:eastAsia="zh-CN" w:bidi="ar"/>
              </w:rPr>
              <w:t>赵志兴13828515582</w:t>
            </w:r>
          </w:p>
        </w:tc>
        <w:tc>
          <w:tcPr>
            <w:tcW w:w="1134" w:type="dxa"/>
            <w:shd w:val="clear" w:color="auto" w:fill="auto"/>
            <w:vAlign w:val="center"/>
          </w:tcPr>
          <w:p>
            <w:pPr>
              <w:spacing w:before="0" w:beforeLines="0" w:line="312" w:lineRule="auto"/>
              <w:ind w:firstLine="0" w:firstLineChars="0"/>
              <w:jc w:val="center"/>
              <w:rPr>
                <w:rFonts w:asciiTheme="minorEastAsia" w:hAnsiTheme="minorEastAsia" w:eastAsiaTheme="minorEastAsia"/>
                <w:sz w:val="21"/>
                <w:szCs w:val="21"/>
                <w:highlight w:val="yellow"/>
              </w:rPr>
            </w:pPr>
            <w:r>
              <w:rPr>
                <w:rFonts w:hint="eastAsia" w:ascii="宋体" w:hAnsi="宋体" w:eastAsia="宋体" w:cs="宋体"/>
                <w:i w:val="0"/>
                <w:iCs w:val="0"/>
                <w:color w:val="000000"/>
                <w:kern w:val="0"/>
                <w:sz w:val="21"/>
                <w:szCs w:val="21"/>
                <w:u w:val="none"/>
                <w:lang w:val="en-US" w:eastAsia="zh-CN" w:bidi="ar"/>
              </w:rPr>
              <w:t>生产副总</w:t>
            </w:r>
          </w:p>
        </w:tc>
        <w:tc>
          <w:tcPr>
            <w:tcW w:w="3828" w:type="dxa"/>
            <w:shd w:val="clear" w:color="auto" w:fill="auto"/>
            <w:vAlign w:val="center"/>
          </w:tcPr>
          <w:p>
            <w:pPr>
              <w:spacing w:before="0" w:beforeLines="0" w:line="312" w:lineRule="auto"/>
              <w:ind w:firstLine="0" w:firstLineChars="0"/>
              <w:jc w:val="left"/>
              <w:rPr>
                <w:rFonts w:asciiTheme="minorEastAsia" w:hAnsiTheme="minorEastAsia" w:eastAsiaTheme="minorEastAsia"/>
                <w:sz w:val="21"/>
                <w:szCs w:val="21"/>
              </w:rPr>
            </w:pPr>
            <w:r>
              <w:rPr>
                <w:rFonts w:hint="eastAsia" w:asciiTheme="minorEastAsia" w:hAnsiTheme="minorEastAsia" w:eastAsiaTheme="minorEastAsia"/>
                <w:sz w:val="21"/>
                <w:szCs w:val="21"/>
              </w:rPr>
              <w:t>（1）</w:t>
            </w:r>
            <w:r>
              <w:rPr>
                <w:rFonts w:asciiTheme="minorEastAsia" w:hAnsiTheme="minorEastAsia" w:eastAsiaTheme="minorEastAsia"/>
                <w:sz w:val="21"/>
                <w:szCs w:val="21"/>
              </w:rPr>
              <w:t>组织、指导员工突发环境事件的应急培训工作，协调指导应急救援队伍的管理和救援能力评估工作；</w:t>
            </w:r>
          </w:p>
          <w:p>
            <w:pPr>
              <w:autoSpaceDE w:val="0"/>
              <w:autoSpaceDN w:val="0"/>
              <w:spacing w:before="0" w:beforeLines="0" w:line="312" w:lineRule="auto"/>
              <w:ind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（2）</w:t>
            </w:r>
            <w:r>
              <w:rPr>
                <w:rFonts w:asciiTheme="minorEastAsia" w:hAnsiTheme="minorEastAsia" w:eastAsiaTheme="minorEastAsia"/>
                <w:sz w:val="21"/>
                <w:szCs w:val="21"/>
              </w:rPr>
              <w:t>检查、监督做好突发环境事件的预防措施和应急救援的各项准备工作；</w:t>
            </w:r>
          </w:p>
          <w:p>
            <w:pPr>
              <w:spacing w:before="0" w:beforeLines="0" w:line="312" w:lineRule="auto"/>
              <w:ind w:firstLine="0" w:firstLineChars="0"/>
              <w:jc w:val="left"/>
              <w:rPr>
                <w:rFonts w:asciiTheme="minorEastAsia" w:hAnsiTheme="minorEastAsia" w:eastAsiaTheme="minorEastAsia"/>
                <w:sz w:val="21"/>
                <w:szCs w:val="21"/>
              </w:rPr>
            </w:pPr>
            <w:r>
              <w:rPr>
                <w:rFonts w:hint="eastAsia" w:asciiTheme="minorEastAsia" w:hAnsiTheme="minorEastAsia" w:eastAsiaTheme="minorEastAsia"/>
                <w:sz w:val="21"/>
                <w:szCs w:val="21"/>
              </w:rPr>
              <w:t>（3）</w:t>
            </w:r>
            <w:r>
              <w:rPr>
                <w:rFonts w:asciiTheme="minorEastAsia" w:hAnsiTheme="minorEastAsia" w:eastAsiaTheme="minorEastAsia"/>
                <w:sz w:val="21"/>
                <w:szCs w:val="21"/>
              </w:rPr>
              <w:t>监督应急体系的建设和运转，审查应急救援工作报告。</w:t>
            </w:r>
          </w:p>
        </w:tc>
        <w:tc>
          <w:tcPr>
            <w:tcW w:w="5702" w:type="dxa"/>
            <w:shd w:val="clear" w:color="auto" w:fill="auto"/>
            <w:vAlign w:val="center"/>
          </w:tcPr>
          <w:p>
            <w:pPr>
              <w:autoSpaceDE w:val="0"/>
              <w:autoSpaceDN w:val="0"/>
              <w:spacing w:before="0" w:beforeLines="0" w:line="312" w:lineRule="auto"/>
              <w:ind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（1）协助总指挥组织和指挥应急任务</w:t>
            </w:r>
          </w:p>
          <w:p>
            <w:pPr>
              <w:autoSpaceDE w:val="0"/>
              <w:autoSpaceDN w:val="0"/>
              <w:spacing w:before="0" w:beforeLines="0" w:line="312" w:lineRule="auto"/>
              <w:ind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（2）</w:t>
            </w:r>
            <w:r>
              <w:rPr>
                <w:rFonts w:asciiTheme="minorEastAsia" w:hAnsiTheme="minorEastAsia" w:eastAsiaTheme="minorEastAsia"/>
                <w:sz w:val="21"/>
                <w:szCs w:val="21"/>
              </w:rPr>
              <w:t>事故现场应急的直接指挥和协调；</w:t>
            </w:r>
          </w:p>
          <w:p>
            <w:pPr>
              <w:autoSpaceDE w:val="0"/>
              <w:autoSpaceDN w:val="0"/>
              <w:spacing w:before="0" w:beforeLines="0" w:line="312" w:lineRule="auto"/>
              <w:ind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（3）</w:t>
            </w:r>
            <w:r>
              <w:rPr>
                <w:rFonts w:asciiTheme="minorEastAsia" w:hAnsiTheme="minorEastAsia" w:eastAsiaTheme="minorEastAsia"/>
                <w:sz w:val="21"/>
                <w:szCs w:val="21"/>
              </w:rPr>
              <w:t>对应急行动提出建议；</w:t>
            </w:r>
          </w:p>
          <w:p>
            <w:pPr>
              <w:autoSpaceDE w:val="0"/>
              <w:autoSpaceDN w:val="0"/>
              <w:spacing w:before="0" w:beforeLines="0" w:line="312" w:lineRule="auto"/>
              <w:ind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（4）</w:t>
            </w:r>
            <w:r>
              <w:rPr>
                <w:rFonts w:asciiTheme="minorEastAsia" w:hAnsiTheme="minorEastAsia" w:eastAsiaTheme="minorEastAsia"/>
                <w:sz w:val="21"/>
                <w:szCs w:val="21"/>
              </w:rPr>
              <w:t>负责企业人员的应急行动的顺利执行；</w:t>
            </w:r>
          </w:p>
          <w:p>
            <w:pPr>
              <w:autoSpaceDE w:val="0"/>
              <w:autoSpaceDN w:val="0"/>
              <w:spacing w:before="0" w:beforeLines="0" w:line="312" w:lineRule="auto"/>
              <w:ind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（5）</w:t>
            </w:r>
            <w:r>
              <w:rPr>
                <w:rFonts w:asciiTheme="minorEastAsia" w:hAnsiTheme="minorEastAsia" w:eastAsiaTheme="minorEastAsia"/>
                <w:sz w:val="21"/>
                <w:szCs w:val="21"/>
              </w:rPr>
              <w:t>控制现场出现的紧急情况；</w:t>
            </w:r>
          </w:p>
          <w:p>
            <w:pPr>
              <w:spacing w:before="0" w:beforeLines="0" w:line="312" w:lineRule="auto"/>
              <w:ind w:firstLine="0" w:firstLineChars="0"/>
              <w:jc w:val="left"/>
              <w:rPr>
                <w:rFonts w:asciiTheme="minorEastAsia" w:hAnsiTheme="minorEastAsia" w:eastAsiaTheme="minorEastAsia"/>
                <w:sz w:val="21"/>
                <w:szCs w:val="21"/>
              </w:rPr>
            </w:pPr>
            <w:r>
              <w:rPr>
                <w:rFonts w:hint="eastAsia" w:asciiTheme="minorEastAsia" w:hAnsiTheme="minorEastAsia" w:eastAsiaTheme="minorEastAsia"/>
                <w:sz w:val="21"/>
                <w:szCs w:val="21"/>
              </w:rPr>
              <w:t>（6）</w:t>
            </w:r>
            <w:r>
              <w:rPr>
                <w:rFonts w:asciiTheme="minorEastAsia" w:hAnsiTheme="minorEastAsia" w:eastAsiaTheme="minorEastAsia"/>
                <w:sz w:val="21"/>
                <w:szCs w:val="21"/>
              </w:rPr>
              <w:t>现场应急行动与场外人员操作指挥的协调。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7" w:hRule="atLeast"/>
        </w:trPr>
        <w:tc>
          <w:tcPr>
            <w:tcW w:w="1564" w:type="dxa"/>
            <w:shd w:val="clear" w:color="auto" w:fill="auto"/>
            <w:vAlign w:val="center"/>
          </w:tcPr>
          <w:p>
            <w:pPr>
              <w:spacing w:before="0" w:beforeLines="0" w:line="312" w:lineRule="auto"/>
              <w:ind w:firstLine="0" w:firstLineChars="0"/>
              <w:jc w:val="center"/>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应急领导小组办公室</w:t>
            </w:r>
          </w:p>
        </w:tc>
        <w:tc>
          <w:tcPr>
            <w:tcW w:w="1946" w:type="dxa"/>
            <w:shd w:val="clear" w:color="auto" w:fill="auto"/>
            <w:vAlign w:val="center"/>
          </w:tcPr>
          <w:p>
            <w:pPr>
              <w:pStyle w:val="2"/>
              <w:snapToGrid w:val="0"/>
              <w:spacing w:line="312" w:lineRule="auto"/>
              <w:jc w:val="center"/>
              <w:rPr>
                <w:rFonts w:asciiTheme="minorEastAsia" w:hAnsiTheme="minorEastAsia" w:eastAsiaTheme="minorEastAsia"/>
                <w:sz w:val="21"/>
                <w:szCs w:val="21"/>
                <w:highlight w:val="yellow"/>
              </w:rPr>
            </w:pPr>
            <w:r>
              <w:rPr>
                <w:rFonts w:hint="eastAsia" w:ascii="宋体" w:hAnsi="宋体" w:eastAsia="宋体" w:cs="宋体"/>
                <w:i w:val="0"/>
                <w:iCs w:val="0"/>
                <w:color w:val="000000"/>
                <w:kern w:val="0"/>
                <w:sz w:val="21"/>
                <w:szCs w:val="21"/>
                <w:u w:val="none"/>
                <w:lang w:val="en-US" w:eastAsia="zh-CN" w:bidi="ar"/>
              </w:rPr>
              <w:t>丘发亮15219802005</w:t>
            </w:r>
          </w:p>
        </w:tc>
        <w:tc>
          <w:tcPr>
            <w:tcW w:w="1134" w:type="dxa"/>
            <w:shd w:val="clear" w:color="auto" w:fill="auto"/>
            <w:vAlign w:val="center"/>
          </w:tcPr>
          <w:p>
            <w:pPr>
              <w:spacing w:before="0" w:beforeLines="0" w:line="312" w:lineRule="auto"/>
              <w:ind w:firstLine="0" w:firstLineChars="0"/>
              <w:jc w:val="center"/>
              <w:rPr>
                <w:rFonts w:hint="default" w:asciiTheme="minorEastAsia" w:hAnsiTheme="minorEastAsia" w:eastAsiaTheme="minorEastAsia"/>
                <w:sz w:val="21"/>
                <w:szCs w:val="21"/>
                <w:highlight w:val="yellow"/>
                <w:lang w:val="en-US" w:eastAsia="zh-CN"/>
              </w:rPr>
            </w:pPr>
            <w:r>
              <w:rPr>
                <w:rFonts w:hint="eastAsia" w:ascii="宋体" w:hAnsi="宋体" w:cs="宋体"/>
                <w:i w:val="0"/>
                <w:iCs w:val="0"/>
                <w:color w:val="000000"/>
                <w:kern w:val="0"/>
                <w:sz w:val="21"/>
                <w:szCs w:val="21"/>
                <w:u w:val="none"/>
                <w:lang w:val="en-US" w:eastAsia="zh-CN" w:bidi="ar"/>
              </w:rPr>
              <w:t>安全环保部</w:t>
            </w:r>
            <w:r>
              <w:rPr>
                <w:rFonts w:hint="eastAsia" w:ascii="宋体" w:hAnsi="宋体" w:eastAsia="宋体" w:cs="宋体"/>
                <w:i w:val="0"/>
                <w:iCs w:val="0"/>
                <w:color w:val="000000"/>
                <w:kern w:val="0"/>
                <w:sz w:val="21"/>
                <w:szCs w:val="21"/>
                <w:u w:val="none"/>
                <w:lang w:val="en-US" w:eastAsia="zh-CN" w:bidi="ar"/>
              </w:rPr>
              <w:t>主任</w:t>
            </w:r>
          </w:p>
        </w:tc>
        <w:tc>
          <w:tcPr>
            <w:tcW w:w="3828" w:type="dxa"/>
            <w:shd w:val="clear" w:color="auto" w:fill="auto"/>
            <w:vAlign w:val="center"/>
          </w:tcPr>
          <w:p>
            <w:pPr>
              <w:numPr>
                <w:ilvl w:val="0"/>
                <w:numId w:val="5"/>
              </w:numPr>
              <w:tabs>
                <w:tab w:val="clear" w:pos="0"/>
              </w:tabs>
              <w:spacing w:before="0" w:beforeLines="0" w:line="312" w:lineRule="auto"/>
              <w:ind w:firstLineChars="0"/>
              <w:jc w:val="left"/>
              <w:rPr>
                <w:rFonts w:asciiTheme="minorEastAsia" w:hAnsiTheme="minorEastAsia" w:eastAsiaTheme="minorEastAsia"/>
                <w:sz w:val="21"/>
                <w:szCs w:val="21"/>
              </w:rPr>
            </w:pPr>
            <w:r>
              <w:rPr>
                <w:rFonts w:asciiTheme="minorEastAsia" w:hAnsiTheme="minorEastAsia" w:eastAsiaTheme="minorEastAsia"/>
                <w:sz w:val="21"/>
                <w:szCs w:val="21"/>
              </w:rPr>
              <w:t>负责组织应急预案制定、修订工作；</w:t>
            </w:r>
          </w:p>
          <w:p>
            <w:pPr>
              <w:numPr>
                <w:ilvl w:val="0"/>
                <w:numId w:val="5"/>
              </w:numPr>
              <w:tabs>
                <w:tab w:val="clear" w:pos="0"/>
              </w:tabs>
              <w:autoSpaceDE w:val="0"/>
              <w:autoSpaceDN w:val="0"/>
              <w:spacing w:before="0" w:beforeLines="0" w:line="312" w:lineRule="auto"/>
              <w:ind w:firstLineChars="0"/>
              <w:rPr>
                <w:rFonts w:asciiTheme="minorEastAsia" w:hAnsiTheme="minorEastAsia" w:eastAsiaTheme="minorEastAsia"/>
                <w:sz w:val="21"/>
                <w:szCs w:val="21"/>
              </w:rPr>
            </w:pPr>
            <w:r>
              <w:rPr>
                <w:rFonts w:asciiTheme="minorEastAsia" w:hAnsiTheme="minorEastAsia" w:eastAsiaTheme="minorEastAsia"/>
                <w:sz w:val="21"/>
                <w:szCs w:val="21"/>
              </w:rPr>
              <w:t>负责本公司应急预案的日常管理工作；</w:t>
            </w:r>
          </w:p>
          <w:p>
            <w:pPr>
              <w:numPr>
                <w:ilvl w:val="0"/>
                <w:numId w:val="5"/>
              </w:numPr>
              <w:tabs>
                <w:tab w:val="clear" w:pos="0"/>
              </w:tabs>
              <w:autoSpaceDE w:val="0"/>
              <w:autoSpaceDN w:val="0"/>
              <w:spacing w:before="0" w:beforeLines="0" w:line="312" w:lineRule="auto"/>
              <w:ind w:firstLineChars="0"/>
              <w:rPr>
                <w:rFonts w:asciiTheme="minorEastAsia" w:hAnsiTheme="minorEastAsia" w:eastAsiaTheme="minorEastAsia"/>
                <w:sz w:val="21"/>
                <w:szCs w:val="21"/>
              </w:rPr>
            </w:pPr>
            <w:r>
              <w:rPr>
                <w:rFonts w:asciiTheme="minorEastAsia" w:hAnsiTheme="minorEastAsia" w:eastAsiaTheme="minorEastAsia"/>
                <w:sz w:val="21"/>
                <w:szCs w:val="21"/>
              </w:rPr>
              <w:t>负责日常的接警工作；</w:t>
            </w:r>
          </w:p>
          <w:p>
            <w:pPr>
              <w:numPr>
                <w:ilvl w:val="0"/>
                <w:numId w:val="5"/>
              </w:numPr>
              <w:tabs>
                <w:tab w:val="clear" w:pos="0"/>
              </w:tabs>
              <w:autoSpaceDE w:val="0"/>
              <w:autoSpaceDN w:val="0"/>
              <w:spacing w:before="0" w:beforeLines="0" w:line="312" w:lineRule="auto"/>
              <w:ind w:firstLineChars="0"/>
              <w:rPr>
                <w:rFonts w:asciiTheme="minorEastAsia" w:hAnsiTheme="minorEastAsia" w:eastAsiaTheme="minorEastAsia"/>
                <w:sz w:val="21"/>
                <w:szCs w:val="21"/>
              </w:rPr>
            </w:pPr>
            <w:r>
              <w:rPr>
                <w:rFonts w:asciiTheme="minorEastAsia" w:hAnsiTheme="minorEastAsia" w:eastAsiaTheme="minorEastAsia"/>
                <w:sz w:val="21"/>
                <w:szCs w:val="21"/>
              </w:rPr>
              <w:t>组织应急的培训、演练等工作。</w:t>
            </w:r>
          </w:p>
        </w:tc>
        <w:tc>
          <w:tcPr>
            <w:tcW w:w="5702" w:type="dxa"/>
            <w:shd w:val="clear" w:color="auto" w:fill="auto"/>
            <w:vAlign w:val="center"/>
          </w:tcPr>
          <w:p>
            <w:pPr>
              <w:numPr>
                <w:ilvl w:val="0"/>
                <w:numId w:val="6"/>
              </w:numPr>
              <w:tabs>
                <w:tab w:val="clear" w:pos="0"/>
              </w:tabs>
              <w:spacing w:before="0" w:beforeLines="0" w:line="312" w:lineRule="auto"/>
              <w:ind w:firstLineChars="0"/>
              <w:jc w:val="left"/>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上传下达指挥安排的应急任务；</w:t>
            </w:r>
          </w:p>
          <w:p>
            <w:pPr>
              <w:numPr>
                <w:ilvl w:val="0"/>
                <w:numId w:val="6"/>
              </w:numPr>
              <w:tabs>
                <w:tab w:val="clear" w:pos="0"/>
              </w:tabs>
              <w:autoSpaceDE w:val="0"/>
              <w:autoSpaceDN w:val="0"/>
              <w:spacing w:before="0" w:beforeLines="0" w:line="312" w:lineRule="auto"/>
              <w:ind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负责人员配置、资源分配、应急队伍的调动；</w:t>
            </w:r>
          </w:p>
          <w:p>
            <w:pPr>
              <w:numPr>
                <w:ilvl w:val="0"/>
                <w:numId w:val="6"/>
              </w:numPr>
              <w:tabs>
                <w:tab w:val="clear" w:pos="0"/>
              </w:tabs>
              <w:autoSpaceDE w:val="0"/>
              <w:autoSpaceDN w:val="0"/>
              <w:spacing w:before="0" w:beforeLines="0" w:line="312" w:lineRule="auto"/>
              <w:ind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事故信息的上报，并于相关的外部应急部门、组织和机构进行联络，及时通报应急信息；</w:t>
            </w:r>
          </w:p>
          <w:p>
            <w:pPr>
              <w:numPr>
                <w:ilvl w:val="0"/>
                <w:numId w:val="6"/>
              </w:numPr>
              <w:tabs>
                <w:tab w:val="clear" w:pos="0"/>
              </w:tabs>
              <w:autoSpaceDE w:val="0"/>
              <w:autoSpaceDN w:val="0"/>
              <w:spacing w:before="0" w:beforeLines="0" w:line="312" w:lineRule="auto"/>
              <w:ind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负责保护事故发生后的相关数据；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7" w:hRule="atLeast"/>
        </w:trPr>
        <w:tc>
          <w:tcPr>
            <w:tcW w:w="1564" w:type="dxa"/>
            <w:shd w:val="clear" w:color="auto" w:fill="auto"/>
            <w:vAlign w:val="center"/>
          </w:tcPr>
          <w:p>
            <w:pPr>
              <w:spacing w:before="0" w:beforeLines="0" w:line="312" w:lineRule="auto"/>
              <w:ind w:firstLine="0" w:firstLineChars="0"/>
              <w:jc w:val="center"/>
              <w:rPr>
                <w:rFonts w:asciiTheme="minorEastAsia" w:hAnsiTheme="minorEastAsia" w:eastAsiaTheme="minorEastAsia"/>
                <w:color w:val="000000"/>
                <w:kern w:val="1"/>
                <w:sz w:val="21"/>
                <w:szCs w:val="21"/>
              </w:rPr>
            </w:pPr>
            <w:r>
              <w:rPr>
                <w:rFonts w:asciiTheme="minorEastAsia" w:hAnsiTheme="minorEastAsia" w:eastAsiaTheme="minorEastAsia"/>
                <w:color w:val="000000"/>
                <w:kern w:val="1"/>
                <w:sz w:val="21"/>
                <w:szCs w:val="21"/>
              </w:rPr>
              <w:t>现场处置组</w:t>
            </w:r>
          </w:p>
        </w:tc>
        <w:tc>
          <w:tcPr>
            <w:tcW w:w="1946" w:type="dxa"/>
            <w:shd w:val="clear" w:color="auto" w:fill="auto"/>
            <w:vAlign w:val="center"/>
          </w:tcPr>
          <w:p>
            <w:pPr>
              <w:pStyle w:val="2"/>
              <w:snapToGrid w:val="0"/>
              <w:spacing w:line="312"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黄华</w:t>
            </w:r>
          </w:p>
          <w:p>
            <w:pPr>
              <w:pStyle w:val="2"/>
              <w:snapToGrid w:val="0"/>
              <w:spacing w:line="312" w:lineRule="auto"/>
              <w:jc w:val="center"/>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13827994342</w:t>
            </w:r>
          </w:p>
        </w:tc>
        <w:tc>
          <w:tcPr>
            <w:tcW w:w="1134" w:type="dxa"/>
            <w:shd w:val="clear" w:color="auto" w:fill="auto"/>
            <w:vAlign w:val="center"/>
          </w:tcPr>
          <w:p>
            <w:pPr>
              <w:autoSpaceDE w:val="0"/>
              <w:autoSpaceDN w:val="0"/>
              <w:spacing w:before="0" w:beforeLines="0" w:line="312" w:lineRule="auto"/>
              <w:ind w:firstLine="0" w:firstLineChars="0"/>
              <w:jc w:val="center"/>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生产技术部部长</w:t>
            </w:r>
          </w:p>
        </w:tc>
        <w:tc>
          <w:tcPr>
            <w:tcW w:w="3828" w:type="dxa"/>
            <w:shd w:val="clear" w:color="auto" w:fill="auto"/>
            <w:vAlign w:val="center"/>
          </w:tcPr>
          <w:p>
            <w:pPr>
              <w:numPr>
                <w:ilvl w:val="0"/>
                <w:numId w:val="7"/>
              </w:numPr>
              <w:tabs>
                <w:tab w:val="clear" w:pos="0"/>
              </w:tabs>
              <w:spacing w:before="0" w:beforeLines="0" w:line="312" w:lineRule="auto"/>
              <w:ind w:firstLineChars="0"/>
              <w:jc w:val="left"/>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负责消防设施的维护保养，并负责其他抢险抢修设备的管理和维护等作；</w:t>
            </w:r>
          </w:p>
          <w:p>
            <w:pPr>
              <w:numPr>
                <w:ilvl w:val="0"/>
                <w:numId w:val="7"/>
              </w:numPr>
              <w:tabs>
                <w:tab w:val="clear" w:pos="0"/>
              </w:tabs>
              <w:autoSpaceDE w:val="0"/>
              <w:autoSpaceDN w:val="0"/>
              <w:spacing w:before="0" w:beforeLines="0" w:line="312" w:lineRule="auto"/>
              <w:ind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熟悉抢险抢修工作的步骤，积极参与培训、演练及不断总结等工作，保证事故下的及时抢险抢修。</w:t>
            </w:r>
          </w:p>
        </w:tc>
        <w:tc>
          <w:tcPr>
            <w:tcW w:w="5702" w:type="dxa"/>
            <w:shd w:val="clear" w:color="auto" w:fill="auto"/>
            <w:vAlign w:val="center"/>
          </w:tcPr>
          <w:p>
            <w:pPr>
              <w:numPr>
                <w:ilvl w:val="0"/>
                <w:numId w:val="8"/>
              </w:numPr>
              <w:spacing w:before="0" w:beforeLines="0" w:line="312" w:lineRule="auto"/>
              <w:ind w:firstLine="0" w:firstLineChars="0"/>
              <w:jc w:val="left"/>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负责紧急状态下现场排险、控险、灭火等各项工作；</w:t>
            </w:r>
          </w:p>
          <w:p>
            <w:pPr>
              <w:numPr>
                <w:ilvl w:val="0"/>
                <w:numId w:val="8"/>
              </w:numPr>
              <w:spacing w:before="0" w:beforeLines="0" w:line="312" w:lineRule="auto"/>
              <w:ind w:firstLine="0" w:firstLineChars="0"/>
              <w:jc w:val="left"/>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负责抢修被事故破坏的设备、道路交通设施、通讯设备设施；</w:t>
            </w:r>
          </w:p>
          <w:p>
            <w:pPr>
              <w:numPr>
                <w:ilvl w:val="0"/>
                <w:numId w:val="8"/>
              </w:numPr>
              <w:spacing w:before="0" w:beforeLines="0" w:line="312" w:lineRule="auto"/>
              <w:ind w:firstLine="0" w:firstLineChars="0"/>
              <w:jc w:val="left"/>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负责抢救遇险人员，转移物资；</w:t>
            </w:r>
          </w:p>
          <w:p>
            <w:pPr>
              <w:numPr>
                <w:ilvl w:val="0"/>
                <w:numId w:val="8"/>
              </w:numPr>
              <w:spacing w:before="0" w:beforeLines="0" w:line="312" w:lineRule="auto"/>
              <w:ind w:firstLine="0" w:firstLineChars="0"/>
              <w:jc w:val="left"/>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及时掌握事故的变化，提出相应措施；</w:t>
            </w:r>
          </w:p>
          <w:p>
            <w:pPr>
              <w:numPr>
                <w:ilvl w:val="0"/>
                <w:numId w:val="8"/>
              </w:numPr>
              <w:spacing w:before="0" w:beforeLines="0" w:line="312" w:lineRule="auto"/>
              <w:ind w:firstLine="0" w:firstLineChars="0"/>
              <w:jc w:val="left"/>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根据事故变化及时向指挥部报告，异变统筹调度与救灾等有关的各方面人力物力。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7" w:hRule="atLeast"/>
        </w:trPr>
        <w:tc>
          <w:tcPr>
            <w:tcW w:w="1564" w:type="dxa"/>
            <w:shd w:val="clear" w:color="auto" w:fill="auto"/>
            <w:vAlign w:val="center"/>
          </w:tcPr>
          <w:p>
            <w:pPr>
              <w:spacing w:before="0" w:beforeLines="0" w:line="312" w:lineRule="auto"/>
              <w:ind w:firstLine="0" w:firstLineChars="0"/>
              <w:jc w:val="center"/>
              <w:rPr>
                <w:rFonts w:asciiTheme="minorEastAsia" w:hAnsiTheme="minorEastAsia" w:eastAsiaTheme="minorEastAsia"/>
                <w:color w:val="000000"/>
                <w:kern w:val="1"/>
                <w:sz w:val="21"/>
                <w:szCs w:val="21"/>
              </w:rPr>
            </w:pPr>
            <w:r>
              <w:rPr>
                <w:rFonts w:asciiTheme="minorEastAsia" w:hAnsiTheme="minorEastAsia" w:eastAsiaTheme="minorEastAsia"/>
                <w:color w:val="000000"/>
                <w:kern w:val="1"/>
                <w:sz w:val="21"/>
                <w:szCs w:val="21"/>
              </w:rPr>
              <w:t>应急监测组</w:t>
            </w:r>
          </w:p>
        </w:tc>
        <w:tc>
          <w:tcPr>
            <w:tcW w:w="1946" w:type="dxa"/>
            <w:shd w:val="clear" w:color="auto" w:fill="auto"/>
            <w:vAlign w:val="center"/>
          </w:tcPr>
          <w:p>
            <w:pPr>
              <w:spacing w:before="0" w:beforeLines="0" w:line="312" w:lineRule="auto"/>
              <w:ind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吴宏</w:t>
            </w:r>
          </w:p>
          <w:p>
            <w:pPr>
              <w:spacing w:before="0" w:beforeLines="0" w:line="312" w:lineRule="auto"/>
              <w:ind w:firstLine="0" w:firstLineChars="0"/>
              <w:jc w:val="center"/>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13926627870</w:t>
            </w:r>
          </w:p>
        </w:tc>
        <w:tc>
          <w:tcPr>
            <w:tcW w:w="1134" w:type="dxa"/>
            <w:shd w:val="clear" w:color="auto" w:fill="auto"/>
            <w:vAlign w:val="center"/>
          </w:tcPr>
          <w:p>
            <w:pPr>
              <w:spacing w:before="0" w:beforeLines="0" w:line="312" w:lineRule="auto"/>
              <w:ind w:firstLine="0" w:firstLineChars="0"/>
              <w:jc w:val="center"/>
              <w:rPr>
                <w:rFonts w:hint="default"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质量管理部部长</w:t>
            </w:r>
          </w:p>
        </w:tc>
        <w:tc>
          <w:tcPr>
            <w:tcW w:w="3828" w:type="dxa"/>
            <w:shd w:val="clear" w:color="auto" w:fill="auto"/>
            <w:vAlign w:val="center"/>
          </w:tcPr>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（1）负责日常大气和水体的监测；</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（2）负责应急池、雨水阀门、消防泵等环境应急资源的管理等；</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（3）负责应急监测设备的维护及保养等；</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（4）参与相关培训及演练，熟悉应急工作，并负责制定其中的应急监测方案。</w:t>
            </w:r>
          </w:p>
        </w:tc>
        <w:tc>
          <w:tcPr>
            <w:tcW w:w="5702" w:type="dxa"/>
            <w:shd w:val="clear" w:color="auto" w:fill="auto"/>
            <w:vAlign w:val="center"/>
          </w:tcPr>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（1）负责对事故状态下的大气、水体环境进行监测，为应急处置提供依据与保障；</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（2）协助环保局或监测站进行环境应急监测；</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（3）负责对事故产生的污染物进行控制，避免或减少污染物对外环境造成污染；主要包括雨水排口、污水排口和清净下水排口的截断，防止事故废水蔓延，同时包括将事故废水引入应急池等应急工作；</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（4）负责对事故后的产生的环境污染物进行相应处理。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shd w:val="clear" w:color="auto" w:fill="auto"/>
            <w:vAlign w:val="center"/>
          </w:tcPr>
          <w:p>
            <w:pPr>
              <w:spacing w:before="0" w:beforeLines="0" w:line="312" w:lineRule="auto"/>
              <w:ind w:firstLine="0" w:firstLineChars="0"/>
              <w:jc w:val="center"/>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综合协调组</w:t>
            </w:r>
          </w:p>
        </w:tc>
        <w:tc>
          <w:tcPr>
            <w:tcW w:w="1946" w:type="dxa"/>
            <w:shd w:val="clear" w:color="auto" w:fill="auto"/>
            <w:vAlign w:val="center"/>
          </w:tcPr>
          <w:p>
            <w:pPr>
              <w:spacing w:before="0" w:beforeLines="0" w:line="312" w:lineRule="auto"/>
              <w:ind w:firstLine="0" w:firstLineChars="0"/>
              <w:jc w:val="center"/>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张志义13112027829</w:t>
            </w:r>
          </w:p>
        </w:tc>
        <w:tc>
          <w:tcPr>
            <w:tcW w:w="1134" w:type="dxa"/>
            <w:shd w:val="clear" w:color="auto" w:fill="auto"/>
            <w:vAlign w:val="center"/>
          </w:tcPr>
          <w:p>
            <w:pPr>
              <w:spacing w:before="0" w:beforeLines="0" w:line="312" w:lineRule="auto"/>
              <w:ind w:firstLine="0" w:firstLineChars="0"/>
              <w:jc w:val="center"/>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保安部经理</w:t>
            </w:r>
          </w:p>
        </w:tc>
        <w:tc>
          <w:tcPr>
            <w:tcW w:w="3828" w:type="dxa"/>
            <w:shd w:val="clear" w:color="auto" w:fill="auto"/>
            <w:vAlign w:val="center"/>
          </w:tcPr>
          <w:p>
            <w:pPr>
              <w:numPr>
                <w:ilvl w:val="0"/>
                <w:numId w:val="9"/>
              </w:numPr>
              <w:tabs>
                <w:tab w:val="clear" w:pos="0"/>
              </w:tabs>
              <w:spacing w:before="0" w:beforeLines="0" w:line="312" w:lineRule="auto"/>
              <w:ind w:firstLineChars="0"/>
              <w:jc w:val="left"/>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熟悉疏散路线；</w:t>
            </w:r>
          </w:p>
          <w:p>
            <w:pPr>
              <w:numPr>
                <w:ilvl w:val="0"/>
                <w:numId w:val="9"/>
              </w:numPr>
              <w:tabs>
                <w:tab w:val="clear" w:pos="0"/>
              </w:tabs>
              <w:autoSpaceDE w:val="0"/>
              <w:autoSpaceDN w:val="0"/>
              <w:spacing w:before="0" w:beforeLines="0" w:line="312" w:lineRule="auto"/>
              <w:ind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管理好警戒疏散的物资；</w:t>
            </w:r>
          </w:p>
          <w:p>
            <w:pPr>
              <w:numPr>
                <w:ilvl w:val="0"/>
                <w:numId w:val="9"/>
              </w:numPr>
              <w:tabs>
                <w:tab w:val="clear" w:pos="0"/>
              </w:tabs>
              <w:autoSpaceDE w:val="0"/>
              <w:autoSpaceDN w:val="0"/>
              <w:spacing w:before="0" w:beforeLines="0" w:line="312" w:lineRule="auto"/>
              <w:ind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负责用电设施、车辆的维护及保养等；</w:t>
            </w:r>
          </w:p>
          <w:p>
            <w:pPr>
              <w:numPr>
                <w:ilvl w:val="0"/>
                <w:numId w:val="9"/>
              </w:numPr>
              <w:tabs>
                <w:tab w:val="clear" w:pos="0"/>
              </w:tabs>
              <w:autoSpaceDE w:val="0"/>
              <w:autoSpaceDN w:val="0"/>
              <w:spacing w:before="0" w:beforeLines="0" w:line="312" w:lineRule="auto"/>
              <w:ind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参与相关培训及演练，熟悉应急工作；</w:t>
            </w:r>
          </w:p>
        </w:tc>
        <w:tc>
          <w:tcPr>
            <w:tcW w:w="5702" w:type="dxa"/>
            <w:shd w:val="clear" w:color="auto" w:fill="auto"/>
            <w:vAlign w:val="center"/>
          </w:tcPr>
          <w:p>
            <w:pPr>
              <w:spacing w:before="0" w:beforeLines="0" w:line="312" w:lineRule="auto"/>
              <w:ind w:firstLine="0" w:firstLineChars="0"/>
              <w:jc w:val="left"/>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（1）阻止非抢险救援人员进入事故现场；</w:t>
            </w:r>
          </w:p>
          <w:p>
            <w:pPr>
              <w:spacing w:before="0" w:beforeLines="0" w:line="312" w:lineRule="auto"/>
              <w:ind w:firstLine="0" w:firstLineChars="0"/>
              <w:jc w:val="left"/>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（2）负责现场车辆疏导；</w:t>
            </w:r>
          </w:p>
          <w:p>
            <w:pPr>
              <w:spacing w:before="0" w:beforeLines="0" w:line="312" w:lineRule="auto"/>
              <w:ind w:firstLine="0" w:firstLineChars="0"/>
              <w:jc w:val="left"/>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（3）根据应急领导小组的指令及时疏散人员；</w:t>
            </w:r>
          </w:p>
          <w:p>
            <w:pPr>
              <w:spacing w:before="0" w:beforeLines="0" w:line="312" w:lineRule="auto"/>
              <w:ind w:firstLine="0" w:firstLineChars="0"/>
              <w:jc w:val="left"/>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（4）维持厂区内治安秩序；</w:t>
            </w:r>
          </w:p>
          <w:p>
            <w:pPr>
              <w:spacing w:before="0" w:beforeLines="0" w:line="312" w:lineRule="auto"/>
              <w:ind w:firstLine="0" w:firstLineChars="0"/>
              <w:jc w:val="left"/>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（5）负责厂区内事故现场隔离区域和疏散区域的警戒和交通管制；</w:t>
            </w:r>
          </w:p>
          <w:p>
            <w:pPr>
              <w:spacing w:before="0" w:beforeLines="0" w:line="312" w:lineRule="auto"/>
              <w:ind w:firstLine="0" w:firstLineChars="0"/>
              <w:jc w:val="left"/>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（6）确保各专业队与厂内事故现场指挥广播和通讯的畅通；</w:t>
            </w:r>
          </w:p>
          <w:p>
            <w:pPr>
              <w:spacing w:before="0" w:beforeLines="0" w:line="312" w:lineRule="auto"/>
              <w:ind w:firstLine="0" w:firstLineChars="0"/>
              <w:jc w:val="left"/>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（7）负责修复用电设施或敷设临时线路，保证事故用电，维修各种造成损害的其他急用设备设施；</w:t>
            </w:r>
          </w:p>
          <w:p>
            <w:pPr>
              <w:spacing w:before="0" w:beforeLines="0" w:line="312" w:lineRule="auto"/>
              <w:ind w:firstLine="0" w:firstLineChars="0"/>
              <w:jc w:val="left"/>
              <w:rPr>
                <w:rFonts w:asciiTheme="minorEastAsia" w:hAnsiTheme="minorEastAsia" w:eastAsiaTheme="minorEastAsia"/>
                <w:color w:val="000000"/>
                <w:sz w:val="21"/>
                <w:szCs w:val="21"/>
              </w:rPr>
            </w:pPr>
            <w:r>
              <w:rPr>
                <w:rFonts w:hint="eastAsia" w:asciiTheme="minorEastAsia" w:hAnsiTheme="minorEastAsia" w:eastAsiaTheme="minorEastAsia"/>
                <w:color w:val="000000"/>
                <w:sz w:val="21"/>
                <w:szCs w:val="21"/>
              </w:rPr>
              <w:t>（8）按总应急领导小组命令，恢复供电或切断电源；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shd w:val="clear" w:color="auto" w:fill="auto"/>
            <w:vAlign w:val="center"/>
          </w:tcPr>
          <w:p>
            <w:pPr>
              <w:spacing w:before="0" w:beforeLines="0" w:line="312" w:lineRule="auto"/>
              <w:ind w:firstLine="0" w:firstLineChars="0"/>
              <w:jc w:val="center"/>
              <w:rPr>
                <w:rFonts w:asciiTheme="minorEastAsia" w:hAnsiTheme="minorEastAsia" w:eastAsiaTheme="minorEastAsia"/>
                <w:color w:val="000000"/>
                <w:kern w:val="1"/>
                <w:sz w:val="21"/>
                <w:szCs w:val="21"/>
              </w:rPr>
            </w:pPr>
            <w:r>
              <w:rPr>
                <w:rFonts w:asciiTheme="minorEastAsia" w:hAnsiTheme="minorEastAsia" w:eastAsiaTheme="minorEastAsia"/>
                <w:color w:val="000000"/>
                <w:sz w:val="21"/>
                <w:szCs w:val="21"/>
              </w:rPr>
              <w:t>后勤保障组</w:t>
            </w:r>
          </w:p>
        </w:tc>
        <w:tc>
          <w:tcPr>
            <w:tcW w:w="1946" w:type="dxa"/>
            <w:shd w:val="clear" w:color="auto" w:fill="auto"/>
            <w:vAlign w:val="center"/>
          </w:tcPr>
          <w:p>
            <w:pPr>
              <w:spacing w:before="0" w:beforeLines="0" w:line="312" w:lineRule="auto"/>
              <w:ind w:firstLine="0" w:firstLineChars="0"/>
              <w:jc w:val="center"/>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胡新志18933726808</w:t>
            </w:r>
          </w:p>
        </w:tc>
        <w:tc>
          <w:tcPr>
            <w:tcW w:w="1134" w:type="dxa"/>
            <w:shd w:val="clear" w:color="auto" w:fill="auto"/>
            <w:vAlign w:val="center"/>
          </w:tcPr>
          <w:p>
            <w:pPr>
              <w:spacing w:before="0" w:beforeLines="0" w:line="312" w:lineRule="auto"/>
              <w:ind w:firstLine="0" w:firstLineChars="0"/>
              <w:jc w:val="center"/>
              <w:rPr>
                <w:rFonts w:hint="default"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行政人事部部长</w:t>
            </w:r>
          </w:p>
        </w:tc>
        <w:tc>
          <w:tcPr>
            <w:tcW w:w="3828" w:type="dxa"/>
            <w:shd w:val="clear" w:color="auto" w:fill="auto"/>
            <w:vAlign w:val="center"/>
          </w:tcPr>
          <w:p>
            <w:pPr>
              <w:autoSpaceDE w:val="0"/>
              <w:autoSpaceDN w:val="0"/>
              <w:spacing w:before="0" w:beforeLines="0" w:line="312" w:lineRule="auto"/>
              <w:ind w:firstLine="0" w:firstLineChars="0"/>
              <w:jc w:val="left"/>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（1）负责人员救护及救援行动所需物资的准备及其维护等管理工作；</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（2）参与相关培训及演练，熟悉应急工作。</w:t>
            </w:r>
          </w:p>
        </w:tc>
        <w:tc>
          <w:tcPr>
            <w:tcW w:w="5702" w:type="dxa"/>
            <w:shd w:val="clear" w:color="auto" w:fill="auto"/>
            <w:vAlign w:val="center"/>
          </w:tcPr>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（1）负责对伤员的救护、包扎、诊治和人工呼吸等现场救援；及保护、传送事故中的受伤人员；</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（2）负责车辆的安排和调配；</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（3）为救援行动提供物质保证（包括应急抢险器材、救援防护器材、监测器材和指挥通讯器材等）；</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（4）负责应急时的后勤保障时工作；</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（5）负责善后处置工作，包括人员安置、补偿，征用物资补偿，救援费用的支付，灾后重建，污染物收集、清理与处理等事项；</w:t>
            </w:r>
          </w:p>
          <w:p>
            <w:pPr>
              <w:autoSpaceDE w:val="0"/>
              <w:autoSpaceDN w:val="0"/>
              <w:spacing w:before="0" w:beforeLines="0" w:line="312" w:lineRule="auto"/>
              <w:ind w:firstLine="0" w:firstLineChars="0"/>
              <w:rPr>
                <w:rFonts w:asciiTheme="minorEastAsia" w:hAnsiTheme="minorEastAsia" w:eastAsiaTheme="minorEastAsia"/>
                <w:color w:val="000000"/>
                <w:sz w:val="21"/>
                <w:szCs w:val="21"/>
              </w:rPr>
            </w:pPr>
            <w:r>
              <w:rPr>
                <w:rFonts w:asciiTheme="minorEastAsia" w:hAnsiTheme="minorEastAsia" w:eastAsiaTheme="minorEastAsia"/>
                <w:color w:val="000000"/>
                <w:sz w:val="21"/>
                <w:szCs w:val="21"/>
              </w:rPr>
              <w:t>（6）尽快消除事故后果和影响，安抚受害和受影响人员，保证社会稳定，尽快恢复正常秩序。</w:t>
            </w:r>
          </w:p>
        </w:tc>
      </w:tr>
    </w:tbl>
    <w:p>
      <w:pPr>
        <w:spacing w:before="240" w:beforeLines="100" w:line="360" w:lineRule="auto"/>
        <w:ind w:firstLine="480" w:firstLineChars="200"/>
        <w:rPr>
          <w:rFonts w:eastAsia="仿宋_GB2312"/>
          <w:sz w:val="24"/>
        </w:rPr>
        <w:sectPr>
          <w:pgSz w:w="16838" w:h="11906" w:orient="landscape"/>
          <w:pgMar w:top="1797" w:right="1440" w:bottom="1797" w:left="1440" w:header="851" w:footer="992" w:gutter="0"/>
          <w:pgNumType w:fmt="decimal"/>
          <w:cols w:space="720" w:num="1"/>
          <w:docGrid w:linePitch="312" w:charSpace="0"/>
        </w:sectPr>
      </w:pPr>
    </w:p>
    <w:p>
      <w:pPr>
        <w:spacing w:before="240" w:beforeLines="100" w:line="360" w:lineRule="auto"/>
        <w:ind w:firstLine="480" w:firstLineChars="200"/>
        <w:rPr>
          <w:rFonts w:eastAsia="仿宋_GB2312"/>
          <w:sz w:val="24"/>
        </w:rPr>
      </w:pPr>
      <w:r>
        <w:rPr>
          <w:rFonts w:hint="eastAsia" w:eastAsia="仿宋_GB2312"/>
          <w:sz w:val="24"/>
        </w:rPr>
        <w:t>发生突发环境事件时，根据事件类型及等级，迅速成立相应的应急组织机构。Ⅰ级响应在由政府领导负责应急指挥工作，在政府相关领导未抵达现场前，由公司内部应急总指挥与副总指挥充当Ⅰ级响应临时总指挥与副总指挥；Ⅱ级应急响应由应急总指挥负责企业应急救援工作的组织和调度，若总指挥不在时，则由副总指挥担任临时总指挥；Ⅲ级应急响应由生产主管进行现场指挥。若事件发生在夜班或节假日等非正常工作时间，按照上述安排进行应急指挥。事件应急处理期间，企业范围内一切救援力量与物资必须服从调派，各专业应急救援小组成员根据事件应急措施方案进行相应的应急工作。</w:t>
      </w:r>
    </w:p>
    <w:p>
      <w:pPr>
        <w:spacing w:before="120" w:beforeLines="50" w:line="360" w:lineRule="auto"/>
        <w:outlineLvl w:val="1"/>
        <w:rPr>
          <w:b/>
          <w:sz w:val="30"/>
          <w:szCs w:val="30"/>
        </w:rPr>
      </w:pPr>
      <w:bookmarkStart w:id="56" w:name="_Toc1194"/>
      <w:r>
        <w:rPr>
          <w:rFonts w:hint="eastAsia"/>
          <w:b/>
          <w:sz w:val="30"/>
          <w:szCs w:val="30"/>
        </w:rPr>
        <w:t>3.3突发环境事件内部应急处置指挥部职责</w:t>
      </w:r>
      <w:bookmarkEnd w:id="56"/>
    </w:p>
    <w:p>
      <w:pPr>
        <w:spacing w:before="120" w:beforeLines="50" w:line="360" w:lineRule="auto"/>
        <w:ind w:firstLine="480" w:firstLineChars="200"/>
        <w:rPr>
          <w:rFonts w:eastAsia="仿宋_GB2312"/>
          <w:sz w:val="24"/>
        </w:rPr>
      </w:pPr>
      <w:r>
        <w:rPr>
          <w:rFonts w:hint="eastAsia" w:eastAsia="仿宋_GB2312"/>
          <w:sz w:val="24"/>
        </w:rPr>
        <w:t>环境应急指挥工作组负责现场所需抢险物资的搬运及现场抢救工作，做好各小队之间的协调配合工作。迅速、有效地实施先期处置，全力控制事故灾难发展态势，防止次生、衍生和耦合事故（事件）发生，果断控制或切断事故灾害链。</w:t>
      </w:r>
    </w:p>
    <w:p>
      <w:pPr>
        <w:spacing w:before="120" w:beforeLines="50" w:line="360" w:lineRule="auto"/>
        <w:ind w:firstLine="480" w:firstLineChars="200"/>
        <w:rPr>
          <w:rFonts w:eastAsia="仿宋_GB2312"/>
          <w:sz w:val="24"/>
        </w:rPr>
      </w:pPr>
      <w:r>
        <w:rPr>
          <w:rFonts w:hint="eastAsia" w:eastAsia="仿宋_GB2312"/>
          <w:sz w:val="24"/>
        </w:rPr>
        <w:t>提前组织相关人员对环境安全事故应急预案的培训学习。通过认真学习演习，了解熟知应急的程序、内容、操作方法等，使各个小组成员熟悉掌握环境污染事故应急预案的作用与职责，熟识企业污染物类型、环境危险源的位置、发生事故的可能性，并能鉴别异常情况的危险性，及各类污染物的危害性；了解周围环境敏感点的位置、数量、类型，及污染事故可能对其产生的影响；掌握生产工艺过程中可能出现的环境污染事故的解决方案；掌握控险、排险、堵漏、转输的基本方法，防止污染物扩散；熟悉主要消防器材、防护设备等的位置及使用方法；熟知如何正确报警及常用内、外部报警电话，编制内、外部电话清单并张贴在醒目的位置；了解熟知应急人员的基本任务及责任、污染治理设施的运行要求、可能产生的环境污染事故等方面的内容。</w:t>
      </w:r>
    </w:p>
    <w:p>
      <w:pPr>
        <w:spacing w:before="120" w:beforeLines="50" w:line="360" w:lineRule="auto"/>
        <w:ind w:firstLine="480" w:firstLineChars="200"/>
        <w:rPr>
          <w:rFonts w:eastAsia="仿宋_GB2312"/>
          <w:sz w:val="24"/>
        </w:rPr>
      </w:pPr>
      <w:r>
        <w:rPr>
          <w:rFonts w:hint="eastAsia" w:eastAsia="仿宋_GB2312"/>
          <w:sz w:val="24"/>
        </w:rPr>
        <w:t>突发的环境事件发生时，突发环境事件应急领导小组立即转变为应急处置领导小组。应急领导小组作为突发环境事件应急处置的最高执行机构，负责组织、指挥生产突发环境事件的应急处置工作，或协调、组织各部门进行突发环境事件应急处置。</w:t>
      </w:r>
    </w:p>
    <w:p>
      <w:pPr>
        <w:spacing w:before="120" w:beforeLines="50" w:line="360" w:lineRule="auto"/>
        <w:ind w:firstLine="480" w:firstLineChars="200"/>
        <w:rPr>
          <w:rFonts w:eastAsia="仿宋_GB2312"/>
          <w:sz w:val="24"/>
        </w:rPr>
      </w:pPr>
      <w:r>
        <w:rPr>
          <w:rFonts w:hint="eastAsia" w:eastAsia="仿宋_GB2312"/>
          <w:sz w:val="24"/>
        </w:rPr>
        <w:t>各部门应规定各级组织机构临时应急处置负责人，在上一级应急处置负责人到达现场指挥前期应急处置；在上一级应急处置负责人到达现场后，进行指挥权移交，由上一级应急处置负责人担任现场指挥。</w:t>
      </w:r>
    </w:p>
    <w:p>
      <w:pPr>
        <w:spacing w:before="120" w:beforeLines="50" w:line="360" w:lineRule="auto"/>
        <w:outlineLvl w:val="1"/>
        <w:rPr>
          <w:b/>
          <w:sz w:val="30"/>
          <w:szCs w:val="30"/>
        </w:rPr>
      </w:pPr>
      <w:bookmarkStart w:id="57" w:name="_Toc8789"/>
      <w:r>
        <w:rPr>
          <w:rFonts w:hint="eastAsia"/>
          <w:b/>
          <w:sz w:val="30"/>
          <w:szCs w:val="30"/>
        </w:rPr>
        <w:t>3.4外部指挥与协调</w:t>
      </w:r>
      <w:bookmarkEnd w:id="57"/>
    </w:p>
    <w:p>
      <w:pPr>
        <w:pStyle w:val="2"/>
        <w:spacing w:line="360" w:lineRule="auto"/>
        <w:ind w:firstLine="480" w:firstLineChars="200"/>
        <w:jc w:val="both"/>
        <w:rPr>
          <w:rFonts w:ascii="Times New Roman" w:eastAsia="仿宋_GB2312" w:cs="Times New Roman"/>
          <w:color w:val="auto"/>
          <w:kern w:val="2"/>
        </w:rPr>
      </w:pPr>
      <w:r>
        <w:rPr>
          <w:rFonts w:hint="eastAsia" w:ascii="Times New Roman" w:eastAsia="仿宋_GB2312" w:cs="Times New Roman"/>
          <w:color w:val="auto"/>
          <w:kern w:val="2"/>
        </w:rPr>
        <w:t>为确保外部应急救援在需要时能够正常发挥作用，制定应急预案时，企业应同外部应急救援机构进行必要的沟通和说明，明确其应急能力、装备水平、联系人员及联系方式、抵达距离及时限等，并介绍本单位有关设施、风险物质特性等情况，必要时签署救援协议。</w:t>
      </w:r>
    </w:p>
    <w:p>
      <w:pPr>
        <w:pStyle w:val="2"/>
        <w:spacing w:line="360" w:lineRule="auto"/>
        <w:ind w:firstLine="480" w:firstLineChars="200"/>
        <w:jc w:val="both"/>
        <w:rPr>
          <w:rFonts w:ascii="Times New Roman" w:eastAsia="仿宋_GB2312" w:cs="Times New Roman"/>
          <w:color w:val="auto"/>
          <w:kern w:val="2"/>
        </w:rPr>
      </w:pPr>
      <w:r>
        <w:rPr>
          <w:rFonts w:hint="eastAsia" w:ascii="Times New Roman" w:eastAsia="仿宋_GB2312" w:cs="Times New Roman"/>
          <w:color w:val="auto"/>
          <w:kern w:val="2"/>
        </w:rPr>
        <w:t>企业总指挥负责对外联络，</w:t>
      </w:r>
      <w:r>
        <w:rPr>
          <w:rFonts w:hint="eastAsia" w:ascii="Times New Roman" w:eastAsia="仿宋_GB2312"/>
          <w:kern w:val="2"/>
        </w:rPr>
        <w:t>建立与韶关市生态环境局翁源分局、翁源县应急管理局、翁源县消防大队、翁源县政府等部门之间的应急联动机制</w:t>
      </w:r>
      <w:r>
        <w:rPr>
          <w:rFonts w:hint="eastAsia" w:ascii="Times New Roman" w:eastAsia="仿宋_GB2312" w:cs="Times New Roman"/>
          <w:color w:val="auto"/>
          <w:kern w:val="2"/>
        </w:rPr>
        <w:t>，配合政府及其有关部门的应急处置工作，在这些外部单位介入企业突发环境事件应急处置时，内部应急组织单位将无条件听从调配，并按照要求和能力配置应急救援人员、队伍、装备、物资等，提供应急所需的用品，与外部相关部门共享区域应急资源，提高共同应对突发环境事件的能力和水平。</w:t>
      </w:r>
    </w:p>
    <w:p>
      <w:pPr>
        <w:pStyle w:val="85"/>
        <w:spacing w:line="360" w:lineRule="auto"/>
        <w:ind w:firstLine="2741" w:firstLineChars="1300"/>
        <w:jc w:val="both"/>
        <w:rPr>
          <w:rFonts w:hint="eastAsia"/>
          <w:b/>
          <w:kern w:val="0"/>
          <w:szCs w:val="21"/>
          <w:highlight w:val="none"/>
        </w:rPr>
      </w:pPr>
      <w:r>
        <w:rPr>
          <w:rFonts w:hint="eastAsia"/>
          <w:b/>
          <w:kern w:val="0"/>
          <w:szCs w:val="21"/>
          <w:highlight w:val="none"/>
        </w:rPr>
        <w:t>表3.2-3</w:t>
      </w:r>
      <w:r>
        <w:rPr>
          <w:b/>
          <w:kern w:val="0"/>
          <w:szCs w:val="21"/>
          <w:highlight w:val="none"/>
        </w:rPr>
        <w:t xml:space="preserve"> </w:t>
      </w:r>
      <w:r>
        <w:rPr>
          <w:rFonts w:hint="eastAsia"/>
          <w:b/>
          <w:kern w:val="0"/>
          <w:szCs w:val="21"/>
          <w:highlight w:val="none"/>
        </w:rPr>
        <w:t>紧急事件外部通讯联络表</w:t>
      </w:r>
    </w:p>
    <w:tbl>
      <w:tblPr>
        <w:tblStyle w:val="32"/>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1"/>
        <w:gridCol w:w="1068"/>
        <w:gridCol w:w="1135"/>
        <w:gridCol w:w="1722"/>
        <w:gridCol w:w="1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eastAsia" w:ascii="宋体" w:hAnsi="宋体" w:eastAsia="宋体" w:cs="宋体"/>
                <w:b/>
                <w:color w:val="000000"/>
                <w:sz w:val="21"/>
                <w:szCs w:val="21"/>
              </w:rPr>
            </w:pPr>
            <w:r>
              <w:rPr>
                <w:rFonts w:hint="eastAsia" w:ascii="宋体" w:hAnsi="宋体" w:eastAsia="宋体" w:cs="宋体"/>
                <w:b/>
                <w:color w:val="000000"/>
                <w:sz w:val="21"/>
                <w:szCs w:val="21"/>
              </w:rPr>
              <w:t>部门/单位</w:t>
            </w:r>
          </w:p>
        </w:tc>
        <w:tc>
          <w:tcPr>
            <w:tcW w:w="626"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eastAsia" w:ascii="宋体" w:hAnsi="宋体" w:eastAsia="宋体" w:cs="宋体"/>
                <w:b/>
                <w:color w:val="000000"/>
                <w:sz w:val="21"/>
                <w:szCs w:val="21"/>
              </w:rPr>
            </w:pPr>
            <w:r>
              <w:rPr>
                <w:rFonts w:hint="eastAsia" w:ascii="宋体" w:hAnsi="宋体" w:eastAsia="宋体" w:cs="宋体"/>
                <w:b/>
                <w:color w:val="000000"/>
                <w:sz w:val="21"/>
                <w:szCs w:val="21"/>
              </w:rPr>
              <w:t>联系人</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eastAsia" w:ascii="宋体" w:hAnsi="宋体" w:eastAsia="宋体" w:cs="宋体"/>
                <w:b/>
                <w:color w:val="000000"/>
                <w:sz w:val="21"/>
                <w:szCs w:val="21"/>
              </w:rPr>
            </w:pPr>
            <w:r>
              <w:rPr>
                <w:rFonts w:hint="eastAsia" w:ascii="宋体" w:hAnsi="宋体" w:eastAsia="宋体" w:cs="宋体"/>
                <w:b/>
                <w:color w:val="000000"/>
                <w:sz w:val="21"/>
                <w:szCs w:val="21"/>
              </w:rPr>
              <w:t>职 务</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eastAsia" w:ascii="宋体" w:hAnsi="宋体" w:eastAsia="宋体" w:cs="宋体"/>
                <w:b/>
                <w:color w:val="000000"/>
                <w:sz w:val="21"/>
                <w:szCs w:val="21"/>
              </w:rPr>
            </w:pPr>
            <w:r>
              <w:rPr>
                <w:rFonts w:hint="eastAsia" w:ascii="宋体" w:hAnsi="宋体" w:eastAsia="宋体" w:cs="宋体"/>
                <w:b/>
                <w:color w:val="000000"/>
                <w:sz w:val="21"/>
                <w:szCs w:val="21"/>
              </w:rPr>
              <w:t>办公电话</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eastAsia" w:ascii="宋体" w:hAnsi="宋体" w:eastAsia="宋体" w:cs="宋体"/>
                <w:b/>
                <w:color w:val="000000"/>
                <w:sz w:val="21"/>
                <w:szCs w:val="21"/>
              </w:rPr>
            </w:pPr>
            <w:r>
              <w:rPr>
                <w:rFonts w:hint="eastAsia" w:ascii="宋体" w:hAnsi="宋体" w:eastAsia="宋体" w:cs="宋体"/>
                <w:b/>
                <w:color w:val="000000"/>
                <w:sz w:val="21"/>
                <w:szCs w:val="21"/>
              </w:rPr>
              <w:t>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韶关市生态环境局</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生态监测与应急管理科</w:t>
            </w:r>
          </w:p>
        </w:tc>
        <w:tc>
          <w:tcPr>
            <w:tcW w:w="62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廖胜华</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科长</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0751-8772532</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13827973733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韶关市应急管理局</w:t>
            </w:r>
          </w:p>
        </w:tc>
        <w:tc>
          <w:tcPr>
            <w:tcW w:w="62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童建忠</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主任</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0751-8726205</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13826311169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韶关市生态环境局翁源分局</w:t>
            </w:r>
          </w:p>
        </w:tc>
        <w:tc>
          <w:tcPr>
            <w:tcW w:w="626"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谢敬</w:t>
            </w:r>
          </w:p>
        </w:tc>
        <w:tc>
          <w:tcPr>
            <w:tcW w:w="665"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1009"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0751-2863123</w:t>
            </w:r>
          </w:p>
        </w:tc>
        <w:tc>
          <w:tcPr>
            <w:tcW w:w="957"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18826344930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rPr>
              <w:t>翁源县环境监测</w:t>
            </w:r>
            <w:r>
              <w:rPr>
                <w:rFonts w:hint="eastAsia" w:ascii="宋体" w:hAnsi="宋体" w:cs="宋体"/>
                <w:color w:val="000000"/>
                <w:sz w:val="21"/>
                <w:szCs w:val="21"/>
                <w:lang w:val="en-US" w:eastAsia="zh-CN"/>
              </w:rPr>
              <w:t>站</w:t>
            </w:r>
          </w:p>
        </w:tc>
        <w:tc>
          <w:tcPr>
            <w:tcW w:w="626"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sz w:val="21"/>
                <w:szCs w:val="21"/>
              </w:rPr>
              <w:t>赖琴周</w:t>
            </w:r>
          </w:p>
        </w:tc>
        <w:tc>
          <w:tcPr>
            <w:tcW w:w="665"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1009"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957"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13318572400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1741"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翁源县应急管理局</w:t>
            </w:r>
          </w:p>
        </w:tc>
        <w:tc>
          <w:tcPr>
            <w:tcW w:w="626"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沈生</w:t>
            </w:r>
          </w:p>
        </w:tc>
        <w:tc>
          <w:tcPr>
            <w:tcW w:w="665"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1009"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0751-2837666</w:t>
            </w:r>
          </w:p>
        </w:tc>
        <w:tc>
          <w:tcPr>
            <w:tcW w:w="957"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13719771206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翁源经济开发区应急救援中心</w:t>
            </w:r>
          </w:p>
        </w:tc>
        <w:tc>
          <w:tcPr>
            <w:tcW w:w="62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何耀红</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宋体" w:hAnsi="宋体" w:eastAsia="宋体" w:cs="宋体"/>
                <w:color w:val="000000"/>
                <w:kern w:val="2"/>
                <w:sz w:val="21"/>
                <w:szCs w:val="21"/>
                <w:lang w:val="en-US" w:eastAsia="zh-CN" w:bidi="ar-SA"/>
              </w:rPr>
            </w:pPr>
            <w:r>
              <w:rPr>
                <w:rFonts w:hint="eastAsia" w:ascii="宋体" w:hAnsi="宋体" w:eastAsia="宋体" w:cs="宋体"/>
                <w:color w:val="000000"/>
                <w:kern w:val="2"/>
                <w:sz w:val="21"/>
                <w:szCs w:val="21"/>
                <w:lang w:val="en-US" w:eastAsia="zh-CN" w:bidi="ar-SA"/>
              </w:rPr>
              <w:t>/</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 xml:space="preserve">0751-6928213 </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13927860686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翁源经济开发区管委会</w:t>
            </w:r>
          </w:p>
        </w:tc>
        <w:tc>
          <w:tcPr>
            <w:tcW w:w="62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黄初阳</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 xml:space="preserve">13827962228 </w:t>
            </w:r>
          </w:p>
        </w:tc>
        <w:tc>
          <w:tcPr>
            <w:tcW w:w="957"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韶关市翁源县公安局</w:t>
            </w:r>
          </w:p>
        </w:tc>
        <w:tc>
          <w:tcPr>
            <w:tcW w:w="62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110</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韶关市翁源县消防大队</w:t>
            </w:r>
          </w:p>
        </w:tc>
        <w:tc>
          <w:tcPr>
            <w:tcW w:w="62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119</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急救中心</w:t>
            </w:r>
          </w:p>
        </w:tc>
        <w:tc>
          <w:tcPr>
            <w:tcW w:w="62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120</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r>
    </w:tbl>
    <w:p>
      <w:pPr>
        <w:pStyle w:val="85"/>
        <w:spacing w:line="360" w:lineRule="auto"/>
        <w:ind w:firstLine="2741" w:firstLineChars="1300"/>
        <w:jc w:val="both"/>
        <w:rPr>
          <w:rFonts w:hint="eastAsia"/>
          <w:b/>
          <w:kern w:val="0"/>
          <w:szCs w:val="21"/>
          <w:highlight w:val="none"/>
        </w:rPr>
      </w:pPr>
    </w:p>
    <w:p>
      <w:pPr>
        <w:pStyle w:val="85"/>
        <w:spacing w:line="360" w:lineRule="auto"/>
        <w:ind w:firstLine="2741" w:firstLineChars="1300"/>
        <w:jc w:val="both"/>
        <w:rPr>
          <w:rFonts w:hint="eastAsia"/>
          <w:b/>
          <w:kern w:val="0"/>
          <w:szCs w:val="21"/>
          <w:highlight w:val="none"/>
        </w:rPr>
      </w:pPr>
    </w:p>
    <w:p>
      <w:pPr>
        <w:pStyle w:val="85"/>
        <w:spacing w:line="360" w:lineRule="auto"/>
        <w:ind w:firstLine="2741" w:firstLineChars="1300"/>
        <w:jc w:val="both"/>
        <w:rPr>
          <w:rFonts w:hint="eastAsia"/>
          <w:b/>
          <w:kern w:val="0"/>
          <w:szCs w:val="21"/>
          <w:highlight w:val="none"/>
        </w:rPr>
      </w:pPr>
    </w:p>
    <w:p>
      <w:pPr>
        <w:pStyle w:val="85"/>
        <w:spacing w:line="360" w:lineRule="auto"/>
        <w:ind w:firstLine="2741" w:firstLineChars="1300"/>
        <w:jc w:val="both"/>
        <w:rPr>
          <w:rFonts w:hint="eastAsia"/>
          <w:b/>
          <w:kern w:val="0"/>
          <w:szCs w:val="21"/>
          <w:highlight w:val="none"/>
        </w:rPr>
      </w:pPr>
    </w:p>
    <w:p>
      <w:pPr>
        <w:spacing w:before="360" w:beforeLines="150" w:after="240" w:afterLines="100" w:line="360" w:lineRule="auto"/>
        <w:jc w:val="center"/>
        <w:outlineLvl w:val="0"/>
        <w:rPr>
          <w:b/>
          <w:sz w:val="36"/>
          <w:szCs w:val="36"/>
        </w:rPr>
      </w:pPr>
      <w:bookmarkStart w:id="58" w:name="_Toc6287"/>
      <w:r>
        <w:rPr>
          <w:rFonts w:hint="eastAsia"/>
          <w:b/>
          <w:sz w:val="36"/>
          <w:szCs w:val="36"/>
        </w:rPr>
        <w:t>4</w:t>
      </w:r>
      <w:r>
        <w:rPr>
          <w:b/>
          <w:sz w:val="36"/>
          <w:szCs w:val="36"/>
        </w:rPr>
        <w:t xml:space="preserve"> 预防和预警</w:t>
      </w:r>
      <w:bookmarkEnd w:id="58"/>
    </w:p>
    <w:p>
      <w:pPr>
        <w:spacing w:before="120" w:beforeLines="50" w:line="360" w:lineRule="auto"/>
        <w:outlineLvl w:val="1"/>
        <w:rPr>
          <w:b/>
          <w:sz w:val="30"/>
          <w:szCs w:val="30"/>
        </w:rPr>
      </w:pPr>
      <w:bookmarkStart w:id="59" w:name="_Toc27743"/>
      <w:r>
        <w:rPr>
          <w:rFonts w:hint="eastAsia"/>
          <w:b/>
          <w:sz w:val="30"/>
          <w:szCs w:val="30"/>
        </w:rPr>
        <w:t>4</w:t>
      </w:r>
      <w:r>
        <w:rPr>
          <w:b/>
          <w:sz w:val="30"/>
          <w:szCs w:val="30"/>
        </w:rPr>
        <w:t>.1</w:t>
      </w:r>
      <w:r>
        <w:rPr>
          <w:rFonts w:hint="eastAsia"/>
          <w:b/>
          <w:sz w:val="30"/>
          <w:szCs w:val="30"/>
        </w:rPr>
        <w:t>预防</w:t>
      </w:r>
      <w:bookmarkEnd w:id="59"/>
    </w:p>
    <w:p>
      <w:pPr>
        <w:spacing w:before="120" w:beforeLines="50" w:line="360" w:lineRule="auto"/>
        <w:ind w:firstLine="480" w:firstLineChars="200"/>
        <w:rPr>
          <w:rFonts w:eastAsia="仿宋_GB2312"/>
          <w:sz w:val="24"/>
        </w:rPr>
      </w:pPr>
      <w:r>
        <w:rPr>
          <w:rFonts w:hint="eastAsia" w:eastAsia="仿宋_GB2312"/>
          <w:sz w:val="24"/>
        </w:rPr>
        <w:t>根据《企业突发环境事件隐患排查和治理工作指南》，从突发水环境事件风险防控措施、突发大气环境事件风险防控措施、隐患排查治理制度、日常监测制度等方面明确公司突发环境事件预防措施。</w:t>
      </w:r>
    </w:p>
    <w:p>
      <w:pPr>
        <w:spacing w:before="120" w:beforeLines="50" w:line="360" w:lineRule="auto"/>
        <w:outlineLvl w:val="2"/>
        <w:rPr>
          <w:rFonts w:eastAsiaTheme="minorEastAsia"/>
          <w:b/>
          <w:sz w:val="28"/>
          <w:szCs w:val="28"/>
        </w:rPr>
      </w:pPr>
      <w:bookmarkStart w:id="60" w:name="_Toc8420"/>
      <w:r>
        <w:rPr>
          <w:rFonts w:hint="eastAsia" w:eastAsiaTheme="minorEastAsia"/>
          <w:b/>
          <w:sz w:val="28"/>
          <w:szCs w:val="28"/>
        </w:rPr>
        <w:t>4</w:t>
      </w:r>
      <w:r>
        <w:rPr>
          <w:rFonts w:eastAsiaTheme="minorEastAsia"/>
          <w:b/>
          <w:sz w:val="28"/>
          <w:szCs w:val="28"/>
        </w:rPr>
        <w:t>.1.1</w:t>
      </w:r>
      <w:r>
        <w:rPr>
          <w:rFonts w:hint="eastAsia" w:eastAsiaTheme="minorEastAsia"/>
          <w:b/>
          <w:sz w:val="28"/>
          <w:szCs w:val="28"/>
        </w:rPr>
        <w:t>突发水环境事件风险防控措施</w:t>
      </w:r>
      <w:bookmarkEnd w:id="60"/>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21" w:right="220" w:firstLine="48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3"/>
          <w:sz w:val="24"/>
          <w:szCs w:val="24"/>
        </w:rPr>
        <w:t>本公司排水系统设置独立的污水排水系统和雨水排水系统。本公司厂房地</w:t>
      </w:r>
      <w:r>
        <w:rPr>
          <w:rFonts w:hint="eastAsia" w:ascii="仿宋_GB2312" w:hAnsi="仿宋_GB2312" w:eastAsia="仿宋_GB2312" w:cs="仿宋_GB2312"/>
          <w:spacing w:val="28"/>
          <w:sz w:val="24"/>
          <w:szCs w:val="24"/>
        </w:rPr>
        <w:t xml:space="preserve"> </w:t>
      </w:r>
      <w:r>
        <w:rPr>
          <w:rFonts w:hint="eastAsia" w:ascii="仿宋_GB2312" w:hAnsi="仿宋_GB2312" w:eastAsia="仿宋_GB2312" w:cs="仿宋_GB2312"/>
          <w:spacing w:val="-2"/>
          <w:sz w:val="24"/>
          <w:szCs w:val="24"/>
        </w:rPr>
        <w:t>面清洗、余热电站排污水、办公生活污水经公司废水处理系统处理后回用于生</w:t>
      </w:r>
      <w:r>
        <w:rPr>
          <w:rFonts w:hint="eastAsia" w:ascii="仿宋_GB2312" w:hAnsi="仿宋_GB2312" w:eastAsia="仿宋_GB2312" w:cs="仿宋_GB2312"/>
          <w:spacing w:val="1"/>
          <w:sz w:val="24"/>
          <w:szCs w:val="24"/>
        </w:rPr>
        <w:t xml:space="preserve"> </w:t>
      </w:r>
      <w:r>
        <w:rPr>
          <w:rFonts w:hint="eastAsia" w:ascii="仿宋_GB2312" w:hAnsi="仿宋_GB2312" w:eastAsia="仿宋_GB2312" w:cs="仿宋_GB2312"/>
          <w:spacing w:val="-5"/>
          <w:sz w:val="24"/>
          <w:szCs w:val="24"/>
        </w:rPr>
        <w:t>产。</w:t>
      </w:r>
    </w:p>
    <w:p>
      <w:pPr>
        <w:pStyle w:val="2"/>
        <w:spacing w:line="360" w:lineRule="auto"/>
        <w:ind w:firstLine="480" w:firstLineChars="200"/>
        <w:rPr>
          <w:rFonts w:ascii="Times New Roman" w:eastAsia="仿宋_GB2312" w:cs="Times New Roman"/>
        </w:rPr>
      </w:pPr>
      <w:r>
        <w:rPr>
          <w:rFonts w:hint="eastAsia" w:ascii="Times New Roman" w:eastAsia="仿宋_GB2312" w:cs="Times New Roman"/>
        </w:rPr>
        <w:t>（1）本公司生产区已设置了截流措施，并能利用现有管道将事故水导入事故应急池；</w:t>
      </w:r>
    </w:p>
    <w:p>
      <w:pPr>
        <w:pStyle w:val="2"/>
        <w:spacing w:line="360" w:lineRule="auto"/>
        <w:ind w:firstLine="480" w:firstLineChars="200"/>
        <w:rPr>
          <w:rFonts w:ascii="Times New Roman" w:eastAsia="仿宋_GB2312" w:cs="Times New Roman"/>
        </w:rPr>
      </w:pPr>
      <w:r>
        <w:rPr>
          <w:rFonts w:hint="eastAsia" w:ascii="Times New Roman" w:eastAsia="仿宋_GB2312" w:cs="Times New Roman"/>
        </w:rPr>
        <w:t>（2）本公司厂内设置的</w:t>
      </w:r>
      <w:r>
        <w:rPr>
          <w:rFonts w:hint="eastAsia" w:ascii="Times New Roman" w:eastAsia="仿宋_GB2312" w:cs="Times New Roman"/>
          <w:lang w:val="en-US" w:eastAsia="zh-CN"/>
        </w:rPr>
        <w:t>150</w:t>
      </w:r>
      <w:r>
        <w:rPr>
          <w:rFonts w:hint="eastAsia" w:ascii="Times New Roman" w:eastAsia="仿宋_GB2312" w:cs="Times New Roman"/>
        </w:rPr>
        <w:t>m</w:t>
      </w:r>
      <w:r>
        <w:rPr>
          <w:rFonts w:hint="eastAsia" w:ascii="Times New Roman" w:eastAsia="仿宋_GB2312" w:cs="Times New Roman"/>
          <w:vertAlign w:val="superscript"/>
        </w:rPr>
        <w:t>3</w:t>
      </w:r>
      <w:r>
        <w:rPr>
          <w:rFonts w:hint="eastAsia" w:ascii="Times New Roman" w:eastAsia="仿宋_GB2312" w:cs="Times New Roman"/>
        </w:rPr>
        <w:t>的事故应急池</w:t>
      </w:r>
      <w:r>
        <w:rPr>
          <w:rFonts w:hint="eastAsia" w:ascii="Times New Roman" w:eastAsia="仿宋_GB2312" w:cs="Times New Roman"/>
          <w:lang w:val="en-US" w:eastAsia="zh-CN"/>
        </w:rPr>
        <w:t>1个，</w:t>
      </w:r>
      <w:r>
        <w:rPr>
          <w:rFonts w:hint="eastAsia" w:ascii="Times New Roman" w:hAnsi="Times New Roman" w:eastAsia="仿宋_GB2312" w:cs="Times New Roman"/>
          <w:spacing w:val="0"/>
          <w:sz w:val="24"/>
          <w:szCs w:val="24"/>
          <w:lang w:val="en-US" w:eastAsia="zh-CN"/>
        </w:rPr>
        <w:t>25.4m³的沉淀池1个，18m³的沉淀池3个（沉淀池兼事故应急池）</w:t>
      </w:r>
      <w:r>
        <w:rPr>
          <w:rFonts w:hint="eastAsia" w:ascii="Times New Roman" w:eastAsia="仿宋_GB2312" w:cs="Times New Roman"/>
        </w:rPr>
        <w:t>，能保证事故状态下顺利收集泄漏物；</w:t>
      </w:r>
    </w:p>
    <w:p>
      <w:pPr>
        <w:pStyle w:val="2"/>
        <w:spacing w:line="360" w:lineRule="auto"/>
        <w:ind w:firstLine="480" w:firstLineChars="200"/>
        <w:jc w:val="both"/>
        <w:rPr>
          <w:rFonts w:ascii="Times New Roman" w:eastAsia="仿宋_GB2312" w:cs="Times New Roman"/>
        </w:rPr>
      </w:pPr>
      <w:r>
        <w:rPr>
          <w:rFonts w:hint="eastAsia" w:ascii="Times New Roman" w:eastAsia="仿宋_GB2312" w:cs="Times New Roman"/>
        </w:rPr>
        <w:t>（3）雨水排放口设置有关闭闸（阀），有专人负责在紧急情况下关闭总排口，确保受污染的雨水、消防水和泄漏物等全部收集。</w:t>
      </w:r>
    </w:p>
    <w:p>
      <w:pPr>
        <w:pStyle w:val="2"/>
        <w:spacing w:line="360" w:lineRule="auto"/>
        <w:ind w:firstLine="480" w:firstLineChars="200"/>
        <w:jc w:val="both"/>
        <w:rPr>
          <w:rFonts w:hint="eastAsia" w:ascii="Times New Roman" w:eastAsia="仿宋_GB2312" w:cs="Times New Roman"/>
        </w:rPr>
      </w:pPr>
      <w:r>
        <w:rPr>
          <w:rFonts w:hint="eastAsia" w:ascii="Times New Roman" w:eastAsia="仿宋_GB2312" w:cs="Times New Roman"/>
        </w:rPr>
        <w:t>（</w:t>
      </w:r>
      <w:r>
        <w:rPr>
          <w:rFonts w:hint="eastAsia" w:ascii="Times New Roman" w:eastAsia="仿宋_GB2312" w:cs="Times New Roman"/>
          <w:lang w:val="en-US" w:eastAsia="zh-CN"/>
        </w:rPr>
        <w:t>4</w:t>
      </w:r>
      <w:r>
        <w:rPr>
          <w:rFonts w:hint="eastAsia" w:ascii="Times New Roman" w:eastAsia="仿宋_GB2312" w:cs="Times New Roman"/>
        </w:rPr>
        <w:t>）对废水处理设备、管道定期检查、检修、保养，保持良好。</w:t>
      </w:r>
    </w:p>
    <w:p>
      <w:pPr>
        <w:spacing w:before="120" w:beforeLines="50" w:line="360" w:lineRule="auto"/>
        <w:outlineLvl w:val="2"/>
        <w:rPr>
          <w:rFonts w:eastAsiaTheme="minorEastAsia"/>
          <w:b/>
          <w:sz w:val="28"/>
          <w:szCs w:val="28"/>
        </w:rPr>
      </w:pPr>
      <w:bookmarkStart w:id="61" w:name="_Toc14629"/>
      <w:r>
        <w:rPr>
          <w:rFonts w:hint="eastAsia" w:eastAsiaTheme="minorEastAsia"/>
          <w:b/>
          <w:sz w:val="28"/>
          <w:szCs w:val="28"/>
        </w:rPr>
        <w:t>4</w:t>
      </w:r>
      <w:r>
        <w:rPr>
          <w:rFonts w:eastAsiaTheme="minorEastAsia"/>
          <w:b/>
          <w:sz w:val="28"/>
          <w:szCs w:val="28"/>
        </w:rPr>
        <w:t>.1.</w:t>
      </w:r>
      <w:r>
        <w:rPr>
          <w:rFonts w:hint="eastAsia" w:eastAsiaTheme="minorEastAsia"/>
          <w:b/>
          <w:sz w:val="28"/>
          <w:szCs w:val="28"/>
        </w:rPr>
        <w:t>2突发大气环境事件风险防控措施</w:t>
      </w:r>
      <w:bookmarkEnd w:id="61"/>
    </w:p>
    <w:p>
      <w:pPr>
        <w:keepNext w:val="0"/>
        <w:keepLines w:val="0"/>
        <w:pageBreakBefore w:val="0"/>
        <w:widowControl w:val="0"/>
        <w:kinsoku/>
        <w:wordWrap/>
        <w:overflowPunct/>
        <w:topLinePunct w:val="0"/>
        <w:bidi w:val="0"/>
        <w:adjustRightInd w:val="0"/>
        <w:snapToGrid w:val="0"/>
        <w:spacing w:before="120"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（1） 建立公司内部环保管理三级网，制定环保行动计划，不断改进公司的环保工作，以减少来自社会关于公司环保问题的投诉、来信或反映。</w:t>
      </w:r>
    </w:p>
    <w:p>
      <w:pPr>
        <w:keepNext w:val="0"/>
        <w:keepLines w:val="0"/>
        <w:pageBreakBefore w:val="0"/>
        <w:widowControl w:val="0"/>
        <w:kinsoku/>
        <w:wordWrap/>
        <w:overflowPunct/>
        <w:topLinePunct w:val="0"/>
        <w:bidi w:val="0"/>
        <w:adjustRightInd w:val="0"/>
        <w:snapToGrid w:val="0"/>
        <w:spacing w:before="120"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（2） 中控操作人员24小时对在线除尘设施的操作监控，在操作中严格按 除尘设施的设定运行参数进行操作和监控，及时发现和掌握运行中的参数变化，调整参数至正常运行范围，使其保持和稳定在最佳运行状态。当判断除尘器现场故障时，应及时通知巡检人员或专业技术人员进行处理。</w:t>
      </w:r>
    </w:p>
    <w:p>
      <w:pPr>
        <w:keepNext w:val="0"/>
        <w:keepLines w:val="0"/>
        <w:pageBreakBefore w:val="0"/>
        <w:widowControl w:val="0"/>
        <w:kinsoku/>
        <w:wordWrap/>
        <w:overflowPunct/>
        <w:topLinePunct w:val="0"/>
        <w:bidi w:val="0"/>
        <w:adjustRightInd w:val="0"/>
        <w:snapToGrid w:val="0"/>
        <w:spacing w:before="120"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（3） 中控操作人员在保证窑、磨、装包机等设备正常运行的情况下，在开、停窑、磨、装包机等设备过程中，应尽全力减少和消除粉尘超标排放。</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（4） 巡检人员和岗位人员按公司环保管理三级网制度（一级：巡检工或岗位人员；二级：环保管理技术人员、车间主任； 三级：各部门领导） 。逐级解决和反映环保设施问题，对现场控制的除尘设施，巡检人员应严格履行工作标准，及时发现、报告、处理除尘器故障。</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（5） 各车间主任、值班长、中控操作人员应积极协助环保管理技术人员的日常工作，及时提出检修内容或建议。</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（6） 工艺、机械、电气、仪表等专业主管及技术人员负责配合环保管理技术人员搞好本厂环境保护工作，积极地搞好与环保设施相关联工作。</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（7）定期进行在线监测数据比对，保证在线监测数据的准确性。</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（8）生产车间环保专员负责对二氧化硫、氮氧化物等烟气排放情况在线监控， 及时发现和掌握运行中的数据变化，并通知中控调整参数至正常运行范围。当排放超标时，应及时通知专业技术人员进行处理。</w:t>
      </w:r>
    </w:p>
    <w:p>
      <w:pPr>
        <w:spacing w:before="120" w:beforeLines="50" w:line="360" w:lineRule="auto"/>
        <w:outlineLvl w:val="2"/>
        <w:rPr>
          <w:rFonts w:hint="eastAsia" w:ascii="Times New Roman" w:hAnsi="Times New Roman" w:cs="Times New Roman" w:eastAsiaTheme="minorEastAsia"/>
          <w:b/>
          <w:sz w:val="28"/>
          <w:szCs w:val="28"/>
        </w:rPr>
      </w:pPr>
      <w:bookmarkStart w:id="62" w:name="_Toc15846"/>
      <w:r>
        <w:rPr>
          <w:rFonts w:hint="eastAsia" w:ascii="Times New Roman" w:hAnsi="Times New Roman" w:cs="Times New Roman" w:eastAsiaTheme="minorEastAsia"/>
          <w:b/>
          <w:sz w:val="28"/>
          <w:szCs w:val="28"/>
        </w:rPr>
        <w:t>4.1.3危险化学品泄漏环境事件风险防控措施</w:t>
      </w:r>
      <w:bookmarkEnd w:id="62"/>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化学品的管理均需严格执行国家和地方有关危化品管理法律法规，储存及 使用前办理储存、使用许可证。公司应加强职工安全环保教育，增强操作人员的责任心，防止和减少因人为因素造成的事故；加强防火安全教育，配备足够的消防设施，落实安全管理责任。建立健全各种规章制度和岗位操作规程，落实安全责任。主要包括：安全生产责任制度、安全生产教育培训制度、安全生产检查制度、动火管理制度、防爆设备的安全管理制度、各种化学危险品的管理制度、重大危险源点的管理制度、各岗位安全操作规程等。同时建立一套严密科学的检修规程、操作规程和规章制度，实施严格的设备管理、工艺管理、安全环保管理、质量管理和现场管理，实行设备维护保养和责任制度，采用运转设备状态监测等科学管理方法和技术。按巡检制度进行巡检，并做好检查记录。检查内容为物料储罐及配套管道、阀门的状况（液位、压力、密封等）</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防护设施、泵体和电机等设备运转是否正常。针对各化学品的风险特点建立相应的预防措施。</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1、 氨水储罐泄漏预防措施</w:t>
      </w:r>
    </w:p>
    <w:p>
      <w:pPr>
        <w:pStyle w:val="2"/>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rPr>
        <w:t>（1） 设有气体浓度报警系统、泄压装置及喷淋装置装置等设施。配备有</w:t>
      </w:r>
      <w:r>
        <w:rPr>
          <w:rFonts w:hint="eastAsia" w:ascii="仿宋_GB2312" w:hAnsi="仿宋_GB2312" w:eastAsia="仿宋_GB2312" w:cs="仿宋_GB2312"/>
          <w:spacing w:val="-6"/>
          <w:sz w:val="24"/>
          <w:szCs w:val="24"/>
        </w:rPr>
        <w:t>过滤式防毒面具（半面罩）</w:t>
      </w:r>
      <w:r>
        <w:rPr>
          <w:rFonts w:hint="eastAsia" w:ascii="仿宋_GB2312" w:hAnsi="仿宋_GB2312" w:eastAsia="仿宋_GB2312" w:cs="仿宋_GB2312"/>
          <w:spacing w:val="16"/>
          <w:sz w:val="24"/>
          <w:szCs w:val="24"/>
        </w:rPr>
        <w:t xml:space="preserve"> </w:t>
      </w:r>
      <w:r>
        <w:rPr>
          <w:rFonts w:hint="eastAsia" w:ascii="仿宋_GB2312" w:hAnsi="仿宋_GB2312" w:eastAsia="仿宋_GB2312" w:cs="仿宋_GB2312"/>
          <w:spacing w:val="-6"/>
          <w:sz w:val="24"/>
          <w:szCs w:val="24"/>
        </w:rPr>
        <w:t>、正压式空气呼吸器、化学安全防护眼镜、橡胶手</w:t>
      </w:r>
      <w:r>
        <w:rPr>
          <w:rFonts w:hint="eastAsia" w:ascii="仿宋_GB2312" w:hAnsi="仿宋_GB2312" w:eastAsia="仿宋_GB2312" w:cs="仿宋_GB2312"/>
          <w:spacing w:val="-2"/>
          <w:sz w:val="24"/>
          <w:szCs w:val="24"/>
        </w:rPr>
        <w:t>套等防护用品。配备有消防栓、干粉灭火器、砂土等消防设施和消防工具。氨</w:t>
      </w:r>
      <w:r>
        <w:rPr>
          <w:rFonts w:hint="eastAsia" w:ascii="仿宋_GB2312" w:hAnsi="仿宋_GB2312" w:eastAsia="仿宋_GB2312" w:cs="仿宋_GB2312"/>
          <w:spacing w:val="-5"/>
          <w:sz w:val="24"/>
          <w:szCs w:val="24"/>
        </w:rPr>
        <w:t>水罐区设置约</w:t>
      </w:r>
      <w:r>
        <w:rPr>
          <w:rFonts w:hint="eastAsia" w:ascii="仿宋_GB2312" w:hAnsi="仿宋_GB2312" w:eastAsia="仿宋_GB2312" w:cs="仿宋_GB2312"/>
          <w:spacing w:val="-46"/>
          <w:sz w:val="24"/>
          <w:szCs w:val="24"/>
        </w:rPr>
        <w:t xml:space="preserve"> </w:t>
      </w:r>
      <w:r>
        <w:rPr>
          <w:rFonts w:hint="eastAsia" w:ascii="仿宋_GB2312" w:hAnsi="仿宋_GB2312" w:eastAsia="仿宋_GB2312" w:cs="仿宋_GB2312"/>
          <w:spacing w:val="-5"/>
          <w:sz w:val="24"/>
          <w:szCs w:val="24"/>
        </w:rPr>
        <w:t>48</w:t>
      </w:r>
      <w:r>
        <w:rPr>
          <w:rFonts w:hint="eastAsia" w:ascii="仿宋_GB2312" w:hAnsi="仿宋_GB2312" w:eastAsia="仿宋_GB2312" w:cs="仿宋_GB2312"/>
          <w:spacing w:val="-5"/>
          <w:sz w:val="24"/>
          <w:szCs w:val="24"/>
          <w:lang w:val="en-US" w:eastAsia="zh-CN"/>
        </w:rPr>
        <w:t>m³</w:t>
      </w:r>
      <w:r>
        <w:rPr>
          <w:rFonts w:hint="eastAsia" w:ascii="仿宋_GB2312" w:hAnsi="仿宋_GB2312" w:eastAsia="仿宋_GB2312" w:cs="仿宋_GB2312"/>
          <w:spacing w:val="-5"/>
          <w:sz w:val="24"/>
          <w:szCs w:val="24"/>
        </w:rPr>
        <w:t>围堰，</w:t>
      </w:r>
      <w:r>
        <w:rPr>
          <w:rFonts w:hint="eastAsia" w:ascii="仿宋_GB2312" w:hAnsi="仿宋_GB2312" w:eastAsia="仿宋_GB2312" w:cs="仿宋_GB2312"/>
          <w:spacing w:val="-5"/>
          <w:sz w:val="24"/>
          <w:szCs w:val="24"/>
          <w:lang w:val="en-US" w:eastAsia="zh-CN"/>
        </w:rPr>
        <w:t>厂区设有150m³的</w:t>
      </w:r>
      <w:r>
        <w:rPr>
          <w:rFonts w:hint="eastAsia" w:ascii="仿宋_GB2312" w:hAnsi="仿宋_GB2312" w:eastAsia="仿宋_GB2312" w:cs="仿宋_GB2312"/>
          <w:spacing w:val="-5"/>
          <w:sz w:val="24"/>
          <w:szCs w:val="24"/>
        </w:rPr>
        <w:t>事故</w:t>
      </w:r>
      <w:r>
        <w:rPr>
          <w:rFonts w:hint="eastAsia" w:ascii="仿宋_GB2312" w:hAnsi="仿宋_GB2312" w:eastAsia="仿宋_GB2312" w:cs="仿宋_GB2312"/>
          <w:spacing w:val="-5"/>
          <w:sz w:val="24"/>
          <w:szCs w:val="24"/>
          <w:lang w:val="en-US" w:eastAsia="zh-CN"/>
        </w:rPr>
        <w:t>应急</w:t>
      </w:r>
      <w:r>
        <w:rPr>
          <w:rFonts w:hint="eastAsia" w:ascii="仿宋_GB2312" w:hAnsi="仿宋_GB2312" w:eastAsia="仿宋_GB2312" w:cs="仿宋_GB2312"/>
          <w:spacing w:val="-5"/>
          <w:sz w:val="24"/>
          <w:szCs w:val="24"/>
        </w:rPr>
        <w:t>池</w:t>
      </w:r>
      <w:r>
        <w:rPr>
          <w:rFonts w:hint="eastAsia" w:ascii="Times New Roman" w:eastAsia="仿宋_GB2312" w:cs="Times New Roman"/>
          <w:lang w:val="en-US" w:eastAsia="zh-CN"/>
        </w:rPr>
        <w:t>1个，</w:t>
      </w:r>
      <w:r>
        <w:rPr>
          <w:rFonts w:hint="eastAsia" w:ascii="Times New Roman" w:hAnsi="Times New Roman" w:eastAsia="仿宋_GB2312" w:cs="Times New Roman"/>
          <w:spacing w:val="0"/>
          <w:sz w:val="24"/>
          <w:szCs w:val="24"/>
          <w:lang w:val="en-US" w:eastAsia="zh-CN"/>
        </w:rPr>
        <w:t>25.4m³的沉淀池1个，18m³的沉淀池3个（沉淀池兼事故应急池）</w:t>
      </w:r>
      <w:r>
        <w:rPr>
          <w:rFonts w:hint="eastAsia" w:ascii="Times New Roman" w:eastAsia="仿宋_GB2312" w:cs="Times New Roman"/>
        </w:rPr>
        <w:t>，</w:t>
      </w:r>
      <w:r>
        <w:rPr>
          <w:rFonts w:hint="eastAsia" w:ascii="仿宋_GB2312" w:hAnsi="仿宋_GB2312" w:eastAsia="仿宋_GB2312" w:cs="仿宋_GB2312"/>
          <w:spacing w:val="-5"/>
          <w:sz w:val="24"/>
          <w:szCs w:val="24"/>
        </w:rPr>
        <w:t>用于临时贮存泄漏氨水，防止氨水泄</w:t>
      </w:r>
      <w:r>
        <w:rPr>
          <w:rFonts w:hint="eastAsia" w:ascii="仿宋_GB2312" w:hAnsi="仿宋_GB2312" w:eastAsia="仿宋_GB2312" w:cs="仿宋_GB2312"/>
          <w:spacing w:val="-1"/>
          <w:sz w:val="24"/>
          <w:szCs w:val="24"/>
        </w:rPr>
        <w:t>漏外流影响周围环境。</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21" w:right="257" w:firstLine="464"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4"/>
          <w:sz w:val="24"/>
          <w:szCs w:val="24"/>
        </w:rPr>
        <w:t>（2）氨水罐防止阳光曝晒，保持罐区的阴凉、通风，远离火种、热源。</w:t>
      </w:r>
      <w:r>
        <w:rPr>
          <w:rFonts w:hint="eastAsia" w:ascii="仿宋_GB2312" w:hAnsi="仿宋_GB2312" w:eastAsia="仿宋_GB2312" w:cs="仿宋_GB2312"/>
          <w:spacing w:val="-1"/>
          <w:sz w:val="24"/>
          <w:szCs w:val="24"/>
        </w:rPr>
        <w:t>氨水储罐和输送管线应严加密闭，避免与酸类、金属粉末接触。</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20" w:right="153" w:firstLine="46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3"/>
          <w:sz w:val="24"/>
          <w:szCs w:val="24"/>
        </w:rPr>
        <w:t>（3）</w:t>
      </w:r>
      <w:r>
        <w:rPr>
          <w:rFonts w:hint="eastAsia" w:ascii="仿宋_GB2312" w:hAnsi="仿宋_GB2312" w:eastAsia="仿宋_GB2312" w:cs="仿宋_GB2312"/>
          <w:spacing w:val="19"/>
          <w:sz w:val="24"/>
          <w:szCs w:val="24"/>
        </w:rPr>
        <w:t xml:space="preserve"> </w:t>
      </w:r>
      <w:r>
        <w:rPr>
          <w:rFonts w:hint="eastAsia" w:ascii="仿宋_GB2312" w:hAnsi="仿宋_GB2312" w:eastAsia="仿宋_GB2312" w:cs="仿宋_GB2312"/>
          <w:spacing w:val="-3"/>
          <w:sz w:val="24"/>
          <w:szCs w:val="24"/>
        </w:rPr>
        <w:t>定期进行安全保护系统检查，截至阀、安全阀等应处于良好技术状</w:t>
      </w:r>
      <w:r>
        <w:rPr>
          <w:rFonts w:hint="eastAsia" w:ascii="仿宋_GB2312" w:hAnsi="仿宋_GB2312" w:eastAsia="仿宋_GB2312" w:cs="仿宋_GB2312"/>
          <w:spacing w:val="-2"/>
          <w:sz w:val="24"/>
          <w:szCs w:val="24"/>
        </w:rPr>
        <w:t>态，以备随时利用。加强日常维护与管理，定期检漏和测量管壁厚度，巡视检修电控等重要设备。一旦发现泄漏，立即进行可靠隔绝，并进行抢修。抢修应</w:t>
      </w:r>
      <w:r>
        <w:rPr>
          <w:rFonts w:hint="eastAsia" w:ascii="仿宋_GB2312" w:hAnsi="仿宋_GB2312" w:eastAsia="仿宋_GB2312" w:cs="仿宋_GB2312"/>
          <w:spacing w:val="-7"/>
          <w:sz w:val="24"/>
          <w:szCs w:val="24"/>
        </w:rPr>
        <w:t>在氨气检测装置无报警后进行。为使检漏工作制度化，应确定巡查检漏的周期，</w:t>
      </w:r>
      <w:r>
        <w:rPr>
          <w:rFonts w:hint="eastAsia" w:ascii="仿宋_GB2312" w:hAnsi="仿宋_GB2312" w:eastAsia="仿宋_GB2312" w:cs="仿宋_GB2312"/>
          <w:spacing w:val="-5"/>
          <w:sz w:val="24"/>
          <w:szCs w:val="24"/>
        </w:rPr>
        <w:t>设立事故急修班组，</w:t>
      </w:r>
      <w:r>
        <w:rPr>
          <w:rFonts w:hint="eastAsia" w:ascii="仿宋_GB2312" w:hAnsi="仿宋_GB2312" w:eastAsia="仿宋_GB2312" w:cs="仿宋_GB2312"/>
          <w:spacing w:val="-59"/>
          <w:sz w:val="24"/>
          <w:szCs w:val="24"/>
        </w:rPr>
        <w:t xml:space="preserve"> </w:t>
      </w:r>
      <w:r>
        <w:rPr>
          <w:rFonts w:hint="eastAsia" w:ascii="仿宋_GB2312" w:hAnsi="仿宋_GB2312" w:eastAsia="仿宋_GB2312" w:cs="仿宋_GB2312"/>
          <w:spacing w:val="-5"/>
          <w:sz w:val="24"/>
          <w:szCs w:val="24"/>
        </w:rPr>
        <w:t>日夜值班。</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74" w:firstLineChars="200"/>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pacing w:val="-2"/>
          <w:sz w:val="24"/>
          <w:szCs w:val="24"/>
          <w:lang w:val="en-US" w:eastAsia="zh-CN"/>
        </w:rPr>
        <w:t>2、</w:t>
      </w:r>
      <w:r>
        <w:rPr>
          <w:rFonts w:hint="eastAsia" w:ascii="仿宋_GB2312" w:hAnsi="仿宋_GB2312" w:eastAsia="仿宋_GB2312" w:cs="仿宋_GB2312"/>
          <w:b/>
          <w:bCs/>
          <w:spacing w:val="-31"/>
          <w:sz w:val="24"/>
          <w:szCs w:val="24"/>
        </w:rPr>
        <w:t xml:space="preserve"> </w:t>
      </w:r>
      <w:r>
        <w:rPr>
          <w:rFonts w:hint="eastAsia" w:ascii="仿宋_GB2312" w:hAnsi="仿宋_GB2312" w:eastAsia="仿宋_GB2312" w:cs="仿宋_GB2312"/>
          <w:b/>
          <w:bCs/>
          <w:spacing w:val="-2"/>
          <w:sz w:val="24"/>
          <w:szCs w:val="24"/>
        </w:rPr>
        <w:t>其他化学品泄漏事故风险防范措施</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22" w:right="220" w:firstLine="484"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1、定期对原辅材料使用量、水的消耗量等与产品量进行对比分析，发现</w:t>
      </w:r>
      <w:r>
        <w:rPr>
          <w:rFonts w:hint="eastAsia" w:ascii="仿宋_GB2312" w:hAnsi="仿宋_GB2312" w:eastAsia="仿宋_GB2312" w:cs="仿宋_GB2312"/>
          <w:spacing w:val="3"/>
          <w:sz w:val="24"/>
          <w:szCs w:val="24"/>
        </w:rPr>
        <w:t xml:space="preserve"> </w:t>
      </w:r>
      <w:r>
        <w:rPr>
          <w:rFonts w:hint="eastAsia" w:ascii="仿宋_GB2312" w:hAnsi="仿宋_GB2312" w:eastAsia="仿宋_GB2312" w:cs="仿宋_GB2312"/>
          <w:spacing w:val="-1"/>
          <w:sz w:val="24"/>
          <w:szCs w:val="24"/>
        </w:rPr>
        <w:t>有异常情况应及时停止生产，进行各个生产环节的检查和维修工作。</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6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3"/>
          <w:sz w:val="24"/>
          <w:szCs w:val="24"/>
        </w:rPr>
        <w:t>2、</w:t>
      </w:r>
      <w:r>
        <w:rPr>
          <w:rFonts w:hint="eastAsia" w:ascii="仿宋_GB2312" w:hAnsi="仿宋_GB2312" w:eastAsia="仿宋_GB2312" w:cs="仿宋_GB2312"/>
          <w:spacing w:val="-43"/>
          <w:sz w:val="24"/>
          <w:szCs w:val="24"/>
        </w:rPr>
        <w:t xml:space="preserve"> </w:t>
      </w:r>
      <w:r>
        <w:rPr>
          <w:rFonts w:hint="eastAsia" w:ascii="仿宋_GB2312" w:hAnsi="仿宋_GB2312" w:eastAsia="仿宋_GB2312" w:cs="仿宋_GB2312"/>
          <w:spacing w:val="-3"/>
          <w:sz w:val="24"/>
          <w:szCs w:val="24"/>
        </w:rPr>
        <w:t>目前目前厂区配制仓库和成品仓库已对地面采取防渗硬化措施；</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42" w:right="220" w:firstLine="484"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3、其他化学品设有专门的化学品仓库，由专人看管，设有托盘，并准备</w:t>
      </w:r>
      <w:r>
        <w:rPr>
          <w:rFonts w:hint="eastAsia" w:ascii="仿宋_GB2312" w:hAnsi="仿宋_GB2312" w:eastAsia="仿宋_GB2312" w:cs="仿宋_GB2312"/>
          <w:spacing w:val="16"/>
          <w:sz w:val="24"/>
          <w:szCs w:val="24"/>
        </w:rPr>
        <w:t xml:space="preserve"> </w:t>
      </w:r>
      <w:r>
        <w:rPr>
          <w:rFonts w:hint="eastAsia" w:ascii="仿宋_GB2312" w:hAnsi="仿宋_GB2312" w:eastAsia="仿宋_GB2312" w:cs="仿宋_GB2312"/>
          <w:spacing w:val="-4"/>
          <w:sz w:val="24"/>
          <w:szCs w:val="24"/>
        </w:rPr>
        <w:t>了化学溶剂吸附棉条；</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23" w:right="220" w:firstLine="484"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4、其他化学品入库前保管人员认真检查包装是否完好，如发现泄漏及时</w:t>
      </w:r>
      <w:r>
        <w:rPr>
          <w:rFonts w:hint="eastAsia" w:ascii="仿宋_GB2312" w:hAnsi="仿宋_GB2312" w:eastAsia="仿宋_GB2312" w:cs="仿宋_GB2312"/>
          <w:spacing w:val="21"/>
          <w:sz w:val="24"/>
          <w:szCs w:val="24"/>
        </w:rPr>
        <w:t xml:space="preserve"> </w:t>
      </w:r>
      <w:r>
        <w:rPr>
          <w:rFonts w:hint="eastAsia" w:ascii="仿宋_GB2312" w:hAnsi="仿宋_GB2312" w:eastAsia="仿宋_GB2312" w:cs="仿宋_GB2312"/>
          <w:spacing w:val="-2"/>
          <w:sz w:val="24"/>
          <w:szCs w:val="24"/>
        </w:rPr>
        <w:t>更换，确保包装完好无损；</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36" w:right="220" w:firstLine="484"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5、运输其他化学品时，避免烘烤和曝晒。装卸桶装化学品时，采取措施</w:t>
      </w:r>
      <w:r>
        <w:rPr>
          <w:rFonts w:hint="eastAsia" w:ascii="仿宋_GB2312" w:hAnsi="仿宋_GB2312" w:eastAsia="仿宋_GB2312" w:cs="仿宋_GB2312"/>
          <w:spacing w:val="16"/>
          <w:sz w:val="24"/>
          <w:szCs w:val="24"/>
        </w:rPr>
        <w:t xml:space="preserve"> </w:t>
      </w:r>
      <w:r>
        <w:rPr>
          <w:rFonts w:hint="eastAsia" w:ascii="仿宋_GB2312" w:hAnsi="仿宋_GB2312" w:eastAsia="仿宋_GB2312" w:cs="仿宋_GB2312"/>
          <w:spacing w:val="-2"/>
          <w:sz w:val="24"/>
          <w:szCs w:val="24"/>
        </w:rPr>
        <w:t>防止碰撞，确保包装完好无损；</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22" w:right="220" w:firstLine="484"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6、其他化学品存放并标示。库房人、物分开，杜绝火种并防止室内温度</w:t>
      </w:r>
      <w:r>
        <w:rPr>
          <w:rFonts w:hint="eastAsia" w:ascii="仿宋_GB2312" w:hAnsi="仿宋_GB2312" w:eastAsia="仿宋_GB2312" w:cs="仿宋_GB2312"/>
          <w:spacing w:val="18"/>
          <w:sz w:val="24"/>
          <w:szCs w:val="24"/>
        </w:rPr>
        <w:t xml:space="preserve"> </w:t>
      </w:r>
      <w:r>
        <w:rPr>
          <w:rFonts w:hint="eastAsia" w:ascii="仿宋_GB2312" w:hAnsi="仿宋_GB2312" w:eastAsia="仿宋_GB2312" w:cs="仿宋_GB2312"/>
          <w:spacing w:val="-1"/>
          <w:sz w:val="24"/>
          <w:szCs w:val="24"/>
        </w:rPr>
        <w:t>过高，桶装油品放置时，不堆放，以防跌落、碰撞造成化学品泄漏。</w:t>
      </w:r>
    </w:p>
    <w:p>
      <w:pPr>
        <w:spacing w:before="120" w:beforeLines="50" w:line="360" w:lineRule="auto"/>
        <w:outlineLvl w:val="2"/>
        <w:rPr>
          <w:rFonts w:hint="eastAsia" w:ascii="Times New Roman" w:hAnsi="Times New Roman" w:cs="Times New Roman" w:eastAsiaTheme="minorEastAsia"/>
          <w:b/>
          <w:sz w:val="28"/>
          <w:szCs w:val="28"/>
        </w:rPr>
      </w:pPr>
      <w:bookmarkStart w:id="63" w:name="_Toc14921"/>
      <w:r>
        <w:rPr>
          <w:rFonts w:hint="eastAsia" w:ascii="Times New Roman" w:hAnsi="Times New Roman" w:cs="Times New Roman" w:eastAsiaTheme="minorEastAsia"/>
          <w:b/>
          <w:sz w:val="28"/>
          <w:szCs w:val="28"/>
        </w:rPr>
        <w:t>4.1.4 火灾爆炸环境事件风险防控措施</w:t>
      </w:r>
      <w:bookmarkEnd w:id="63"/>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2" w:firstLineChars="200"/>
        <w:textAlignment w:val="auto"/>
        <w:rPr>
          <w:rFonts w:hint="eastAsia" w:ascii="仿宋_GB2312" w:hAnsi="仿宋_GB2312" w:eastAsia="仿宋_GB2312" w:cs="仿宋_GB2312"/>
          <w:b/>
          <w:bCs/>
          <w:sz w:val="24"/>
        </w:rPr>
      </w:pPr>
      <w:r>
        <w:rPr>
          <w:rFonts w:hint="eastAsia" w:ascii="仿宋_GB2312" w:hAnsi="仿宋_GB2312" w:eastAsia="仿宋_GB2312" w:cs="仿宋_GB2312"/>
          <w:b/>
          <w:bCs/>
          <w:sz w:val="24"/>
        </w:rPr>
        <w:t>1、 电气设备及化学品火灾预防措施</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（1） 公司建立消防岗位责任制，配备专（兼） 职消防管理人员，建立义</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务消防组织，普及消防知识，对安全疏散、电气、报警、灭火等各种设施，要分片包干，明确职责、定人管理。</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（2）在生产作业危险场所，动火切割、焊接必须领取动火证，经有关管理部门批准，在有消防措施，派人监护的情况下，才能操作。</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（3）对厂区火灾敏感区域配备相应的消防设施，同时加强对消防设施的检查，每个月至少进行一次安全检查，保证其在应急状态下正常使用。</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（4）建立吸烟、用火、用电、值班等为内容的消防管理制度，对生产作业员工要进行有关消防知识教育考核。</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（5）生产作业现场存放易燃、易爆化学危险品，不论多少，必须经公司主管部门审批同意后，才可存放，并严格控制储存量，并要落实防火措施。</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（6）电线架设、电气设备的安装要符合安全技术规范的要求，安装架设要由持有电工证的电工进行操作，严禁无证人员乱拉乱接电线和维修电气设备。</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2" w:firstLineChars="200"/>
        <w:textAlignment w:val="auto"/>
        <w:rPr>
          <w:rFonts w:hint="eastAsia" w:ascii="仿宋_GB2312" w:hAnsi="仿宋_GB2312" w:eastAsia="仿宋_GB2312" w:cs="仿宋_GB2312"/>
          <w:b/>
          <w:bCs/>
          <w:sz w:val="24"/>
        </w:rPr>
      </w:pPr>
      <w:r>
        <w:rPr>
          <w:rFonts w:hint="eastAsia" w:ascii="仿宋_GB2312" w:hAnsi="仿宋_GB2312" w:eastAsia="仿宋_GB2312" w:cs="仿宋_GB2312"/>
          <w:b/>
          <w:bCs/>
          <w:sz w:val="24"/>
        </w:rPr>
        <w:t>2、 煤磨车间火灾爆炸预防措施</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强化安全环保生产教育。岗位操作人员必须具备安全环保生产基本知识， 必须接受安全环保生产知识教育和安全知识培训，熟知生产的各个环节、各个 流程、生产危险区域及其安全防护的基本知识和注意事项、机械设备输送运转的有关知识、环保设施设备的正常运转知识、有关消防知识、消防器材知识、有关有毒气体知识、个人防护用品使用知识等。严格按照规定进行操作，严格工艺管理，防止跑、冒、滴、漏。定期检修、维护保养，保持设备完好，防止异常情况发生煤磨按定配备消防器材必须到位，煤磨灭火器材导专用器材，不准挪做它用，更不准任意坏，岗位应经常检查并保持其良好和有效。</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（1） 防止煤磨系统爆炸措施</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①煤磨调试初期和每次大修以后开机应先粉磨石灰石，将易积料的部位用 石灰石和石灰石粉填满，防止系统内部积煤。</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②中控和巡检人员必须严格遵守值班纪律，严格按要求操作和按要求巡检，经常分析各运行参数的变化，调整要及时，准确判断。</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③巡检工经常保持煤磨系统、燃料输煤系统及设备周围环境的清洁。煤场喷洒设施、输煤系统水力清扫设施和各式除尘设施运行正常，不得存在积粉。特别要注意检查煤磨热风管进口和出口处是否存在积煤，如有应及时清理，清理后填补石灰石。</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④坚持执行定期降粉制度和停窑前煤粉仓空仓制度，出现故障停窑时操作员应严密监视煤粉仓和袋除尘灰斗等温度和煤磨系统 CO 变化，发现温度异常升高应立刻向车间主任汇报，短时间内能恢复生产的应启动氮气灭火系统，控制温度进一步上升。袋除尘和煤磨管道内温度上升的应组织对相应部位进行检查和清理。如短时间内无法恢复生产的控制温度上升的同时应组织对煤粉仓进行清理。</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⑤根据要求控制磨煤机的出口温度，煤磨系统停止运行后，对输粉管道要充分进行抽粉和通风冷却；停机时间较长的，停用时宜对煤粉仓进行充氮或二氧化碳保护。</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⑥加强原煤的管理，按规程规定认真检查、检质，及时清除煤中的雷管和自然物，严防外来火源。</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⑦加强燃用煤种的煤质分析和配煤管理，燃用易自燃的煤种应及早通知运 行人员，以便加强监视和巡查，发现异常及时处理。</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⑧运行中当发现煤粉仓和系统内温度异常升高或确认煤粉仓内和系统内有自燃现象时，应立即停机处理，及时投入灭火系统，和清理相关部位，防止因自燃引起的煤粉仓爆炸。</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⑨定期检查煤粉仓壁内衬钢板，严防衬板磨漏、夹层积粉自燃。每次大修煤粉仓应清仓，并检查煤粉仓的严密性及有无死角，特别要注意仓顶板与大梁搁置部位有无积粉死角。煤粉仓、绞龙的收尘管应完好，管内通畅无阻，运行中煤粉仓要保持适当负压。</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（2） 防止粉尘爆炸</w:t>
      </w: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①消除煤磨系统输煤系统的粉尘泄漏点，降低煤粉浓度。大量放粉或清理</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firstLine="46"/>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煤粉时，应杜绝明火，防止粉尘爆炸。</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6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3"/>
          <w:sz w:val="24"/>
          <w:szCs w:val="24"/>
        </w:rPr>
        <w:t>②煤粉仓、煤磨系统、输煤系统附近应有</w:t>
      </w:r>
      <w:r>
        <w:rPr>
          <w:rFonts w:hint="eastAsia" w:ascii="仿宋_GB2312" w:hAnsi="仿宋_GB2312" w:eastAsia="仿宋_GB2312" w:cs="仿宋_GB2312"/>
          <w:sz w:val="24"/>
          <w:szCs w:val="24"/>
        </w:rPr>
        <w:fldChar w:fldCharType="begin"/>
      </w:r>
      <w:r>
        <w:rPr>
          <w:rFonts w:hint="eastAsia" w:ascii="仿宋_GB2312" w:hAnsi="仿宋_GB2312" w:eastAsia="仿宋_GB2312" w:cs="仿宋_GB2312"/>
          <w:sz w:val="24"/>
          <w:szCs w:val="24"/>
        </w:rPr>
        <w:instrText xml:space="preserve"> HYPERLINK "http://www.hbsafety.cn/article/65/" </w:instrText>
      </w:r>
      <w:r>
        <w:rPr>
          <w:rFonts w:hint="eastAsia" w:ascii="仿宋_GB2312" w:hAnsi="仿宋_GB2312" w:eastAsia="仿宋_GB2312" w:cs="仿宋_GB2312"/>
          <w:sz w:val="24"/>
          <w:szCs w:val="24"/>
        </w:rPr>
        <w:fldChar w:fldCharType="separate"/>
      </w:r>
      <w:r>
        <w:rPr>
          <w:rFonts w:hint="eastAsia" w:ascii="仿宋_GB2312" w:hAnsi="仿宋_GB2312" w:eastAsia="仿宋_GB2312" w:cs="仿宋_GB2312"/>
          <w:spacing w:val="-3"/>
          <w:sz w:val="24"/>
          <w:szCs w:val="24"/>
        </w:rPr>
        <w:t>消防</w:t>
      </w:r>
      <w:r>
        <w:rPr>
          <w:rFonts w:hint="eastAsia" w:ascii="仿宋_GB2312" w:hAnsi="仿宋_GB2312" w:eastAsia="仿宋_GB2312" w:cs="仿宋_GB2312"/>
          <w:spacing w:val="-3"/>
          <w:sz w:val="24"/>
          <w:szCs w:val="24"/>
        </w:rPr>
        <w:fldChar w:fldCharType="end"/>
      </w:r>
      <w:r>
        <w:rPr>
          <w:rFonts w:hint="eastAsia" w:ascii="仿宋_GB2312" w:hAnsi="仿宋_GB2312" w:eastAsia="仿宋_GB2312" w:cs="仿宋_GB2312"/>
          <w:spacing w:val="-3"/>
          <w:sz w:val="24"/>
          <w:szCs w:val="24"/>
        </w:rPr>
        <w:t>设施，并备有专用的灭火器</w:t>
      </w:r>
      <w:r>
        <w:rPr>
          <w:rFonts w:hint="eastAsia" w:ascii="仿宋_GB2312" w:hAnsi="仿宋_GB2312" w:eastAsia="仿宋_GB2312" w:cs="仿宋_GB2312"/>
          <w:spacing w:val="-2"/>
          <w:sz w:val="24"/>
          <w:szCs w:val="24"/>
        </w:rPr>
        <w:t>材，</w:t>
      </w:r>
      <w:r>
        <w:rPr>
          <w:rFonts w:hint="eastAsia" w:ascii="仿宋_GB2312" w:hAnsi="仿宋_GB2312" w:eastAsia="仿宋_GB2312" w:cs="仿宋_GB2312"/>
          <w:sz w:val="24"/>
          <w:szCs w:val="24"/>
        </w:rPr>
        <w:fldChar w:fldCharType="begin"/>
      </w:r>
      <w:r>
        <w:rPr>
          <w:rFonts w:hint="eastAsia" w:ascii="仿宋_GB2312" w:hAnsi="仿宋_GB2312" w:eastAsia="仿宋_GB2312" w:cs="仿宋_GB2312"/>
          <w:sz w:val="24"/>
          <w:szCs w:val="24"/>
        </w:rPr>
        <w:instrText xml:space="preserve"> HYPERLINK "http://www.hbsafety.cn/article/65/" </w:instrText>
      </w:r>
      <w:r>
        <w:rPr>
          <w:rFonts w:hint="eastAsia" w:ascii="仿宋_GB2312" w:hAnsi="仿宋_GB2312" w:eastAsia="仿宋_GB2312" w:cs="仿宋_GB2312"/>
          <w:sz w:val="24"/>
          <w:szCs w:val="24"/>
        </w:rPr>
        <w:fldChar w:fldCharType="separate"/>
      </w:r>
      <w:r>
        <w:rPr>
          <w:rFonts w:hint="eastAsia" w:ascii="仿宋_GB2312" w:hAnsi="仿宋_GB2312" w:eastAsia="仿宋_GB2312" w:cs="仿宋_GB2312"/>
          <w:spacing w:val="-2"/>
          <w:sz w:val="24"/>
          <w:szCs w:val="24"/>
        </w:rPr>
        <w:t>消防</w:t>
      </w:r>
      <w:r>
        <w:rPr>
          <w:rFonts w:hint="eastAsia" w:ascii="仿宋_GB2312" w:hAnsi="仿宋_GB2312" w:eastAsia="仿宋_GB2312" w:cs="仿宋_GB2312"/>
          <w:spacing w:val="-2"/>
          <w:sz w:val="24"/>
          <w:szCs w:val="24"/>
        </w:rPr>
        <w:fldChar w:fldCharType="end"/>
      </w:r>
      <w:r>
        <w:rPr>
          <w:rFonts w:hint="eastAsia" w:ascii="仿宋_GB2312" w:hAnsi="仿宋_GB2312" w:eastAsia="仿宋_GB2312" w:cs="仿宋_GB2312"/>
          <w:spacing w:val="-2"/>
          <w:sz w:val="24"/>
          <w:szCs w:val="24"/>
        </w:rPr>
        <w:t>系统水源应充足、水压符合要求。</w:t>
      </w:r>
      <w:r>
        <w:rPr>
          <w:rFonts w:hint="eastAsia" w:ascii="仿宋_GB2312" w:hAnsi="仿宋_GB2312" w:eastAsia="仿宋_GB2312" w:cs="仿宋_GB2312"/>
          <w:sz w:val="24"/>
          <w:szCs w:val="24"/>
        </w:rPr>
        <w:fldChar w:fldCharType="begin"/>
      </w:r>
      <w:r>
        <w:rPr>
          <w:rFonts w:hint="eastAsia" w:ascii="仿宋_GB2312" w:hAnsi="仿宋_GB2312" w:eastAsia="仿宋_GB2312" w:cs="仿宋_GB2312"/>
          <w:sz w:val="24"/>
          <w:szCs w:val="24"/>
        </w:rPr>
        <w:instrText xml:space="preserve"> HYPERLINK "http://www.hbsafety.cn/article/65/" </w:instrText>
      </w:r>
      <w:r>
        <w:rPr>
          <w:rFonts w:hint="eastAsia" w:ascii="仿宋_GB2312" w:hAnsi="仿宋_GB2312" w:eastAsia="仿宋_GB2312" w:cs="仿宋_GB2312"/>
          <w:sz w:val="24"/>
          <w:szCs w:val="24"/>
        </w:rPr>
        <w:fldChar w:fldCharType="separate"/>
      </w:r>
      <w:r>
        <w:rPr>
          <w:rFonts w:hint="eastAsia" w:ascii="仿宋_GB2312" w:hAnsi="仿宋_GB2312" w:eastAsia="仿宋_GB2312" w:cs="仿宋_GB2312"/>
          <w:spacing w:val="-2"/>
          <w:sz w:val="24"/>
          <w:szCs w:val="24"/>
        </w:rPr>
        <w:t>消防</w:t>
      </w:r>
      <w:r>
        <w:rPr>
          <w:rFonts w:hint="eastAsia" w:ascii="仿宋_GB2312" w:hAnsi="仿宋_GB2312" w:eastAsia="仿宋_GB2312" w:cs="仿宋_GB2312"/>
          <w:spacing w:val="-2"/>
          <w:sz w:val="24"/>
          <w:szCs w:val="24"/>
        </w:rPr>
        <w:fldChar w:fldCharType="end"/>
      </w:r>
      <w:r>
        <w:rPr>
          <w:rFonts w:hint="eastAsia" w:ascii="仿宋_GB2312" w:hAnsi="仿宋_GB2312" w:eastAsia="仿宋_GB2312" w:cs="仿宋_GB2312"/>
          <w:spacing w:val="-2"/>
          <w:sz w:val="24"/>
          <w:szCs w:val="24"/>
        </w:rPr>
        <w:t>灭火设施应保持完好，按期进</w:t>
      </w:r>
      <w:r>
        <w:rPr>
          <w:rFonts w:hint="eastAsia" w:ascii="仿宋_GB2312" w:hAnsi="仿宋_GB2312" w:eastAsia="仿宋_GB2312" w:cs="仿宋_GB2312"/>
          <w:spacing w:val="-4"/>
          <w:sz w:val="24"/>
          <w:szCs w:val="24"/>
        </w:rPr>
        <w:t>行试验。</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6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3"/>
          <w:sz w:val="24"/>
          <w:szCs w:val="24"/>
        </w:rPr>
        <w:t>③煤粉仓投运前应做严密性试验。凡基建投产时未做过严密性试验的要补</w:t>
      </w:r>
      <w:r>
        <w:rPr>
          <w:rFonts w:hint="eastAsia" w:ascii="仿宋_GB2312" w:hAnsi="仿宋_GB2312" w:eastAsia="仿宋_GB2312" w:cs="仿宋_GB2312"/>
          <w:spacing w:val="-1"/>
          <w:sz w:val="24"/>
          <w:szCs w:val="24"/>
        </w:rPr>
        <w:t>做漏风试验，如发现有漏风、漏粉现象要及时消除。</w:t>
      </w:r>
    </w:p>
    <w:p>
      <w:pPr>
        <w:spacing w:before="120" w:beforeLines="50" w:line="360" w:lineRule="auto"/>
        <w:outlineLvl w:val="2"/>
        <w:rPr>
          <w:rFonts w:eastAsiaTheme="minorEastAsia"/>
          <w:b/>
          <w:sz w:val="28"/>
          <w:szCs w:val="28"/>
        </w:rPr>
      </w:pPr>
      <w:bookmarkStart w:id="64" w:name="_Toc2972"/>
      <w:r>
        <w:rPr>
          <w:rFonts w:hint="eastAsia" w:eastAsiaTheme="minorEastAsia"/>
          <w:b/>
          <w:sz w:val="28"/>
          <w:szCs w:val="28"/>
        </w:rPr>
        <w:t>4</w:t>
      </w:r>
      <w:r>
        <w:rPr>
          <w:rFonts w:eastAsiaTheme="minorEastAsia"/>
          <w:b/>
          <w:sz w:val="28"/>
          <w:szCs w:val="28"/>
        </w:rPr>
        <w:t>.1.</w:t>
      </w:r>
      <w:r>
        <w:rPr>
          <w:rFonts w:hint="eastAsia" w:eastAsiaTheme="minorEastAsia"/>
          <w:b/>
          <w:sz w:val="28"/>
          <w:szCs w:val="28"/>
          <w:lang w:val="en-US" w:eastAsia="zh-CN"/>
        </w:rPr>
        <w:t>5</w:t>
      </w:r>
      <w:r>
        <w:rPr>
          <w:rFonts w:hint="eastAsia" w:eastAsiaTheme="minorEastAsia"/>
          <w:b/>
          <w:sz w:val="28"/>
          <w:szCs w:val="28"/>
        </w:rPr>
        <w:t>隐患排查治理制度</w:t>
      </w:r>
      <w:bookmarkEnd w:id="64"/>
    </w:p>
    <w:p>
      <w:pPr>
        <w:spacing w:before="120" w:beforeLines="50" w:line="360" w:lineRule="auto"/>
        <w:ind w:firstLine="480" w:firstLineChars="200"/>
        <w:rPr>
          <w:rFonts w:eastAsia="仿宋_GB2312"/>
          <w:sz w:val="24"/>
        </w:rPr>
      </w:pPr>
      <w:r>
        <w:rPr>
          <w:rFonts w:eastAsia="仿宋_GB2312"/>
          <w:sz w:val="24"/>
        </w:rPr>
        <w:t>（1）</w:t>
      </w:r>
      <w:r>
        <w:rPr>
          <w:rFonts w:hint="eastAsia" w:eastAsia="仿宋_GB2312"/>
          <w:sz w:val="24"/>
        </w:rPr>
        <w:t>公司</w:t>
      </w:r>
      <w:r>
        <w:rPr>
          <w:rFonts w:eastAsia="仿宋_GB2312"/>
          <w:sz w:val="24"/>
        </w:rPr>
        <w:t>有专人监管存在环境风险的关键地点，对危险源的工艺参数危险物质进行定期检测，对重要的设备、设施可经常性的检测、检验。</w:t>
      </w:r>
    </w:p>
    <w:p>
      <w:pPr>
        <w:spacing w:before="120" w:beforeLines="50" w:line="360" w:lineRule="auto"/>
        <w:ind w:firstLine="480" w:firstLineChars="200"/>
        <w:rPr>
          <w:rFonts w:eastAsia="仿宋_GB2312"/>
          <w:sz w:val="24"/>
        </w:rPr>
      </w:pPr>
      <w:r>
        <w:rPr>
          <w:rFonts w:eastAsia="仿宋_GB2312"/>
          <w:sz w:val="24"/>
        </w:rPr>
        <w:t>（2）正常情况下，严格按巡检制度进行巡检，检查内容主要为设备运转是否正常，并做记录。</w:t>
      </w:r>
    </w:p>
    <w:p>
      <w:pPr>
        <w:spacing w:before="120" w:beforeLines="50" w:line="360" w:lineRule="auto"/>
        <w:ind w:firstLine="480" w:firstLineChars="200"/>
        <w:rPr>
          <w:rFonts w:eastAsia="仿宋_GB2312"/>
          <w:sz w:val="24"/>
        </w:rPr>
      </w:pPr>
      <w:r>
        <w:rPr>
          <w:rFonts w:eastAsia="仿宋_GB2312"/>
          <w:sz w:val="24"/>
        </w:rPr>
        <w:t>（3）设置专人对应急设施进行定期检查</w:t>
      </w:r>
      <w:r>
        <w:rPr>
          <w:rFonts w:hint="eastAsia" w:eastAsia="仿宋_GB2312"/>
          <w:sz w:val="24"/>
        </w:rPr>
        <w:t>，</w:t>
      </w:r>
      <w:r>
        <w:rPr>
          <w:rFonts w:eastAsia="仿宋_GB2312"/>
          <w:sz w:val="24"/>
        </w:rPr>
        <w:t>检查内容主要有</w:t>
      </w:r>
      <w:r>
        <w:rPr>
          <w:rFonts w:hint="eastAsia" w:eastAsia="仿宋_GB2312"/>
          <w:sz w:val="24"/>
        </w:rPr>
        <w:t>：</w:t>
      </w:r>
      <w:r>
        <w:rPr>
          <w:rFonts w:eastAsia="仿宋_GB2312"/>
          <w:sz w:val="24"/>
        </w:rPr>
        <w:t>消防水池和事故应急池水位是否处于正常状态，消防水泵是否正常；导流渠是否畅通；急救箱和个人防护用品是否齐备、药品是否过期；</w:t>
      </w:r>
    </w:p>
    <w:p>
      <w:pPr>
        <w:spacing w:before="120" w:beforeLines="50" w:line="360" w:lineRule="auto"/>
        <w:ind w:firstLine="480" w:firstLineChars="200"/>
        <w:rPr>
          <w:rFonts w:eastAsia="仿宋_GB2312"/>
          <w:sz w:val="24"/>
        </w:rPr>
      </w:pPr>
      <w:r>
        <w:rPr>
          <w:rFonts w:eastAsia="仿宋_GB2312"/>
          <w:sz w:val="24"/>
        </w:rPr>
        <w:t>（4）定期对原料桶、设备、输送管道等进行泄漏巡查</w:t>
      </w:r>
      <w:r>
        <w:rPr>
          <w:rFonts w:hint="eastAsia" w:eastAsia="仿宋_GB2312"/>
          <w:sz w:val="24"/>
        </w:rPr>
        <w:t>，</w:t>
      </w:r>
      <w:r>
        <w:rPr>
          <w:rFonts w:eastAsia="仿宋_GB2312"/>
          <w:sz w:val="24"/>
        </w:rPr>
        <w:t>对检查中发现的微量泄漏点，及时予以修复处理；</w:t>
      </w:r>
    </w:p>
    <w:p>
      <w:pPr>
        <w:pStyle w:val="2"/>
        <w:spacing w:line="360" w:lineRule="auto"/>
        <w:ind w:firstLine="420"/>
      </w:pPr>
      <w:r>
        <w:rPr>
          <w:rFonts w:eastAsia="仿宋_GB2312"/>
        </w:rPr>
        <w:t>（5）应急设备和物资</w:t>
      </w:r>
      <w:r>
        <w:rPr>
          <w:rFonts w:hint="eastAsia" w:eastAsia="仿宋_GB2312"/>
        </w:rPr>
        <w:t>有</w:t>
      </w:r>
      <w:r>
        <w:rPr>
          <w:rFonts w:eastAsia="仿宋_GB2312"/>
        </w:rPr>
        <w:t>专人负责，定期检查。本企业的应急物资有灭火器、消防栓和消防事故应急池等。正常情况下按照规定例行检查，保证各种应急物资的充足与完备</w:t>
      </w:r>
      <w:r>
        <w:rPr>
          <w:rFonts w:hint="eastAsia" w:eastAsia="仿宋_GB2312"/>
        </w:rPr>
        <w:t>。</w:t>
      </w:r>
    </w:p>
    <w:p>
      <w:pPr>
        <w:spacing w:before="120" w:beforeLines="50" w:line="360" w:lineRule="auto"/>
        <w:outlineLvl w:val="2"/>
        <w:rPr>
          <w:rFonts w:eastAsiaTheme="minorEastAsia"/>
          <w:b/>
          <w:sz w:val="28"/>
          <w:szCs w:val="28"/>
        </w:rPr>
      </w:pPr>
      <w:bookmarkStart w:id="65" w:name="_Toc20704"/>
      <w:r>
        <w:rPr>
          <w:rFonts w:hint="eastAsia" w:eastAsiaTheme="minorEastAsia"/>
          <w:b/>
          <w:sz w:val="28"/>
          <w:szCs w:val="28"/>
        </w:rPr>
        <w:t>4</w:t>
      </w:r>
      <w:r>
        <w:rPr>
          <w:rFonts w:eastAsiaTheme="minorEastAsia"/>
          <w:b/>
          <w:sz w:val="28"/>
          <w:szCs w:val="28"/>
        </w:rPr>
        <w:t>.1.</w:t>
      </w:r>
      <w:r>
        <w:rPr>
          <w:rFonts w:hint="eastAsia" w:eastAsiaTheme="minorEastAsia"/>
          <w:b/>
          <w:sz w:val="28"/>
          <w:szCs w:val="28"/>
          <w:lang w:val="en-US" w:eastAsia="zh-CN"/>
        </w:rPr>
        <w:t>6</w:t>
      </w:r>
      <w:r>
        <w:rPr>
          <w:rFonts w:hint="eastAsia" w:eastAsiaTheme="minorEastAsia"/>
          <w:b/>
          <w:sz w:val="28"/>
          <w:szCs w:val="28"/>
        </w:rPr>
        <w:t>日常监测制度</w:t>
      </w:r>
      <w:bookmarkEnd w:id="65"/>
    </w:p>
    <w:p>
      <w:pPr>
        <w:pStyle w:val="2"/>
        <w:spacing w:line="360" w:lineRule="auto"/>
        <w:ind w:firstLine="480" w:firstLineChars="200"/>
        <w:rPr>
          <w:rFonts w:eastAsia="仿宋_GB2312"/>
        </w:rPr>
      </w:pPr>
      <w:r>
        <w:rPr>
          <w:rFonts w:hint="eastAsia" w:ascii="Times New Roman" w:eastAsia="仿宋_GB2312" w:cs="Times New Roman"/>
          <w:color w:val="auto"/>
          <w:kern w:val="2"/>
        </w:rPr>
        <w:t>公司建有日常监测制度，该制度包含以下内容：</w:t>
      </w:r>
    </w:p>
    <w:p>
      <w:pPr>
        <w:pStyle w:val="2"/>
        <w:spacing w:line="360" w:lineRule="auto"/>
        <w:ind w:firstLine="480" w:firstLineChars="200"/>
        <w:rPr>
          <w:rFonts w:eastAsia="仿宋_GB2312"/>
        </w:rPr>
      </w:pPr>
      <w:r>
        <w:rPr>
          <w:rFonts w:hint="eastAsia" w:ascii="Times New Roman" w:eastAsia="仿宋_GB2312" w:cs="Times New Roman"/>
          <w:color w:val="auto"/>
          <w:kern w:val="2"/>
        </w:rPr>
        <w:t>（1）环保人员认真履行职责，准时上岗，不得擅离职守；做到耐心细致、一丝不苟，勤思善问，遇有环境污染异常情况及时上报，并及时采取必要的应急措施或控制方式；</w:t>
      </w:r>
    </w:p>
    <w:p>
      <w:pPr>
        <w:pStyle w:val="2"/>
        <w:spacing w:line="360" w:lineRule="auto"/>
        <w:ind w:firstLine="480"/>
        <w:rPr>
          <w:rFonts w:eastAsia="仿宋_GB2312"/>
        </w:rPr>
      </w:pPr>
      <w:r>
        <w:rPr>
          <w:rFonts w:hint="eastAsia" w:ascii="Times New Roman" w:eastAsia="仿宋_GB2312" w:cs="Times New Roman"/>
          <w:color w:val="auto"/>
          <w:kern w:val="2"/>
        </w:rPr>
        <w:t>（2）注意环保设施的运行情况，建立设施台账进行运行管理。设施有异常时要及时向</w:t>
      </w:r>
      <w:r>
        <w:rPr>
          <w:rFonts w:hint="eastAsia" w:ascii="Times New Roman" w:eastAsia="仿宋_GB2312" w:cs="Times New Roman"/>
          <w:color w:val="auto"/>
          <w:kern w:val="2"/>
          <w:lang w:eastAsia="zh-CN"/>
        </w:rPr>
        <w:t>技术部</w:t>
      </w:r>
      <w:r>
        <w:rPr>
          <w:rFonts w:hint="eastAsia" w:ascii="Times New Roman" w:eastAsia="仿宋_GB2312" w:cs="Times New Roman"/>
          <w:color w:val="auto"/>
          <w:kern w:val="2"/>
        </w:rPr>
        <w:t>报告，以便采取措施进行处理与维修；</w:t>
      </w:r>
    </w:p>
    <w:p>
      <w:pPr>
        <w:pStyle w:val="2"/>
        <w:spacing w:line="360" w:lineRule="auto"/>
        <w:ind w:firstLine="420"/>
        <w:rPr>
          <w:rFonts w:eastAsia="仿宋_GB2312"/>
        </w:rPr>
      </w:pPr>
      <w:r>
        <w:rPr>
          <w:rFonts w:hint="eastAsia" w:ascii="Times New Roman" w:eastAsia="仿宋_GB2312" w:cs="Times New Roman"/>
          <w:color w:val="auto"/>
          <w:kern w:val="2"/>
        </w:rPr>
        <w:t>（3）随时注意风机</w:t>
      </w:r>
      <w:r>
        <w:rPr>
          <w:rFonts w:hint="eastAsia" w:ascii="Times New Roman" w:eastAsia="仿宋_GB2312" w:cs="Times New Roman"/>
          <w:color w:val="auto"/>
          <w:kern w:val="2"/>
          <w:lang w:val="en-US" w:eastAsia="zh-CN"/>
        </w:rPr>
        <w:t>运行</w:t>
      </w:r>
      <w:r>
        <w:rPr>
          <w:rFonts w:hint="eastAsia" w:ascii="Times New Roman" w:eastAsia="仿宋_GB2312" w:cs="Times New Roman"/>
          <w:color w:val="auto"/>
          <w:kern w:val="2"/>
        </w:rPr>
        <w:t>情况，发现问题，立即检查、检修及治理。</w:t>
      </w:r>
    </w:p>
    <w:p>
      <w:pPr>
        <w:spacing w:before="120" w:beforeLines="50" w:line="360" w:lineRule="auto"/>
        <w:outlineLvl w:val="1"/>
        <w:rPr>
          <w:rFonts w:eastAsia="仿宋_GB2312"/>
          <w:b/>
          <w:sz w:val="32"/>
          <w:szCs w:val="32"/>
        </w:rPr>
      </w:pPr>
      <w:bookmarkStart w:id="66" w:name="_Toc480812158"/>
      <w:bookmarkStart w:id="67" w:name="_Toc28492"/>
      <w:r>
        <w:rPr>
          <w:rFonts w:hint="eastAsia" w:eastAsia="仿宋_GB2312"/>
          <w:b/>
          <w:sz w:val="32"/>
          <w:szCs w:val="32"/>
        </w:rPr>
        <w:t>4</w:t>
      </w:r>
      <w:r>
        <w:rPr>
          <w:rFonts w:eastAsia="仿宋_GB2312"/>
          <w:b/>
          <w:sz w:val="32"/>
          <w:szCs w:val="32"/>
        </w:rPr>
        <w:t>.</w:t>
      </w:r>
      <w:r>
        <w:rPr>
          <w:rFonts w:hint="eastAsia" w:eastAsia="仿宋_GB2312"/>
          <w:b/>
          <w:sz w:val="32"/>
          <w:szCs w:val="32"/>
        </w:rPr>
        <w:t>2</w:t>
      </w:r>
      <w:r>
        <w:rPr>
          <w:rFonts w:eastAsia="仿宋_GB2312"/>
          <w:b/>
          <w:sz w:val="32"/>
          <w:szCs w:val="32"/>
        </w:rPr>
        <w:t>预警</w:t>
      </w:r>
      <w:bookmarkEnd w:id="66"/>
      <w:bookmarkEnd w:id="67"/>
    </w:p>
    <w:p>
      <w:pPr>
        <w:spacing w:before="120" w:beforeLines="50" w:line="360" w:lineRule="auto"/>
        <w:ind w:firstLine="480" w:firstLineChars="200"/>
        <w:rPr>
          <w:rFonts w:eastAsia="仿宋_GB2312"/>
          <w:sz w:val="24"/>
        </w:rPr>
      </w:pPr>
      <w:r>
        <w:rPr>
          <w:rFonts w:eastAsia="仿宋_GB2312"/>
          <w:sz w:val="24"/>
        </w:rPr>
        <w:t>预警即是预测未来可能发生的危机和灾难，并预先对其进行准备和预防。事先预防胜过事后补救，可以最大限度减少生命财产的损失，提高人们的生存能力。</w:t>
      </w:r>
    </w:p>
    <w:p>
      <w:pPr>
        <w:spacing w:before="120" w:beforeLines="50" w:line="360" w:lineRule="auto"/>
        <w:ind w:firstLine="480" w:firstLineChars="200"/>
        <w:rPr>
          <w:rFonts w:eastAsia="仿宋_GB2312"/>
          <w:sz w:val="24"/>
        </w:rPr>
      </w:pPr>
      <w:r>
        <w:rPr>
          <w:rFonts w:eastAsia="仿宋_GB2312"/>
          <w:sz w:val="24"/>
        </w:rPr>
        <w:t>按照突发事件发生的紧急程度、发展势态和可能造成的危害程度，预警级别从低到高依次为：三级、二级、一级，分别用黄色、橙色、红色标示，一级为最高级别。</w:t>
      </w:r>
    </w:p>
    <w:p>
      <w:pPr>
        <w:spacing w:before="120" w:beforeLines="50" w:line="360" w:lineRule="auto"/>
        <w:outlineLvl w:val="2"/>
        <w:rPr>
          <w:rFonts w:eastAsia="仿宋_GB2312"/>
          <w:b/>
          <w:sz w:val="30"/>
          <w:szCs w:val="30"/>
        </w:rPr>
      </w:pPr>
      <w:bookmarkStart w:id="68" w:name="_Toc15252"/>
      <w:bookmarkStart w:id="69" w:name="_Toc480812159"/>
      <w:r>
        <w:rPr>
          <w:rFonts w:hint="eastAsia" w:eastAsia="仿宋_GB2312"/>
          <w:b/>
          <w:sz w:val="30"/>
          <w:szCs w:val="30"/>
        </w:rPr>
        <w:t>4</w:t>
      </w:r>
      <w:r>
        <w:rPr>
          <w:rFonts w:eastAsia="仿宋_GB2312"/>
          <w:b/>
          <w:sz w:val="30"/>
          <w:szCs w:val="30"/>
        </w:rPr>
        <w:t>.</w:t>
      </w:r>
      <w:r>
        <w:rPr>
          <w:rFonts w:hint="eastAsia" w:eastAsia="仿宋_GB2312"/>
          <w:b/>
          <w:sz w:val="30"/>
          <w:szCs w:val="30"/>
        </w:rPr>
        <w:t>2</w:t>
      </w:r>
      <w:r>
        <w:rPr>
          <w:rFonts w:eastAsia="仿宋_GB2312"/>
          <w:b/>
          <w:sz w:val="30"/>
          <w:szCs w:val="30"/>
        </w:rPr>
        <w:t>.1预警分级</w:t>
      </w:r>
      <w:bookmarkEnd w:id="68"/>
      <w:bookmarkEnd w:id="69"/>
    </w:p>
    <w:p>
      <w:pPr>
        <w:spacing w:before="120" w:beforeLines="50" w:line="360" w:lineRule="auto"/>
        <w:ind w:firstLine="480" w:firstLineChars="200"/>
        <w:rPr>
          <w:rFonts w:eastAsia="仿宋_GB2312"/>
          <w:sz w:val="24"/>
        </w:rPr>
      </w:pPr>
      <w:r>
        <w:rPr>
          <w:rFonts w:hint="eastAsia" w:eastAsia="仿宋_GB2312"/>
          <w:sz w:val="24"/>
        </w:rPr>
        <w:t>（1）</w:t>
      </w:r>
      <w:r>
        <w:rPr>
          <w:rFonts w:eastAsia="仿宋_GB2312"/>
          <w:sz w:val="24"/>
        </w:rPr>
        <w:t>三级预警</w:t>
      </w:r>
    </w:p>
    <w:p>
      <w:pPr>
        <w:spacing w:before="120" w:beforeLines="50" w:line="360" w:lineRule="auto"/>
        <w:ind w:firstLine="480" w:firstLineChars="200"/>
        <w:rPr>
          <w:rFonts w:eastAsia="仿宋_GB2312"/>
          <w:sz w:val="24"/>
        </w:rPr>
      </w:pPr>
      <w:r>
        <w:rPr>
          <w:rFonts w:eastAsia="仿宋_GB2312"/>
          <w:sz w:val="24"/>
        </w:rPr>
        <w:t>当可能发生</w:t>
      </w:r>
      <w:r>
        <w:rPr>
          <w:rFonts w:hint="eastAsia" w:eastAsia="仿宋_GB2312"/>
          <w:sz w:val="24"/>
        </w:rPr>
        <w:t>车间级</w:t>
      </w:r>
      <w:r>
        <w:rPr>
          <w:rFonts w:eastAsia="仿宋_GB2312"/>
          <w:sz w:val="24"/>
        </w:rPr>
        <w:t>突发环境事件时，现场工作人员向当班领导汇报，当班领导向</w:t>
      </w:r>
      <w:r>
        <w:rPr>
          <w:rFonts w:hint="eastAsia" w:eastAsia="仿宋_GB2312"/>
          <w:sz w:val="24"/>
        </w:rPr>
        <w:t>应急领导小组办公室</w:t>
      </w:r>
      <w:r>
        <w:rPr>
          <w:rFonts w:eastAsia="仿宋_GB2312"/>
          <w:sz w:val="24"/>
        </w:rPr>
        <w:t>汇报并由公司突发环境事件</w:t>
      </w:r>
      <w:r>
        <w:rPr>
          <w:rFonts w:hint="eastAsia" w:eastAsia="仿宋_GB2312"/>
          <w:sz w:val="24"/>
        </w:rPr>
        <w:t>应急领导小组办公室</w:t>
      </w:r>
      <w:r>
        <w:rPr>
          <w:rFonts w:eastAsia="仿宋_GB2312"/>
          <w:sz w:val="24"/>
        </w:rPr>
        <w:t>发布三级</w:t>
      </w:r>
      <w:r>
        <w:rPr>
          <w:rFonts w:hint="eastAsia" w:eastAsia="仿宋_GB2312"/>
          <w:sz w:val="24"/>
        </w:rPr>
        <w:t>（</w:t>
      </w:r>
      <w:r>
        <w:rPr>
          <w:rFonts w:eastAsia="仿宋_GB2312"/>
          <w:sz w:val="24"/>
        </w:rPr>
        <w:t>黄色</w:t>
      </w:r>
      <w:r>
        <w:rPr>
          <w:rFonts w:hint="eastAsia" w:eastAsia="仿宋_GB2312"/>
          <w:sz w:val="24"/>
        </w:rPr>
        <w:t>）</w:t>
      </w:r>
      <w:r>
        <w:rPr>
          <w:rFonts w:eastAsia="仿宋_GB2312"/>
          <w:sz w:val="24"/>
        </w:rPr>
        <w:t>预警公告。</w:t>
      </w:r>
    </w:p>
    <w:p>
      <w:pPr>
        <w:spacing w:before="120" w:beforeLines="50" w:line="360" w:lineRule="auto"/>
        <w:ind w:firstLine="480" w:firstLineChars="200"/>
        <w:rPr>
          <w:rFonts w:eastAsia="仿宋_GB2312"/>
          <w:sz w:val="24"/>
        </w:rPr>
      </w:pPr>
      <w:r>
        <w:rPr>
          <w:rFonts w:hint="eastAsia" w:ascii="宋体" w:eastAsia="仿宋_GB2312" w:cs="宋体"/>
          <w:color w:val="000000"/>
          <w:kern w:val="0"/>
          <w:sz w:val="24"/>
        </w:rPr>
        <w:t>（</w:t>
      </w:r>
      <w:r>
        <w:rPr>
          <w:rFonts w:ascii="宋体" w:eastAsia="仿宋_GB2312" w:cs="宋体"/>
          <w:color w:val="000000"/>
          <w:kern w:val="0"/>
          <w:sz w:val="24"/>
        </w:rPr>
        <w:t>2</w:t>
      </w:r>
      <w:r>
        <w:rPr>
          <w:rFonts w:hint="eastAsia" w:ascii="宋体" w:eastAsia="仿宋_GB2312" w:cs="宋体"/>
          <w:color w:val="000000"/>
          <w:kern w:val="0"/>
          <w:sz w:val="24"/>
        </w:rPr>
        <w:t>）</w:t>
      </w:r>
      <w:r>
        <w:rPr>
          <w:rFonts w:eastAsia="仿宋_GB2312"/>
          <w:sz w:val="24"/>
        </w:rPr>
        <w:t>二级预警</w:t>
      </w:r>
    </w:p>
    <w:p>
      <w:pPr>
        <w:spacing w:before="120" w:beforeLines="50" w:line="360" w:lineRule="auto"/>
        <w:ind w:firstLine="480" w:firstLineChars="200"/>
        <w:rPr>
          <w:rFonts w:eastAsia="仿宋_GB2312"/>
          <w:sz w:val="24"/>
        </w:rPr>
      </w:pPr>
      <w:r>
        <w:rPr>
          <w:rFonts w:eastAsia="仿宋_GB2312"/>
          <w:sz w:val="24"/>
        </w:rPr>
        <w:t>当可能发生</w:t>
      </w:r>
      <w:r>
        <w:rPr>
          <w:rFonts w:hint="eastAsia" w:eastAsia="仿宋_GB2312"/>
          <w:sz w:val="24"/>
        </w:rPr>
        <w:t>厂区级</w:t>
      </w:r>
      <w:r>
        <w:rPr>
          <w:rFonts w:eastAsia="仿宋_GB2312"/>
          <w:sz w:val="24"/>
        </w:rPr>
        <w:t>突发环境事件时，由</w:t>
      </w:r>
      <w:r>
        <w:rPr>
          <w:rFonts w:hint="eastAsia" w:eastAsia="仿宋_GB2312"/>
          <w:sz w:val="24"/>
          <w:lang w:eastAsia="zh-CN"/>
        </w:rPr>
        <w:t>翁源县中源发展有限公司</w:t>
      </w:r>
      <w:r>
        <w:rPr>
          <w:rFonts w:eastAsia="仿宋_GB2312"/>
          <w:sz w:val="24"/>
        </w:rPr>
        <w:t>突发环境事件应急办公室发布二级</w:t>
      </w:r>
      <w:r>
        <w:rPr>
          <w:rFonts w:hint="eastAsia" w:eastAsia="仿宋_GB2312"/>
          <w:sz w:val="24"/>
        </w:rPr>
        <w:t>（</w:t>
      </w:r>
      <w:r>
        <w:rPr>
          <w:rFonts w:eastAsia="仿宋_GB2312"/>
          <w:sz w:val="24"/>
        </w:rPr>
        <w:t>橙色</w:t>
      </w:r>
      <w:r>
        <w:rPr>
          <w:rFonts w:hint="eastAsia" w:eastAsia="仿宋_GB2312"/>
          <w:sz w:val="24"/>
        </w:rPr>
        <w:t>）</w:t>
      </w:r>
      <w:r>
        <w:rPr>
          <w:rFonts w:eastAsia="仿宋_GB2312"/>
          <w:sz w:val="24"/>
        </w:rPr>
        <w:t>预警公告，并向</w:t>
      </w:r>
      <w:r>
        <w:rPr>
          <w:rFonts w:hint="eastAsia" w:eastAsia="仿宋_GB2312"/>
          <w:sz w:val="24"/>
          <w:lang w:eastAsia="zh-CN"/>
        </w:rPr>
        <w:t>开发区管委会</w:t>
      </w:r>
      <w:r>
        <w:rPr>
          <w:rFonts w:eastAsia="仿宋_GB2312"/>
          <w:sz w:val="24"/>
        </w:rPr>
        <w:t>报告。</w:t>
      </w:r>
    </w:p>
    <w:p>
      <w:pPr>
        <w:spacing w:before="120" w:beforeLines="50" w:line="360" w:lineRule="auto"/>
        <w:ind w:firstLine="480" w:firstLineChars="200"/>
        <w:rPr>
          <w:rFonts w:eastAsia="仿宋_GB2312"/>
          <w:sz w:val="24"/>
        </w:rPr>
      </w:pPr>
      <w:r>
        <w:rPr>
          <w:rFonts w:hint="eastAsia" w:eastAsia="仿宋_GB2312"/>
          <w:sz w:val="24"/>
        </w:rPr>
        <w:t>（3）</w:t>
      </w:r>
      <w:r>
        <w:rPr>
          <w:rFonts w:eastAsia="仿宋_GB2312"/>
          <w:sz w:val="24"/>
        </w:rPr>
        <w:t>一级预警</w:t>
      </w:r>
    </w:p>
    <w:p>
      <w:pPr>
        <w:spacing w:before="120" w:beforeLines="50" w:line="360" w:lineRule="auto"/>
        <w:ind w:firstLine="480" w:firstLineChars="200"/>
        <w:rPr>
          <w:rFonts w:eastAsia="仿宋_GB2312"/>
          <w:sz w:val="24"/>
        </w:rPr>
      </w:pPr>
      <w:r>
        <w:rPr>
          <w:rFonts w:eastAsia="仿宋_GB2312"/>
          <w:sz w:val="24"/>
        </w:rPr>
        <w:t>当有可能发生社会级突发环境事件时，由</w:t>
      </w:r>
      <w:r>
        <w:rPr>
          <w:rFonts w:hint="eastAsia" w:eastAsia="仿宋_GB2312"/>
          <w:sz w:val="24"/>
          <w:lang w:eastAsia="zh-CN"/>
        </w:rPr>
        <w:t>翁源县中源发展有限公司</w:t>
      </w:r>
      <w:r>
        <w:rPr>
          <w:rFonts w:eastAsia="仿宋_GB2312"/>
          <w:sz w:val="24"/>
        </w:rPr>
        <w:t>突发环境事件应急领导小组发布一级</w:t>
      </w:r>
      <w:r>
        <w:rPr>
          <w:rFonts w:hint="eastAsia" w:eastAsia="仿宋_GB2312"/>
          <w:sz w:val="24"/>
        </w:rPr>
        <w:t>（</w:t>
      </w:r>
      <w:r>
        <w:rPr>
          <w:rFonts w:eastAsia="仿宋_GB2312"/>
          <w:sz w:val="24"/>
        </w:rPr>
        <w:t>红色</w:t>
      </w:r>
      <w:r>
        <w:rPr>
          <w:rFonts w:hint="eastAsia" w:eastAsia="仿宋_GB2312"/>
          <w:sz w:val="24"/>
        </w:rPr>
        <w:t>）</w:t>
      </w:r>
      <w:r>
        <w:rPr>
          <w:rFonts w:eastAsia="仿宋_GB2312"/>
          <w:sz w:val="24"/>
        </w:rPr>
        <w:t>预警公告，并向</w:t>
      </w:r>
      <w:r>
        <w:rPr>
          <w:rFonts w:hint="eastAsia" w:eastAsia="仿宋_GB2312"/>
          <w:sz w:val="24"/>
          <w:lang w:eastAsia="zh-CN"/>
        </w:rPr>
        <w:t>翁源县</w:t>
      </w:r>
      <w:r>
        <w:rPr>
          <w:rFonts w:eastAsia="仿宋_GB2312"/>
          <w:sz w:val="24"/>
        </w:rPr>
        <w:t>人民政府和</w:t>
      </w:r>
      <w:r>
        <w:rPr>
          <w:rFonts w:hint="eastAsia" w:eastAsia="仿宋_GB2312"/>
          <w:sz w:val="24"/>
        </w:rPr>
        <w:t>韶关市生态环境局</w:t>
      </w:r>
      <w:r>
        <w:rPr>
          <w:rFonts w:hint="eastAsia" w:eastAsia="仿宋_GB2312"/>
          <w:sz w:val="24"/>
          <w:lang w:eastAsia="zh-CN"/>
        </w:rPr>
        <w:t>翁源分局</w:t>
      </w:r>
      <w:r>
        <w:rPr>
          <w:rFonts w:eastAsia="仿宋_GB2312"/>
          <w:sz w:val="24"/>
        </w:rPr>
        <w:t>报告。</w:t>
      </w:r>
    </w:p>
    <w:p>
      <w:pPr>
        <w:spacing w:before="120" w:beforeLines="50" w:line="360" w:lineRule="auto"/>
        <w:outlineLvl w:val="2"/>
        <w:rPr>
          <w:rFonts w:eastAsia="仿宋_GB2312"/>
          <w:b/>
          <w:sz w:val="30"/>
          <w:szCs w:val="30"/>
        </w:rPr>
      </w:pPr>
      <w:bookmarkStart w:id="70" w:name="_Toc18825"/>
      <w:r>
        <w:rPr>
          <w:rFonts w:hint="eastAsia" w:eastAsia="仿宋_GB2312"/>
          <w:b/>
          <w:sz w:val="30"/>
          <w:szCs w:val="30"/>
        </w:rPr>
        <w:t>4</w:t>
      </w:r>
      <w:r>
        <w:rPr>
          <w:rFonts w:eastAsia="仿宋_GB2312"/>
          <w:b/>
          <w:sz w:val="30"/>
          <w:szCs w:val="30"/>
        </w:rPr>
        <w:t>.</w:t>
      </w:r>
      <w:r>
        <w:rPr>
          <w:rFonts w:hint="eastAsia" w:eastAsia="仿宋_GB2312"/>
          <w:b/>
          <w:sz w:val="30"/>
          <w:szCs w:val="30"/>
        </w:rPr>
        <w:t>2</w:t>
      </w:r>
      <w:r>
        <w:rPr>
          <w:rFonts w:eastAsia="仿宋_GB2312"/>
          <w:b/>
          <w:sz w:val="30"/>
          <w:szCs w:val="30"/>
        </w:rPr>
        <w:t>.2预警</w:t>
      </w:r>
      <w:r>
        <w:rPr>
          <w:rFonts w:hint="eastAsia" w:eastAsia="仿宋_GB2312"/>
          <w:b/>
          <w:sz w:val="30"/>
          <w:szCs w:val="30"/>
        </w:rPr>
        <w:t>报告</w:t>
      </w:r>
      <w:r>
        <w:rPr>
          <w:rFonts w:eastAsia="仿宋_GB2312"/>
          <w:b/>
          <w:sz w:val="30"/>
          <w:szCs w:val="30"/>
        </w:rPr>
        <w:t>程序及内容</w:t>
      </w:r>
      <w:bookmarkEnd w:id="70"/>
    </w:p>
    <w:p>
      <w:pPr>
        <w:spacing w:before="120" w:beforeLines="50" w:line="360" w:lineRule="auto"/>
        <w:ind w:firstLine="480" w:firstLineChars="200"/>
        <w:rPr>
          <w:rFonts w:eastAsia="仿宋_GB2312"/>
          <w:sz w:val="24"/>
        </w:rPr>
      </w:pPr>
      <w:r>
        <w:rPr>
          <w:rFonts w:hint="eastAsia" w:eastAsia="仿宋_GB2312"/>
          <w:sz w:val="24"/>
        </w:rPr>
        <w:t>（1）内部报告程序</w:t>
      </w:r>
    </w:p>
    <w:p>
      <w:pPr>
        <w:spacing w:before="120" w:beforeLines="50" w:line="360" w:lineRule="auto"/>
        <w:ind w:firstLine="480" w:firstLineChars="200"/>
        <w:rPr>
          <w:rFonts w:hint="eastAsia" w:eastAsia="仿宋_GB2312"/>
          <w:sz w:val="24"/>
        </w:rPr>
      </w:pPr>
      <w:r>
        <w:rPr>
          <w:rFonts w:hint="eastAsia" w:eastAsia="仿宋_GB2312"/>
          <w:sz w:val="24"/>
        </w:rPr>
        <w:t>现场级预警由突发环境事件发生单元的当班班长以上领导（包含班长）向危险源所在车间报告，企业级、社会级预警由应急领导小组向危险源所在车间及各应急救援小组报告。公司内部发布方式：可通过电话、广播系统、对讲机、手机短信、派人通知等形式，发布人员见下表。</w:t>
      </w:r>
    </w:p>
    <w:p>
      <w:pPr>
        <w:adjustRightInd w:val="0"/>
        <w:snapToGrid w:val="0"/>
        <w:spacing w:line="360" w:lineRule="auto"/>
        <w:jc w:val="center"/>
        <w:rPr>
          <w:rFonts w:eastAsiaTheme="minorEastAsia"/>
          <w:b/>
          <w:spacing w:val="10"/>
          <w:szCs w:val="21"/>
        </w:rPr>
      </w:pPr>
      <w:r>
        <w:rPr>
          <w:rFonts w:hint="eastAsia" w:eastAsiaTheme="minorEastAsia"/>
          <w:b/>
          <w:spacing w:val="10"/>
          <w:szCs w:val="21"/>
        </w:rPr>
        <w:t>表4</w:t>
      </w:r>
      <w:r>
        <w:rPr>
          <w:rFonts w:eastAsiaTheme="minorEastAsia"/>
          <w:b/>
          <w:spacing w:val="10"/>
          <w:szCs w:val="21"/>
        </w:rPr>
        <w:t xml:space="preserve">.2-1 </w:t>
      </w:r>
      <w:r>
        <w:rPr>
          <w:rFonts w:hint="eastAsia" w:eastAsiaTheme="minorEastAsia"/>
          <w:b/>
          <w:spacing w:val="10"/>
          <w:szCs w:val="21"/>
        </w:rPr>
        <w:t>公司内部预警发布人员一览表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3681"/>
        <w:gridCol w:w="4554"/>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36" w:hRule="atLeast"/>
          <w:jc w:val="center"/>
        </w:trPr>
        <w:tc>
          <w:tcPr>
            <w:tcW w:w="3681" w:type="dxa"/>
            <w:tcBorders>
              <w:top w:val="single" w:color="auto" w:sz="4" w:space="0"/>
              <w:left w:val="single" w:color="auto" w:sz="4" w:space="0"/>
              <w:bottom w:val="single" w:color="auto" w:sz="6" w:space="0"/>
              <w:right w:val="single" w:color="auto" w:sz="6" w:space="0"/>
            </w:tcBorders>
            <w:vAlign w:val="center"/>
          </w:tcPr>
          <w:p>
            <w:pPr>
              <w:spacing w:line="400" w:lineRule="exact"/>
              <w:jc w:val="center"/>
              <w:rPr>
                <w:rFonts w:eastAsiaTheme="minorEastAsia"/>
                <w:szCs w:val="21"/>
              </w:rPr>
            </w:pPr>
            <w:r>
              <w:rPr>
                <w:rFonts w:eastAsiaTheme="minorEastAsia"/>
                <w:szCs w:val="21"/>
              </w:rPr>
              <w:t>预警级别</w:t>
            </w:r>
          </w:p>
        </w:tc>
        <w:tc>
          <w:tcPr>
            <w:tcW w:w="4554" w:type="dxa"/>
            <w:tcBorders>
              <w:top w:val="single" w:color="auto" w:sz="4" w:space="0"/>
              <w:left w:val="single" w:color="auto" w:sz="6" w:space="0"/>
              <w:bottom w:val="single" w:color="auto" w:sz="6" w:space="0"/>
              <w:right w:val="single" w:color="auto" w:sz="4" w:space="0"/>
            </w:tcBorders>
            <w:vAlign w:val="center"/>
          </w:tcPr>
          <w:p>
            <w:pPr>
              <w:spacing w:line="400" w:lineRule="exact"/>
              <w:jc w:val="center"/>
              <w:rPr>
                <w:rFonts w:eastAsiaTheme="minorEastAsia"/>
                <w:szCs w:val="21"/>
              </w:rPr>
            </w:pPr>
            <w:r>
              <w:rPr>
                <w:rFonts w:eastAsiaTheme="minorEastAsia"/>
                <w:szCs w:val="21"/>
              </w:rPr>
              <w:t>预警信息发布单位/人员</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3681" w:type="dxa"/>
            <w:tcBorders>
              <w:top w:val="single" w:color="auto" w:sz="6" w:space="0"/>
              <w:left w:val="single" w:color="auto" w:sz="4" w:space="0"/>
              <w:bottom w:val="single" w:color="auto" w:sz="6" w:space="0"/>
              <w:right w:val="single" w:color="auto" w:sz="6" w:space="0"/>
            </w:tcBorders>
            <w:vAlign w:val="center"/>
          </w:tcPr>
          <w:p>
            <w:pPr>
              <w:spacing w:line="400" w:lineRule="exact"/>
              <w:jc w:val="center"/>
              <w:rPr>
                <w:rFonts w:eastAsiaTheme="minorEastAsia"/>
                <w:szCs w:val="21"/>
              </w:rPr>
            </w:pPr>
            <w:r>
              <w:rPr>
                <w:rFonts w:eastAsiaTheme="minorEastAsia"/>
                <w:szCs w:val="21"/>
              </w:rPr>
              <w:t>一级预警</w:t>
            </w:r>
          </w:p>
        </w:tc>
        <w:tc>
          <w:tcPr>
            <w:tcW w:w="4554" w:type="dxa"/>
            <w:tcBorders>
              <w:top w:val="single" w:color="auto" w:sz="6" w:space="0"/>
              <w:left w:val="single" w:color="auto" w:sz="6" w:space="0"/>
              <w:bottom w:val="single" w:color="auto" w:sz="6" w:space="0"/>
              <w:right w:val="single" w:color="auto" w:sz="4" w:space="0"/>
            </w:tcBorders>
            <w:vAlign w:val="center"/>
          </w:tcPr>
          <w:p>
            <w:pPr>
              <w:spacing w:line="400" w:lineRule="exact"/>
              <w:jc w:val="center"/>
              <w:rPr>
                <w:rFonts w:eastAsiaTheme="minorEastAsia"/>
                <w:szCs w:val="21"/>
              </w:rPr>
            </w:pPr>
            <w:r>
              <w:rPr>
                <w:rFonts w:hint="eastAsia"/>
              </w:rPr>
              <w:t>应急领导小组/总指挥</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64" w:hRule="atLeast"/>
          <w:jc w:val="center"/>
        </w:trPr>
        <w:tc>
          <w:tcPr>
            <w:tcW w:w="3681" w:type="dxa"/>
            <w:tcBorders>
              <w:top w:val="single" w:color="auto" w:sz="6" w:space="0"/>
              <w:left w:val="single" w:color="auto" w:sz="4" w:space="0"/>
              <w:bottom w:val="single" w:color="auto" w:sz="6" w:space="0"/>
              <w:right w:val="single" w:color="auto" w:sz="6" w:space="0"/>
            </w:tcBorders>
            <w:vAlign w:val="center"/>
          </w:tcPr>
          <w:p>
            <w:pPr>
              <w:spacing w:line="400" w:lineRule="exact"/>
              <w:jc w:val="center"/>
              <w:rPr>
                <w:rFonts w:eastAsiaTheme="minorEastAsia"/>
                <w:szCs w:val="21"/>
              </w:rPr>
            </w:pPr>
            <w:r>
              <w:rPr>
                <w:rFonts w:eastAsiaTheme="minorEastAsia"/>
                <w:szCs w:val="21"/>
              </w:rPr>
              <w:t>二级预警</w:t>
            </w:r>
          </w:p>
        </w:tc>
        <w:tc>
          <w:tcPr>
            <w:tcW w:w="4554" w:type="dxa"/>
            <w:tcBorders>
              <w:top w:val="single" w:color="auto" w:sz="6" w:space="0"/>
              <w:left w:val="single" w:color="auto" w:sz="6" w:space="0"/>
              <w:bottom w:val="single" w:color="auto" w:sz="6" w:space="0"/>
              <w:right w:val="single" w:color="auto" w:sz="4" w:space="0"/>
            </w:tcBorders>
            <w:vAlign w:val="center"/>
          </w:tcPr>
          <w:p>
            <w:pPr>
              <w:spacing w:line="400" w:lineRule="exact"/>
              <w:jc w:val="center"/>
              <w:rPr>
                <w:rFonts w:eastAsiaTheme="minorEastAsia"/>
                <w:szCs w:val="21"/>
              </w:rPr>
            </w:pPr>
            <w:r>
              <w:rPr>
                <w:rFonts w:hint="eastAsia"/>
              </w:rPr>
              <w:t>应急领导小组办公室/办公室主任</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899" w:hRule="atLeast"/>
          <w:jc w:val="center"/>
        </w:trPr>
        <w:tc>
          <w:tcPr>
            <w:tcW w:w="3681" w:type="dxa"/>
            <w:tcBorders>
              <w:top w:val="single" w:color="auto" w:sz="6" w:space="0"/>
              <w:left w:val="single" w:color="auto" w:sz="4" w:space="0"/>
              <w:bottom w:val="single" w:color="auto" w:sz="4" w:space="0"/>
              <w:right w:val="single" w:color="auto" w:sz="6" w:space="0"/>
            </w:tcBorders>
            <w:vAlign w:val="center"/>
          </w:tcPr>
          <w:p>
            <w:pPr>
              <w:spacing w:line="400" w:lineRule="exact"/>
              <w:jc w:val="center"/>
              <w:rPr>
                <w:rFonts w:eastAsiaTheme="minorEastAsia"/>
                <w:szCs w:val="21"/>
              </w:rPr>
            </w:pPr>
            <w:r>
              <w:rPr>
                <w:rFonts w:eastAsiaTheme="minorEastAsia"/>
                <w:szCs w:val="21"/>
              </w:rPr>
              <w:t>三级预警</w:t>
            </w:r>
          </w:p>
        </w:tc>
        <w:tc>
          <w:tcPr>
            <w:tcW w:w="4554" w:type="dxa"/>
            <w:tcBorders>
              <w:top w:val="single" w:color="auto" w:sz="6" w:space="0"/>
              <w:left w:val="single" w:color="auto" w:sz="6" w:space="0"/>
              <w:bottom w:val="single" w:color="auto" w:sz="4" w:space="0"/>
              <w:right w:val="single" w:color="auto" w:sz="4" w:space="0"/>
            </w:tcBorders>
            <w:vAlign w:val="center"/>
          </w:tcPr>
          <w:p>
            <w:pPr>
              <w:spacing w:line="400" w:lineRule="exact"/>
              <w:jc w:val="center"/>
              <w:rPr>
                <w:rFonts w:eastAsiaTheme="minorEastAsia"/>
                <w:szCs w:val="21"/>
              </w:rPr>
            </w:pPr>
            <w:r>
              <w:rPr>
                <w:rFonts w:hint="eastAsia"/>
              </w:rPr>
              <w:t>突发环境事件发生所在车间、仓库等现场人员/当班班长以上领导（含班长）</w:t>
            </w:r>
          </w:p>
        </w:tc>
      </w:tr>
    </w:tbl>
    <w:p>
      <w:pPr>
        <w:pStyle w:val="2"/>
        <w:spacing w:before="240" w:beforeLines="100" w:line="360" w:lineRule="auto"/>
        <w:ind w:firstLine="420"/>
        <w:jc w:val="both"/>
        <w:rPr>
          <w:rFonts w:hint="eastAsia" w:ascii="Times New Roman" w:eastAsia="仿宋_GB2312" w:cs="Times New Roman"/>
          <w:color w:val="auto"/>
          <w:kern w:val="2"/>
        </w:rPr>
      </w:pPr>
    </w:p>
    <w:p>
      <w:pPr>
        <w:pStyle w:val="2"/>
        <w:spacing w:before="240" w:beforeLines="100" w:line="360" w:lineRule="auto"/>
        <w:ind w:firstLine="420"/>
        <w:jc w:val="both"/>
        <w:rPr>
          <w:rFonts w:ascii="Times New Roman" w:eastAsia="仿宋_GB2312" w:cs="Times New Roman"/>
          <w:color w:val="auto"/>
          <w:kern w:val="2"/>
        </w:rPr>
      </w:pPr>
      <w:r>
        <w:rPr>
          <w:rFonts w:hint="eastAsia" w:ascii="Times New Roman" w:eastAsia="仿宋_GB2312" w:cs="Times New Roman"/>
          <w:color w:val="auto"/>
          <w:kern w:val="2"/>
        </w:rPr>
        <w:t>（2）外部报告程序</w:t>
      </w:r>
    </w:p>
    <w:p>
      <w:pPr>
        <w:pStyle w:val="2"/>
        <w:spacing w:line="360" w:lineRule="auto"/>
        <w:ind w:firstLine="420"/>
        <w:jc w:val="both"/>
        <w:rPr>
          <w:rFonts w:ascii="Times New Roman" w:eastAsia="仿宋_GB2312" w:cs="Times New Roman"/>
          <w:color w:val="auto"/>
          <w:kern w:val="2"/>
        </w:rPr>
      </w:pPr>
      <w:r>
        <w:rPr>
          <w:rFonts w:hint="eastAsia" w:ascii="Times New Roman" w:eastAsia="仿宋_GB2312" w:cs="Times New Roman"/>
          <w:color w:val="auto"/>
          <w:kern w:val="2"/>
        </w:rPr>
        <w:t>外部报告程序主要为应急领导小组向外部有关单位报告社会级预警，包括向上级有关部门报告外部救援请求预警，以及由上级部门向环境风险目标报告疏散预警。</w:t>
      </w:r>
    </w:p>
    <w:p>
      <w:pPr>
        <w:pStyle w:val="2"/>
        <w:spacing w:line="360" w:lineRule="auto"/>
        <w:ind w:firstLine="420"/>
        <w:rPr>
          <w:rFonts w:ascii="Times New Roman" w:eastAsia="仿宋_GB2312" w:cs="Times New Roman"/>
          <w:color w:val="auto"/>
          <w:kern w:val="2"/>
        </w:rPr>
      </w:pPr>
      <w:r>
        <w:rPr>
          <w:rFonts w:hint="eastAsia" w:ascii="Times New Roman" w:eastAsia="仿宋_GB2312" w:cs="Times New Roman"/>
          <w:color w:val="auto"/>
          <w:kern w:val="2"/>
        </w:rPr>
        <w:t>（3）事件报告内容</w:t>
      </w:r>
    </w:p>
    <w:p>
      <w:pPr>
        <w:pStyle w:val="2"/>
        <w:spacing w:line="360" w:lineRule="auto"/>
        <w:ind w:firstLine="420"/>
        <w:jc w:val="both"/>
        <w:rPr>
          <w:rFonts w:ascii="Times New Roman" w:eastAsia="仿宋_GB2312" w:cs="Times New Roman"/>
          <w:color w:val="auto"/>
          <w:kern w:val="2"/>
        </w:rPr>
        <w:sectPr>
          <w:footerReference r:id="rId13" w:type="default"/>
          <w:pgSz w:w="11906" w:h="16838"/>
          <w:pgMar w:top="1440" w:right="1797" w:bottom="1440" w:left="1797" w:header="851" w:footer="992" w:gutter="0"/>
          <w:pgNumType w:fmt="decimal"/>
          <w:cols w:space="720" w:num="1"/>
          <w:docGrid w:linePitch="312" w:charSpace="0"/>
        </w:sectPr>
      </w:pPr>
      <w:r>
        <w:rPr>
          <w:rFonts w:hint="eastAsia" w:ascii="Times New Roman" w:eastAsia="仿宋_GB2312" w:cs="Times New Roman"/>
          <w:color w:val="auto"/>
          <w:kern w:val="2"/>
        </w:rPr>
        <w:t>事件报告内容包括向危险源所在现场报告部门、报告时间、可能发生的突发环境事件的类别、起始时间、可能影响范围、预警级别、警示事项、事态发展、相关措施、咨询电话等。事件报告内容见下表。</w:t>
      </w:r>
    </w:p>
    <w:p>
      <w:pPr>
        <w:pStyle w:val="80"/>
        <w:spacing w:before="0" w:beforeAutospacing="0" w:after="0" w:afterAutospacing="0"/>
        <w:ind w:right="0" w:rightChars="0" w:firstLine="0" w:firstLineChars="0"/>
        <w:jc w:val="center"/>
        <w:rPr>
          <w:rStyle w:val="81"/>
          <w:rFonts w:hint="default" w:ascii="Times New Roman" w:hAnsi="Times New Roman" w:cs="Times New Roman" w:eastAsiaTheme="minorEastAsia"/>
          <w:b/>
          <w:color w:val="000000" w:themeColor="text1"/>
          <w:sz w:val="21"/>
          <w:szCs w:val="21"/>
          <w14:textFill>
            <w14:solidFill>
              <w14:schemeClr w14:val="tx1"/>
            </w14:solidFill>
          </w14:textFill>
        </w:rPr>
      </w:pPr>
      <w:r>
        <w:rPr>
          <w:rStyle w:val="81"/>
          <w:rFonts w:hint="default" w:ascii="Times New Roman" w:hAnsi="Times New Roman" w:cs="Times New Roman" w:eastAsiaTheme="minorEastAsia"/>
          <w:b/>
          <w:color w:val="000000" w:themeColor="text1"/>
          <w:sz w:val="21"/>
          <w:szCs w:val="21"/>
          <w14:textFill>
            <w14:solidFill>
              <w14:schemeClr w14:val="tx1"/>
            </w14:solidFill>
          </w14:textFill>
        </w:rPr>
        <w:t>表4.2-2 事件报告内容一览表</w:t>
      </w:r>
    </w:p>
    <w:tbl>
      <w:tblPr>
        <w:tblStyle w:val="32"/>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
        <w:gridCol w:w="1596"/>
        <w:gridCol w:w="984"/>
        <w:gridCol w:w="860"/>
        <w:gridCol w:w="850"/>
        <w:gridCol w:w="1134"/>
        <w:gridCol w:w="2834"/>
        <w:gridCol w:w="1919"/>
        <w:gridCol w:w="22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0" w:type="auto"/>
            <w:tcBorders>
              <w:top w:val="single" w:color="auto" w:sz="4" w:space="0"/>
              <w:left w:val="single" w:color="auto" w:sz="4" w:space="0"/>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事件类别</w:t>
            </w:r>
          </w:p>
        </w:tc>
        <w:tc>
          <w:tcPr>
            <w:tcW w:w="1596"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报告部门</w:t>
            </w:r>
          </w:p>
        </w:tc>
        <w:tc>
          <w:tcPr>
            <w:tcW w:w="98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报告时间</w:t>
            </w:r>
          </w:p>
        </w:tc>
        <w:tc>
          <w:tcPr>
            <w:tcW w:w="860"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事件起始时间</w:t>
            </w:r>
          </w:p>
        </w:tc>
        <w:tc>
          <w:tcPr>
            <w:tcW w:w="850"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可能影响范围</w:t>
            </w:r>
          </w:p>
        </w:tc>
        <w:tc>
          <w:tcPr>
            <w:tcW w:w="113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预警</w:t>
            </w:r>
          </w:p>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级别</w:t>
            </w:r>
          </w:p>
        </w:tc>
        <w:tc>
          <w:tcPr>
            <w:tcW w:w="283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警示事项</w:t>
            </w:r>
          </w:p>
        </w:tc>
        <w:tc>
          <w:tcPr>
            <w:tcW w:w="1919"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事态发展</w:t>
            </w:r>
          </w:p>
        </w:tc>
        <w:tc>
          <w:tcPr>
            <w:tcW w:w="0" w:type="auto"/>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相关措施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0" w:type="auto"/>
            <w:vMerge w:val="restart"/>
            <w:tcBorders>
              <w:top w:val="nil"/>
              <w:left w:val="single" w:color="auto" w:sz="4" w:space="0"/>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火灾、爆炸</w:t>
            </w:r>
          </w:p>
        </w:tc>
        <w:tc>
          <w:tcPr>
            <w:tcW w:w="1596" w:type="dxa"/>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各车间、仓库</w:t>
            </w:r>
          </w:p>
        </w:tc>
        <w:tc>
          <w:tcPr>
            <w:tcW w:w="98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5分钟内</w:t>
            </w:r>
          </w:p>
        </w:tc>
        <w:tc>
          <w:tcPr>
            <w:tcW w:w="860" w:type="dxa"/>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预警条件发生</w:t>
            </w:r>
          </w:p>
        </w:tc>
        <w:tc>
          <w:tcPr>
            <w:tcW w:w="850"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车间</w:t>
            </w:r>
          </w:p>
        </w:tc>
        <w:tc>
          <w:tcPr>
            <w:tcW w:w="113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现场级</w:t>
            </w:r>
          </w:p>
        </w:tc>
        <w:tc>
          <w:tcPr>
            <w:tcW w:w="2834" w:type="dxa"/>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hanging="2"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火警</w:t>
            </w:r>
          </w:p>
        </w:tc>
        <w:tc>
          <w:tcPr>
            <w:tcW w:w="1919"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是否可能发展为企业级</w:t>
            </w:r>
          </w:p>
        </w:tc>
        <w:tc>
          <w:tcPr>
            <w:tcW w:w="0" w:type="auto"/>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消防器材准备；火警报警准备；应急人员准备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0" w:type="auto"/>
            <w:vMerge w:val="continue"/>
            <w:tcBorders>
              <w:top w:val="nil"/>
              <w:left w:val="single" w:color="auto" w:sz="4" w:space="0"/>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596"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98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5分钟内</w:t>
            </w:r>
          </w:p>
        </w:tc>
        <w:tc>
          <w:tcPr>
            <w:tcW w:w="860"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850"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厂区</w:t>
            </w:r>
          </w:p>
        </w:tc>
        <w:tc>
          <w:tcPr>
            <w:tcW w:w="113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企业级</w:t>
            </w:r>
          </w:p>
        </w:tc>
        <w:tc>
          <w:tcPr>
            <w:tcW w:w="2834"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919"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是否可能发展为社会级</w:t>
            </w:r>
          </w:p>
        </w:tc>
        <w:tc>
          <w:tcPr>
            <w:tcW w:w="0" w:type="auto"/>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0" w:type="auto"/>
            <w:vMerge w:val="continue"/>
            <w:tcBorders>
              <w:top w:val="nil"/>
              <w:left w:val="single" w:color="auto" w:sz="4" w:space="0"/>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596"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98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5分钟内</w:t>
            </w:r>
          </w:p>
        </w:tc>
        <w:tc>
          <w:tcPr>
            <w:tcW w:w="860"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850"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周边</w:t>
            </w:r>
          </w:p>
        </w:tc>
        <w:tc>
          <w:tcPr>
            <w:tcW w:w="113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社会级</w:t>
            </w:r>
          </w:p>
        </w:tc>
        <w:tc>
          <w:tcPr>
            <w:tcW w:w="2834"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919"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是否可能继续恶化</w:t>
            </w:r>
          </w:p>
        </w:tc>
        <w:tc>
          <w:tcPr>
            <w:tcW w:w="0" w:type="auto"/>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0" w:type="auto"/>
            <w:vMerge w:val="restart"/>
            <w:tcBorders>
              <w:top w:val="nil"/>
              <w:left w:val="single" w:color="auto" w:sz="4" w:space="0"/>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泄漏</w:t>
            </w:r>
          </w:p>
        </w:tc>
        <w:tc>
          <w:tcPr>
            <w:tcW w:w="1596" w:type="dxa"/>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各车间、仓库、危废暂存仓</w:t>
            </w:r>
          </w:p>
        </w:tc>
        <w:tc>
          <w:tcPr>
            <w:tcW w:w="98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5分钟内</w:t>
            </w:r>
          </w:p>
        </w:tc>
        <w:tc>
          <w:tcPr>
            <w:tcW w:w="860" w:type="dxa"/>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预警条件发生</w:t>
            </w:r>
          </w:p>
        </w:tc>
        <w:tc>
          <w:tcPr>
            <w:tcW w:w="850"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车间</w:t>
            </w:r>
          </w:p>
        </w:tc>
        <w:tc>
          <w:tcPr>
            <w:tcW w:w="113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现场级</w:t>
            </w:r>
          </w:p>
        </w:tc>
        <w:tc>
          <w:tcPr>
            <w:tcW w:w="2834" w:type="dxa"/>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各生产车间、仓库中的化学品原料、产品等泄漏；危废暂存仓废物泄漏；</w:t>
            </w:r>
          </w:p>
        </w:tc>
        <w:tc>
          <w:tcPr>
            <w:tcW w:w="1919"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是否可能发展为企业级</w:t>
            </w:r>
          </w:p>
        </w:tc>
        <w:tc>
          <w:tcPr>
            <w:tcW w:w="0" w:type="auto"/>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堵漏器材准备；应急泵、事故应急池准备；应急救援专业小组准备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0" w:type="auto"/>
            <w:vMerge w:val="continue"/>
            <w:tcBorders>
              <w:top w:val="nil"/>
              <w:left w:val="single" w:color="auto" w:sz="4" w:space="0"/>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596"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98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5分钟内</w:t>
            </w:r>
          </w:p>
        </w:tc>
        <w:tc>
          <w:tcPr>
            <w:tcW w:w="860"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850"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厂区</w:t>
            </w:r>
          </w:p>
        </w:tc>
        <w:tc>
          <w:tcPr>
            <w:tcW w:w="113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企业级</w:t>
            </w:r>
          </w:p>
        </w:tc>
        <w:tc>
          <w:tcPr>
            <w:tcW w:w="2834"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919"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是否可能发展为社会级</w:t>
            </w:r>
          </w:p>
        </w:tc>
        <w:tc>
          <w:tcPr>
            <w:tcW w:w="0" w:type="auto"/>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0" w:type="auto"/>
            <w:vMerge w:val="continue"/>
            <w:tcBorders>
              <w:top w:val="nil"/>
              <w:left w:val="single" w:color="auto" w:sz="4" w:space="0"/>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596"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98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5分钟内</w:t>
            </w:r>
          </w:p>
        </w:tc>
        <w:tc>
          <w:tcPr>
            <w:tcW w:w="860"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850"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周边</w:t>
            </w:r>
          </w:p>
        </w:tc>
        <w:tc>
          <w:tcPr>
            <w:tcW w:w="113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社会级</w:t>
            </w:r>
          </w:p>
        </w:tc>
        <w:tc>
          <w:tcPr>
            <w:tcW w:w="2834"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919"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是否可能继续恶化</w:t>
            </w:r>
          </w:p>
        </w:tc>
        <w:tc>
          <w:tcPr>
            <w:tcW w:w="0" w:type="auto"/>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0" w:type="auto"/>
            <w:vMerge w:val="restart"/>
            <w:tcBorders>
              <w:top w:val="nil"/>
              <w:left w:val="single" w:color="auto" w:sz="4" w:space="0"/>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污染物事故排放</w:t>
            </w:r>
          </w:p>
        </w:tc>
        <w:tc>
          <w:tcPr>
            <w:tcW w:w="1596" w:type="dxa"/>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生产车间废气收集及处理系统</w:t>
            </w:r>
          </w:p>
        </w:tc>
        <w:tc>
          <w:tcPr>
            <w:tcW w:w="98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5分钟内</w:t>
            </w:r>
          </w:p>
        </w:tc>
        <w:tc>
          <w:tcPr>
            <w:tcW w:w="860" w:type="dxa"/>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预警条件发生</w:t>
            </w:r>
          </w:p>
        </w:tc>
        <w:tc>
          <w:tcPr>
            <w:tcW w:w="850"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车间</w:t>
            </w:r>
          </w:p>
        </w:tc>
        <w:tc>
          <w:tcPr>
            <w:tcW w:w="113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现场级</w:t>
            </w:r>
          </w:p>
        </w:tc>
        <w:tc>
          <w:tcPr>
            <w:tcW w:w="2834" w:type="dxa"/>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废气处理设施事故性排放</w:t>
            </w:r>
          </w:p>
        </w:tc>
        <w:tc>
          <w:tcPr>
            <w:tcW w:w="1919"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是否可能发展为企业级</w:t>
            </w:r>
          </w:p>
        </w:tc>
        <w:tc>
          <w:tcPr>
            <w:tcW w:w="0" w:type="auto"/>
            <w:vMerge w:val="restart"/>
            <w:tcBorders>
              <w:top w:val="nil"/>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相关车间停车准备；堵漏器材准备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0" w:type="auto"/>
            <w:vMerge w:val="continue"/>
            <w:tcBorders>
              <w:top w:val="nil"/>
              <w:left w:val="single" w:color="auto" w:sz="4" w:space="0"/>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596"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98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5分钟内</w:t>
            </w:r>
          </w:p>
        </w:tc>
        <w:tc>
          <w:tcPr>
            <w:tcW w:w="860"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850"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厂区</w:t>
            </w:r>
          </w:p>
        </w:tc>
        <w:tc>
          <w:tcPr>
            <w:tcW w:w="113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企业级</w:t>
            </w:r>
          </w:p>
        </w:tc>
        <w:tc>
          <w:tcPr>
            <w:tcW w:w="2834"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919"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是否可能发展为社会级</w:t>
            </w:r>
          </w:p>
        </w:tc>
        <w:tc>
          <w:tcPr>
            <w:tcW w:w="0" w:type="auto"/>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0" w:type="auto"/>
            <w:vMerge w:val="continue"/>
            <w:tcBorders>
              <w:top w:val="nil"/>
              <w:left w:val="single" w:color="auto" w:sz="4" w:space="0"/>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596"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98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5分钟内</w:t>
            </w:r>
          </w:p>
        </w:tc>
        <w:tc>
          <w:tcPr>
            <w:tcW w:w="860"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850"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周边</w:t>
            </w:r>
          </w:p>
        </w:tc>
        <w:tc>
          <w:tcPr>
            <w:tcW w:w="1134"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社会级</w:t>
            </w:r>
          </w:p>
        </w:tc>
        <w:tc>
          <w:tcPr>
            <w:tcW w:w="2834" w:type="dxa"/>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c>
          <w:tcPr>
            <w:tcW w:w="1919" w:type="dxa"/>
            <w:tcBorders>
              <w:top w:val="single" w:color="auto" w:sz="4" w:space="0"/>
              <w:left w:val="nil"/>
              <w:bottom w:val="single" w:color="auto" w:sz="4" w:space="0"/>
              <w:right w:val="single" w:color="auto" w:sz="4" w:space="0"/>
            </w:tcBorders>
            <w:vAlign w:val="center"/>
          </w:tcPr>
          <w:p>
            <w:pPr>
              <w:pStyle w:val="80"/>
              <w:spacing w:before="0" w:beforeAutospacing="0" w:after="0" w:afterAutospacing="0" w:line="240" w:lineRule="exact"/>
              <w:ind w:right="0" w:rightChars="0" w:firstLine="0" w:firstLineChars="0"/>
              <w:jc w:val="center"/>
              <w:rPr>
                <w:rFonts w:ascii="Times New Roman" w:hAnsi="Times New Roman" w:cs="Times New Roman" w:eastAsiaTheme="minorEastAsia"/>
                <w:sz w:val="21"/>
                <w:szCs w:val="21"/>
              </w:rPr>
            </w:pPr>
            <w:r>
              <w:rPr>
                <w:rFonts w:ascii="Times New Roman" w:hAnsi="Times New Roman" w:cs="Times New Roman" w:eastAsiaTheme="minorEastAsia"/>
                <w:sz w:val="21"/>
                <w:szCs w:val="21"/>
              </w:rPr>
              <w:t>是否可能继续恶化</w:t>
            </w:r>
          </w:p>
        </w:tc>
        <w:tc>
          <w:tcPr>
            <w:tcW w:w="0" w:type="auto"/>
            <w:vMerge w:val="continue"/>
            <w:tcBorders>
              <w:top w:val="nil"/>
              <w:left w:val="nil"/>
              <w:bottom w:val="single" w:color="auto" w:sz="4" w:space="0"/>
              <w:right w:val="single" w:color="auto" w:sz="4" w:space="0"/>
            </w:tcBorders>
            <w:vAlign w:val="center"/>
          </w:tcPr>
          <w:p>
            <w:pPr>
              <w:widowControl/>
              <w:spacing w:line="240" w:lineRule="exact"/>
              <w:jc w:val="center"/>
              <w:rPr>
                <w:rFonts w:eastAsiaTheme="minorEastAsia"/>
                <w:szCs w:val="21"/>
              </w:rPr>
            </w:pPr>
          </w:p>
        </w:tc>
      </w:tr>
    </w:tbl>
    <w:p>
      <w:pPr>
        <w:pStyle w:val="2"/>
        <w:spacing w:line="360" w:lineRule="auto"/>
        <w:ind w:firstLine="420"/>
        <w:jc w:val="both"/>
        <w:rPr>
          <w:rFonts w:ascii="Times New Roman" w:eastAsia="仿宋_GB2312" w:cs="Times New Roman"/>
          <w:color w:val="auto"/>
          <w:kern w:val="2"/>
        </w:rPr>
        <w:sectPr>
          <w:pgSz w:w="16838" w:h="11906" w:orient="landscape"/>
          <w:pgMar w:top="1440" w:right="1800" w:bottom="1440" w:left="1800" w:header="851" w:footer="992" w:gutter="0"/>
          <w:pgNumType w:fmt="decimal"/>
          <w:cols w:space="720" w:num="1"/>
          <w:docGrid w:linePitch="312" w:charSpace="0"/>
        </w:sectPr>
      </w:pPr>
    </w:p>
    <w:p>
      <w:pPr>
        <w:spacing w:before="120" w:beforeLines="50" w:line="360" w:lineRule="auto"/>
        <w:outlineLvl w:val="2"/>
        <w:rPr>
          <w:rFonts w:eastAsia="仿宋_GB2312"/>
          <w:b/>
          <w:sz w:val="30"/>
          <w:szCs w:val="30"/>
        </w:rPr>
      </w:pPr>
      <w:bookmarkStart w:id="71" w:name="_Toc19186"/>
      <w:bookmarkStart w:id="72" w:name="_Toc480812160"/>
      <w:r>
        <w:rPr>
          <w:rFonts w:hint="eastAsia" w:eastAsia="仿宋_GB2312"/>
          <w:b/>
          <w:sz w:val="30"/>
          <w:szCs w:val="30"/>
        </w:rPr>
        <w:t>4</w:t>
      </w:r>
      <w:r>
        <w:rPr>
          <w:rFonts w:eastAsia="仿宋_GB2312"/>
          <w:b/>
          <w:sz w:val="30"/>
          <w:szCs w:val="30"/>
        </w:rPr>
        <w:t>.</w:t>
      </w:r>
      <w:r>
        <w:rPr>
          <w:rFonts w:hint="eastAsia" w:eastAsia="仿宋_GB2312"/>
          <w:b/>
          <w:sz w:val="30"/>
          <w:szCs w:val="30"/>
        </w:rPr>
        <w:t>2</w:t>
      </w:r>
      <w:r>
        <w:rPr>
          <w:rFonts w:eastAsia="仿宋_GB2312"/>
          <w:b/>
          <w:sz w:val="30"/>
          <w:szCs w:val="30"/>
        </w:rPr>
        <w:t>.</w:t>
      </w:r>
      <w:r>
        <w:rPr>
          <w:rFonts w:hint="eastAsia" w:eastAsia="仿宋_GB2312"/>
          <w:b/>
          <w:sz w:val="30"/>
          <w:szCs w:val="30"/>
        </w:rPr>
        <w:t>3</w:t>
      </w:r>
      <w:r>
        <w:rPr>
          <w:rFonts w:eastAsia="仿宋_GB2312"/>
          <w:b/>
          <w:sz w:val="30"/>
          <w:szCs w:val="30"/>
        </w:rPr>
        <w:t>预警行动</w:t>
      </w:r>
      <w:bookmarkEnd w:id="71"/>
      <w:bookmarkEnd w:id="72"/>
    </w:p>
    <w:p>
      <w:pPr>
        <w:spacing w:before="120" w:beforeLines="50" w:line="360" w:lineRule="auto"/>
        <w:ind w:firstLine="480" w:firstLineChars="200"/>
        <w:rPr>
          <w:rFonts w:eastAsia="仿宋_GB2312"/>
          <w:sz w:val="24"/>
        </w:rPr>
      </w:pPr>
      <w:r>
        <w:rPr>
          <w:rFonts w:hint="eastAsia" w:eastAsia="仿宋_GB2312"/>
          <w:sz w:val="24"/>
        </w:rPr>
        <w:t>进入预警状态后，采取如下措施：</w:t>
      </w:r>
    </w:p>
    <w:p>
      <w:pPr>
        <w:spacing w:before="120" w:beforeLines="50" w:line="360" w:lineRule="auto"/>
        <w:ind w:firstLine="480" w:firstLineChars="200"/>
        <w:rPr>
          <w:rFonts w:eastAsia="仿宋_GB2312"/>
          <w:sz w:val="24"/>
        </w:rPr>
      </w:pPr>
      <w:r>
        <w:rPr>
          <w:rFonts w:hint="eastAsia" w:eastAsia="仿宋_GB2312"/>
          <w:sz w:val="24"/>
        </w:rPr>
        <w:t>（1）立即启动相关应急预案；</w:t>
      </w:r>
    </w:p>
    <w:p>
      <w:pPr>
        <w:spacing w:before="120" w:beforeLines="50" w:line="360" w:lineRule="auto"/>
        <w:ind w:firstLine="480" w:firstLineChars="200"/>
        <w:rPr>
          <w:rFonts w:eastAsia="仿宋_GB2312"/>
          <w:sz w:val="24"/>
        </w:rPr>
      </w:pPr>
      <w:r>
        <w:rPr>
          <w:rFonts w:hint="eastAsia" w:eastAsia="仿宋_GB2312"/>
          <w:sz w:val="24"/>
        </w:rPr>
        <w:t>（2）发布预警公告：事故发生后首先按照指挥部的命令通过电话、警铃或广播通知全厂人员，根据危险等级由对应的部门发布相应的预警通知；</w:t>
      </w:r>
    </w:p>
    <w:p>
      <w:pPr>
        <w:spacing w:before="120" w:beforeLines="50" w:line="360" w:lineRule="auto"/>
        <w:ind w:firstLine="480" w:firstLineChars="200"/>
        <w:rPr>
          <w:rFonts w:eastAsia="仿宋_GB2312"/>
          <w:sz w:val="24"/>
        </w:rPr>
      </w:pPr>
      <w:r>
        <w:rPr>
          <w:rFonts w:hint="eastAsia" w:eastAsia="仿宋_GB2312"/>
          <w:sz w:val="24"/>
        </w:rPr>
        <w:t>（3）抢险组及应急救援队伍应立即进入备战状态，随时待命，现场负责人及监测人员根据事故变化动态、发展及监测结果，及时向指挥部领导报告危险情况；</w:t>
      </w:r>
    </w:p>
    <w:p>
      <w:pPr>
        <w:spacing w:before="120" w:beforeLines="50" w:line="360" w:lineRule="auto"/>
        <w:ind w:firstLine="480" w:firstLineChars="200"/>
        <w:rPr>
          <w:rFonts w:eastAsia="仿宋_GB2312"/>
          <w:sz w:val="24"/>
        </w:rPr>
      </w:pPr>
      <w:r>
        <w:rPr>
          <w:rFonts w:hint="eastAsia" w:eastAsia="仿宋_GB2312"/>
          <w:sz w:val="24"/>
        </w:rPr>
        <w:t>（4）转移、撤离或者疏散可能受到影响的人员，并进行妥善安置；</w:t>
      </w:r>
    </w:p>
    <w:p>
      <w:pPr>
        <w:spacing w:before="120" w:beforeLines="50" w:line="360" w:lineRule="auto"/>
        <w:ind w:firstLine="480" w:firstLineChars="200"/>
        <w:rPr>
          <w:rFonts w:eastAsia="仿宋_GB2312"/>
          <w:sz w:val="24"/>
        </w:rPr>
      </w:pPr>
      <w:r>
        <w:rPr>
          <w:rFonts w:hint="eastAsia" w:eastAsia="仿宋_GB2312"/>
          <w:sz w:val="24"/>
        </w:rPr>
        <w:t>（5）在事故发生一定范围内根据需要迅速设立危险警示牌（或设置隔离带），禁止与事故无关人员进入，避免造成不必要的危害；</w:t>
      </w:r>
    </w:p>
    <w:p>
      <w:pPr>
        <w:spacing w:before="120" w:beforeLines="50" w:line="360" w:lineRule="auto"/>
        <w:ind w:firstLine="480" w:firstLineChars="200"/>
        <w:rPr>
          <w:rFonts w:eastAsia="仿宋_GB2312"/>
          <w:sz w:val="24"/>
        </w:rPr>
      </w:pPr>
      <w:r>
        <w:rPr>
          <w:rFonts w:hint="eastAsia" w:eastAsia="仿宋_GB2312"/>
          <w:sz w:val="24"/>
        </w:rPr>
        <w:t>（6）应急物资准备，根据预警级别和内容，后勤保障组随时准备充足的应急物资；</w:t>
      </w:r>
    </w:p>
    <w:p>
      <w:pPr>
        <w:spacing w:before="120" w:beforeLines="50" w:line="360" w:lineRule="auto"/>
        <w:ind w:firstLine="480" w:firstLineChars="200"/>
        <w:rPr>
          <w:rFonts w:eastAsia="仿宋_GB2312"/>
          <w:sz w:val="24"/>
        </w:rPr>
      </w:pPr>
      <w:r>
        <w:rPr>
          <w:rFonts w:hint="eastAsia" w:eastAsia="仿宋_GB2312"/>
          <w:sz w:val="24"/>
        </w:rPr>
        <w:t>（7）对可能受到影响的设备、容器进行加固、转移或清空等，预防事件发生。</w:t>
      </w:r>
    </w:p>
    <w:p>
      <w:pPr>
        <w:spacing w:before="120" w:beforeLines="50" w:line="360" w:lineRule="auto"/>
        <w:outlineLvl w:val="1"/>
        <w:rPr>
          <w:rFonts w:eastAsia="仿宋_GB2312"/>
          <w:b/>
          <w:sz w:val="32"/>
          <w:szCs w:val="32"/>
        </w:rPr>
      </w:pPr>
      <w:bookmarkStart w:id="73" w:name="_Toc31179"/>
      <w:bookmarkStart w:id="74" w:name="_Toc480812161"/>
      <w:r>
        <w:rPr>
          <w:rFonts w:hint="eastAsia" w:eastAsia="仿宋_GB2312"/>
          <w:b/>
          <w:sz w:val="32"/>
          <w:szCs w:val="32"/>
        </w:rPr>
        <w:t>4.3</w:t>
      </w:r>
      <w:r>
        <w:rPr>
          <w:rFonts w:eastAsia="仿宋_GB2312"/>
          <w:b/>
          <w:sz w:val="32"/>
          <w:szCs w:val="32"/>
        </w:rPr>
        <w:t>预警解除</w:t>
      </w:r>
      <w:bookmarkEnd w:id="73"/>
      <w:bookmarkEnd w:id="74"/>
    </w:p>
    <w:p>
      <w:pPr>
        <w:spacing w:before="120" w:beforeLines="50" w:line="360" w:lineRule="auto"/>
        <w:ind w:firstLine="480" w:firstLineChars="200"/>
        <w:rPr>
          <w:rFonts w:eastAsia="仿宋_GB2312"/>
          <w:sz w:val="24"/>
        </w:rPr>
      </w:pPr>
      <w:r>
        <w:rPr>
          <w:rFonts w:hint="eastAsia" w:eastAsia="仿宋_GB2312"/>
          <w:sz w:val="24"/>
        </w:rPr>
        <w:t>根据事态的发展情况和采取措施的效果，紧急情况结束后，由预警发布部门解除预警。</w:t>
      </w:r>
    </w:p>
    <w:p>
      <w:pPr>
        <w:pStyle w:val="2"/>
        <w:sectPr>
          <w:pgSz w:w="11906" w:h="16838"/>
          <w:pgMar w:top="1440" w:right="1797" w:bottom="1440" w:left="1797" w:header="851" w:footer="992" w:gutter="0"/>
          <w:pgNumType w:fmt="decimal"/>
          <w:cols w:space="720" w:num="1"/>
          <w:docGrid w:linePitch="312" w:charSpace="0"/>
        </w:sectPr>
      </w:pPr>
    </w:p>
    <w:p>
      <w:pPr>
        <w:spacing w:before="360" w:beforeLines="150" w:after="240" w:afterLines="100" w:line="360" w:lineRule="auto"/>
        <w:jc w:val="center"/>
        <w:outlineLvl w:val="0"/>
        <w:rPr>
          <w:b/>
          <w:sz w:val="36"/>
          <w:szCs w:val="36"/>
        </w:rPr>
      </w:pPr>
      <w:bookmarkStart w:id="75" w:name="_Toc29997"/>
      <w:r>
        <w:rPr>
          <w:rFonts w:hint="eastAsia"/>
          <w:b/>
          <w:sz w:val="36"/>
          <w:szCs w:val="36"/>
        </w:rPr>
        <w:t>5</w:t>
      </w:r>
      <w:r>
        <w:rPr>
          <w:b/>
          <w:sz w:val="36"/>
          <w:szCs w:val="36"/>
        </w:rPr>
        <w:t xml:space="preserve"> 应急响应</w:t>
      </w:r>
      <w:bookmarkEnd w:id="75"/>
    </w:p>
    <w:p>
      <w:pPr>
        <w:spacing w:before="120" w:beforeLines="50" w:line="360" w:lineRule="auto"/>
        <w:outlineLvl w:val="1"/>
        <w:rPr>
          <w:b/>
          <w:sz w:val="30"/>
          <w:szCs w:val="30"/>
        </w:rPr>
      </w:pPr>
      <w:bookmarkStart w:id="76" w:name="_Toc18355"/>
      <w:r>
        <w:rPr>
          <w:rFonts w:hint="eastAsia"/>
          <w:b/>
          <w:sz w:val="30"/>
          <w:szCs w:val="30"/>
        </w:rPr>
        <w:t>5</w:t>
      </w:r>
      <w:r>
        <w:rPr>
          <w:b/>
          <w:sz w:val="30"/>
          <w:szCs w:val="30"/>
        </w:rPr>
        <w:t>.1</w:t>
      </w:r>
      <w:r>
        <w:rPr>
          <w:rFonts w:hint="eastAsia"/>
          <w:b/>
          <w:sz w:val="30"/>
          <w:szCs w:val="30"/>
        </w:rPr>
        <w:t>分级响应程序</w:t>
      </w:r>
      <w:bookmarkEnd w:id="76"/>
    </w:p>
    <w:p>
      <w:pPr>
        <w:spacing w:before="120" w:beforeLines="50" w:line="360" w:lineRule="auto"/>
        <w:ind w:firstLine="480" w:firstLineChars="200"/>
        <w:rPr>
          <w:rFonts w:eastAsia="仿宋_GB2312"/>
          <w:sz w:val="24"/>
        </w:rPr>
      </w:pPr>
      <w:r>
        <w:rPr>
          <w:rFonts w:eastAsia="仿宋_GB2312"/>
          <w:sz w:val="24"/>
        </w:rPr>
        <w:t>应急响应是事故发生后采取的应急与救援行动。包括事故的报警与通报，应急指挥和协调、人员的紧急疏散、急救与医疗、环境应急处置措施、信息发布等。应急响应的目的是尽可能地控制和消除突发环境事故对人员的伤害和对环境的污染。</w:t>
      </w:r>
    </w:p>
    <w:p>
      <w:pPr>
        <w:spacing w:before="120" w:beforeLines="50" w:line="360" w:lineRule="auto"/>
        <w:outlineLvl w:val="2"/>
        <w:rPr>
          <w:b/>
          <w:sz w:val="28"/>
          <w:szCs w:val="28"/>
        </w:rPr>
      </w:pPr>
      <w:bookmarkStart w:id="77" w:name="_Toc11471"/>
      <w:r>
        <w:rPr>
          <w:rFonts w:hint="eastAsia"/>
          <w:b/>
          <w:sz w:val="28"/>
          <w:szCs w:val="28"/>
        </w:rPr>
        <w:t>5</w:t>
      </w:r>
      <w:r>
        <w:rPr>
          <w:b/>
          <w:sz w:val="28"/>
          <w:szCs w:val="28"/>
        </w:rPr>
        <w:t>.1.1</w:t>
      </w:r>
      <w:r>
        <w:rPr>
          <w:rFonts w:hint="eastAsia"/>
          <w:b/>
          <w:sz w:val="28"/>
          <w:szCs w:val="28"/>
        </w:rPr>
        <w:t>应急响应分级</w:t>
      </w:r>
      <w:bookmarkEnd w:id="77"/>
    </w:p>
    <w:p>
      <w:pPr>
        <w:spacing w:before="120" w:beforeLines="50" w:line="360" w:lineRule="auto"/>
        <w:ind w:firstLine="480" w:firstLineChars="200"/>
        <w:rPr>
          <w:rFonts w:eastAsia="仿宋_GB2312"/>
          <w:sz w:val="24"/>
        </w:rPr>
      </w:pPr>
      <w:r>
        <w:rPr>
          <w:rFonts w:eastAsia="仿宋_GB2312"/>
          <w:sz w:val="24"/>
        </w:rPr>
        <w:t>事故发生后，应根据环境污染事故类型、危险及危害程度、人员涉险情况及有无次生灾害和二次污染等情况决定启动级别。</w:t>
      </w:r>
    </w:p>
    <w:p>
      <w:pPr>
        <w:spacing w:before="120" w:beforeLines="50" w:line="360" w:lineRule="auto"/>
        <w:outlineLvl w:val="3"/>
        <w:rPr>
          <w:b/>
          <w:sz w:val="28"/>
          <w:szCs w:val="28"/>
        </w:rPr>
      </w:pPr>
      <w:r>
        <w:rPr>
          <w:rFonts w:hint="eastAsia"/>
          <w:b/>
          <w:sz w:val="28"/>
          <w:szCs w:val="28"/>
        </w:rPr>
        <w:t>5</w:t>
      </w:r>
      <w:r>
        <w:rPr>
          <w:b/>
          <w:sz w:val="28"/>
          <w:szCs w:val="28"/>
        </w:rPr>
        <w:t>.1.1.1三级应急响应</w:t>
      </w:r>
    </w:p>
    <w:p>
      <w:pPr>
        <w:spacing w:before="120" w:beforeLines="50" w:line="360" w:lineRule="auto"/>
        <w:ind w:firstLine="480" w:firstLineChars="200"/>
        <w:rPr>
          <w:rFonts w:eastAsia="仿宋_GB2312"/>
          <w:sz w:val="24"/>
        </w:rPr>
      </w:pPr>
      <w:r>
        <w:rPr>
          <w:rFonts w:eastAsia="仿宋_GB2312"/>
          <w:sz w:val="24"/>
        </w:rPr>
        <w:t>当发生</w:t>
      </w:r>
      <w:r>
        <w:rPr>
          <w:rFonts w:hint="eastAsia" w:eastAsia="仿宋_GB2312"/>
          <w:sz w:val="24"/>
        </w:rPr>
        <w:t>车间级</w:t>
      </w:r>
      <w:r>
        <w:rPr>
          <w:rFonts w:eastAsia="仿宋_GB2312"/>
          <w:sz w:val="24"/>
        </w:rPr>
        <w:t>突发环境事件时，由事故发生企业应急领导小组按事故类型启动</w:t>
      </w:r>
      <w:r>
        <w:rPr>
          <w:rFonts w:hint="eastAsia" w:eastAsia="仿宋_GB2312"/>
          <w:sz w:val="24"/>
        </w:rPr>
        <w:t>车间级</w:t>
      </w:r>
      <w:r>
        <w:rPr>
          <w:rFonts w:eastAsia="仿宋_GB2312"/>
          <w:sz w:val="24"/>
        </w:rPr>
        <w:t>应急预案，由企业应急领导小组总指挥长通知企业应急小组立即开展应急工作，并上报公司突发环境事件应急领导小组办公室。</w:t>
      </w:r>
    </w:p>
    <w:p>
      <w:pPr>
        <w:spacing w:before="120" w:beforeLines="50" w:line="360" w:lineRule="auto"/>
        <w:outlineLvl w:val="3"/>
        <w:rPr>
          <w:b/>
          <w:sz w:val="28"/>
          <w:szCs w:val="28"/>
        </w:rPr>
      </w:pPr>
      <w:r>
        <w:rPr>
          <w:rFonts w:hint="eastAsia"/>
          <w:b/>
          <w:sz w:val="28"/>
          <w:szCs w:val="28"/>
        </w:rPr>
        <w:t>5</w:t>
      </w:r>
      <w:r>
        <w:rPr>
          <w:b/>
          <w:sz w:val="28"/>
          <w:szCs w:val="28"/>
        </w:rPr>
        <w:t>.1.1.2 二级应急响应</w:t>
      </w:r>
    </w:p>
    <w:p>
      <w:pPr>
        <w:spacing w:before="120" w:beforeLines="50" w:line="360" w:lineRule="auto"/>
        <w:ind w:firstLine="480" w:firstLineChars="200"/>
        <w:rPr>
          <w:rFonts w:eastAsia="仿宋_GB2312"/>
          <w:sz w:val="24"/>
        </w:rPr>
      </w:pPr>
      <w:r>
        <w:rPr>
          <w:rFonts w:eastAsia="仿宋_GB2312"/>
          <w:sz w:val="24"/>
        </w:rPr>
        <w:t>当发生</w:t>
      </w:r>
      <w:r>
        <w:rPr>
          <w:rFonts w:hint="eastAsia" w:eastAsia="仿宋_GB2312"/>
          <w:sz w:val="24"/>
        </w:rPr>
        <w:t>厂区级</w:t>
      </w:r>
      <w:r>
        <w:rPr>
          <w:rFonts w:eastAsia="仿宋_GB2312"/>
          <w:sz w:val="24"/>
        </w:rPr>
        <w:t>突发环境事件时，由公司突发环境事件应急领导小组办公室按事故类型启动</w:t>
      </w:r>
      <w:r>
        <w:rPr>
          <w:rFonts w:hint="eastAsia" w:eastAsia="仿宋_GB2312"/>
          <w:sz w:val="24"/>
        </w:rPr>
        <w:t>厂区级</w:t>
      </w:r>
      <w:r>
        <w:rPr>
          <w:rFonts w:eastAsia="仿宋_GB2312"/>
          <w:sz w:val="24"/>
        </w:rPr>
        <w:t>应急预案，公司应急领导小组通知公司应急小组迅速到位，公司全体人员立即开展应急工作，并向</w:t>
      </w:r>
      <w:r>
        <w:rPr>
          <w:rFonts w:hint="eastAsia" w:eastAsia="仿宋_GB2312"/>
          <w:sz w:val="24"/>
          <w:lang w:eastAsia="zh-CN"/>
        </w:rPr>
        <w:t>开发区管委会</w:t>
      </w:r>
      <w:r>
        <w:rPr>
          <w:rFonts w:hint="eastAsia" w:eastAsia="仿宋_GB2312"/>
          <w:sz w:val="24"/>
        </w:rPr>
        <w:t>及韶关市生态环境局翁源分局</w:t>
      </w:r>
      <w:r>
        <w:rPr>
          <w:rFonts w:eastAsia="仿宋_GB2312"/>
          <w:sz w:val="24"/>
        </w:rPr>
        <w:t>汇报。</w:t>
      </w:r>
    </w:p>
    <w:p>
      <w:pPr>
        <w:spacing w:before="120" w:beforeLines="50" w:line="360" w:lineRule="auto"/>
        <w:outlineLvl w:val="3"/>
        <w:rPr>
          <w:b/>
          <w:sz w:val="28"/>
          <w:szCs w:val="28"/>
        </w:rPr>
      </w:pPr>
      <w:r>
        <w:rPr>
          <w:rFonts w:hint="eastAsia"/>
          <w:b/>
          <w:sz w:val="28"/>
          <w:szCs w:val="28"/>
        </w:rPr>
        <w:t>5</w:t>
      </w:r>
      <w:r>
        <w:rPr>
          <w:b/>
          <w:sz w:val="28"/>
          <w:szCs w:val="28"/>
        </w:rPr>
        <w:t>.1.1.3一级应急响应</w:t>
      </w:r>
    </w:p>
    <w:p>
      <w:pPr>
        <w:spacing w:before="120" w:beforeLines="50" w:line="360" w:lineRule="auto"/>
        <w:ind w:firstLine="480" w:firstLineChars="200"/>
        <w:rPr>
          <w:rFonts w:eastAsia="仿宋_GB2312"/>
          <w:sz w:val="24"/>
        </w:rPr>
      </w:pPr>
      <w:r>
        <w:rPr>
          <w:rFonts w:eastAsia="仿宋_GB2312"/>
          <w:sz w:val="24"/>
        </w:rPr>
        <w:t>当发生社会级突发环境事件时，由公司突发环境事件应急领导小组启动相应的应急预案，由公司突发环境事件应急领导小组向外部救援机构请求支援，向</w:t>
      </w:r>
      <w:r>
        <w:rPr>
          <w:rFonts w:hint="eastAsia" w:eastAsia="仿宋_GB2312"/>
          <w:sz w:val="24"/>
        </w:rPr>
        <w:t>韶关市生态环境翁源分局</w:t>
      </w:r>
      <w:r>
        <w:rPr>
          <w:rFonts w:eastAsia="仿宋_GB2312"/>
          <w:sz w:val="24"/>
        </w:rPr>
        <w:t>请求启动更高级别突发环境事件应急预案。</w:t>
      </w:r>
    </w:p>
    <w:p>
      <w:pPr>
        <w:spacing w:before="120" w:beforeLines="50" w:line="360" w:lineRule="auto"/>
        <w:ind w:firstLine="480" w:firstLineChars="200"/>
        <w:rPr>
          <w:rFonts w:eastAsia="仿宋_GB2312"/>
          <w:sz w:val="24"/>
        </w:rPr>
      </w:pPr>
      <w:r>
        <w:rPr>
          <w:rFonts w:eastAsia="仿宋_GB2312"/>
          <w:sz w:val="24"/>
        </w:rPr>
        <w:t>紧急情况下应急响应决策应遵循的原则是</w:t>
      </w:r>
      <w:r>
        <w:rPr>
          <w:rFonts w:hint="eastAsia" w:eastAsia="仿宋_GB2312"/>
          <w:sz w:val="24"/>
          <w:lang w:eastAsia="zh-CN"/>
        </w:rPr>
        <w:t>：</w:t>
      </w:r>
      <w:r>
        <w:rPr>
          <w:rFonts w:eastAsia="仿宋_GB2312"/>
          <w:sz w:val="24"/>
        </w:rPr>
        <w:t>人员生命为第一，事故灾害不扩大，危害损失控最小。</w:t>
      </w:r>
    </w:p>
    <w:p>
      <w:pPr>
        <w:spacing w:before="120" w:beforeLines="50" w:line="360" w:lineRule="auto"/>
        <w:outlineLvl w:val="2"/>
        <w:rPr>
          <w:b/>
          <w:sz w:val="28"/>
          <w:szCs w:val="28"/>
        </w:rPr>
      </w:pPr>
      <w:bookmarkStart w:id="78" w:name="_Toc10078"/>
      <w:r>
        <w:rPr>
          <w:rFonts w:hint="eastAsia"/>
          <w:b/>
          <w:sz w:val="28"/>
          <w:szCs w:val="28"/>
        </w:rPr>
        <w:t>5</w:t>
      </w:r>
      <w:r>
        <w:rPr>
          <w:b/>
          <w:sz w:val="28"/>
          <w:szCs w:val="28"/>
        </w:rPr>
        <w:t>.1.2</w:t>
      </w:r>
      <w:r>
        <w:rPr>
          <w:rFonts w:hint="eastAsia"/>
          <w:b/>
          <w:sz w:val="28"/>
          <w:szCs w:val="28"/>
        </w:rPr>
        <w:t>响应程序</w:t>
      </w:r>
      <w:bookmarkEnd w:id="78"/>
    </w:p>
    <w:p>
      <w:pPr>
        <w:spacing w:before="120" w:beforeLines="50" w:line="360" w:lineRule="auto"/>
        <w:ind w:firstLine="480" w:firstLineChars="200"/>
        <w:rPr>
          <w:rFonts w:eastAsia="仿宋_GB2312"/>
          <w:sz w:val="24"/>
        </w:rPr>
      </w:pPr>
      <w:r>
        <w:rPr>
          <w:rFonts w:eastAsia="仿宋_GB2312"/>
          <w:sz w:val="24"/>
        </w:rPr>
        <w:t>出现下列情况之一的，公司应急领导小组主要负责人发布应急响应预警、启动应急预案：</w:t>
      </w:r>
    </w:p>
    <w:p>
      <w:pPr>
        <w:spacing w:before="120" w:beforeLines="50" w:line="360" w:lineRule="auto"/>
        <w:ind w:firstLine="480" w:firstLineChars="200"/>
        <w:rPr>
          <w:rFonts w:eastAsia="仿宋_GB2312"/>
          <w:sz w:val="24"/>
        </w:rPr>
      </w:pPr>
      <w:r>
        <w:rPr>
          <w:rFonts w:eastAsia="仿宋_GB2312"/>
          <w:sz w:val="24"/>
        </w:rPr>
        <w:fldChar w:fldCharType="begin"/>
      </w:r>
      <w:r>
        <w:rPr>
          <w:rFonts w:eastAsia="仿宋_GB2312"/>
          <w:sz w:val="24"/>
        </w:rPr>
        <w:instrText xml:space="preserve"> = 1 \* GB3 </w:instrText>
      </w:r>
      <w:r>
        <w:rPr>
          <w:rFonts w:eastAsia="仿宋_GB2312"/>
          <w:sz w:val="24"/>
        </w:rPr>
        <w:fldChar w:fldCharType="separate"/>
      </w:r>
      <w:r>
        <w:rPr>
          <w:rFonts w:hint="eastAsia" w:ascii="宋体" w:hAnsi="宋体" w:cs="宋体"/>
          <w:sz w:val="24"/>
        </w:rPr>
        <w:t>①</w:t>
      </w:r>
      <w:r>
        <w:rPr>
          <w:rFonts w:eastAsia="仿宋_GB2312"/>
          <w:sz w:val="24"/>
        </w:rPr>
        <w:fldChar w:fldCharType="end"/>
      </w:r>
      <w:r>
        <w:rPr>
          <w:rFonts w:eastAsia="仿宋_GB2312"/>
          <w:sz w:val="24"/>
        </w:rPr>
        <w:t>火灾</w:t>
      </w:r>
      <w:r>
        <w:rPr>
          <w:rFonts w:hint="eastAsia" w:eastAsia="仿宋_GB2312"/>
          <w:sz w:val="24"/>
        </w:rPr>
        <w:t>、爆炸</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fldChar w:fldCharType="begin"/>
      </w:r>
      <w:r>
        <w:rPr>
          <w:rFonts w:eastAsia="仿宋_GB2312"/>
          <w:sz w:val="24"/>
        </w:rPr>
        <w:instrText xml:space="preserve"> = 2 \* GB3 </w:instrText>
      </w:r>
      <w:r>
        <w:rPr>
          <w:rFonts w:eastAsia="仿宋_GB2312"/>
          <w:sz w:val="24"/>
        </w:rPr>
        <w:fldChar w:fldCharType="separate"/>
      </w:r>
      <w:r>
        <w:rPr>
          <w:rFonts w:hint="eastAsia" w:ascii="宋体" w:hAnsi="宋体" w:cs="宋体"/>
          <w:sz w:val="24"/>
        </w:rPr>
        <w:t>②</w:t>
      </w:r>
      <w:r>
        <w:rPr>
          <w:rFonts w:eastAsia="仿宋_GB2312"/>
          <w:sz w:val="24"/>
        </w:rPr>
        <w:fldChar w:fldCharType="end"/>
      </w:r>
      <w:r>
        <w:rPr>
          <w:rFonts w:eastAsia="仿宋_GB2312"/>
          <w:sz w:val="24"/>
        </w:rPr>
        <w:t>废气</w:t>
      </w:r>
      <w:r>
        <w:rPr>
          <w:rFonts w:hint="eastAsia" w:eastAsia="仿宋_GB2312"/>
          <w:sz w:val="24"/>
        </w:rPr>
        <w:t>事故性</w:t>
      </w:r>
      <w:r>
        <w:rPr>
          <w:rFonts w:eastAsia="仿宋_GB2312"/>
          <w:sz w:val="24"/>
        </w:rPr>
        <w:t>排放；</w:t>
      </w:r>
    </w:p>
    <w:p>
      <w:pPr>
        <w:spacing w:before="120" w:beforeLines="50" w:line="360" w:lineRule="auto"/>
        <w:ind w:firstLine="480" w:firstLineChars="200"/>
        <w:rPr>
          <w:rFonts w:eastAsia="仿宋_GB2312"/>
          <w:sz w:val="24"/>
        </w:rPr>
      </w:pPr>
      <w:r>
        <w:rPr>
          <w:rFonts w:eastAsia="仿宋_GB2312"/>
          <w:sz w:val="24"/>
        </w:rPr>
        <w:fldChar w:fldCharType="begin"/>
      </w:r>
      <w:r>
        <w:rPr>
          <w:rFonts w:eastAsia="仿宋_GB2312"/>
          <w:sz w:val="24"/>
        </w:rPr>
        <w:instrText xml:space="preserve"> = 3 \* GB3 </w:instrText>
      </w:r>
      <w:r>
        <w:rPr>
          <w:rFonts w:eastAsia="仿宋_GB2312"/>
          <w:sz w:val="24"/>
        </w:rPr>
        <w:fldChar w:fldCharType="separate"/>
      </w:r>
      <w:r>
        <w:rPr>
          <w:rFonts w:hint="eastAsia" w:ascii="宋体" w:hAnsi="宋体" w:cs="宋体"/>
          <w:sz w:val="24"/>
        </w:rPr>
        <w:t>③</w:t>
      </w:r>
      <w:r>
        <w:rPr>
          <w:rFonts w:eastAsia="仿宋_GB2312"/>
          <w:sz w:val="24"/>
        </w:rPr>
        <w:fldChar w:fldCharType="end"/>
      </w:r>
      <w:r>
        <w:rPr>
          <w:rFonts w:eastAsia="仿宋_GB2312"/>
          <w:sz w:val="24"/>
        </w:rPr>
        <w:t>危险化学品</w:t>
      </w:r>
      <w:r>
        <w:rPr>
          <w:rFonts w:hint="eastAsia" w:eastAsia="仿宋_GB2312"/>
          <w:sz w:val="24"/>
        </w:rPr>
        <w:t>、</w:t>
      </w:r>
      <w:r>
        <w:rPr>
          <w:rFonts w:eastAsia="仿宋_GB2312"/>
          <w:sz w:val="24"/>
        </w:rPr>
        <w:t>危险废物泄漏</w:t>
      </w:r>
      <w:r>
        <w:rPr>
          <w:rFonts w:hint="eastAsia" w:eastAsia="仿宋_GB2312"/>
          <w:sz w:val="24"/>
        </w:rPr>
        <w:t>。</w:t>
      </w:r>
    </w:p>
    <w:p>
      <w:pPr>
        <w:spacing w:before="120" w:beforeLines="50" w:line="360" w:lineRule="auto"/>
        <w:ind w:firstLine="480" w:firstLineChars="200"/>
        <w:rPr>
          <w:rFonts w:eastAsia="仿宋_GB2312"/>
          <w:sz w:val="24"/>
        </w:rPr>
      </w:pPr>
      <w:r>
        <w:rPr>
          <w:rFonts w:eastAsia="仿宋_GB2312"/>
          <w:sz w:val="24"/>
        </w:rPr>
        <w:t>突发环境事件应急预案启动后，总指挥长与应急领导小组办公室人员迅速到位，副总指挥长赴现场任现场总指挥，各应急小组10分钟内赶到事发现场，统筹安排处置工作。</w:t>
      </w:r>
    </w:p>
    <w:p>
      <w:pPr>
        <w:spacing w:before="120" w:beforeLines="50" w:line="360" w:lineRule="auto"/>
        <w:ind w:firstLine="480" w:firstLineChars="200"/>
        <w:rPr>
          <w:rFonts w:eastAsia="仿宋_GB2312"/>
          <w:sz w:val="24"/>
        </w:rPr>
      </w:pPr>
      <w:r>
        <w:rPr>
          <w:rFonts w:eastAsia="仿宋_GB2312"/>
          <w:sz w:val="24"/>
        </w:rPr>
        <w:t>所有参加应急响应行动的工作组必须服从现场总指挥的统一安排，不得擅自行动。</w:t>
      </w:r>
    </w:p>
    <w:p>
      <w:pPr>
        <w:spacing w:before="120" w:beforeLines="50" w:line="360" w:lineRule="auto"/>
        <w:ind w:firstLine="480" w:firstLineChars="200"/>
        <w:rPr>
          <w:rFonts w:eastAsia="仿宋_GB2312"/>
          <w:sz w:val="24"/>
        </w:rPr>
      </w:pPr>
      <w:r>
        <w:rPr>
          <w:rFonts w:eastAsia="仿宋_GB2312"/>
          <w:sz w:val="24"/>
        </w:rPr>
        <w:t>当突发环境事件升级，有可能成为重大事件（社会级），需要外部力量组织处理时，总指挥长按应急预案程序请求相关政府部门及外部应急力量支援。上级应急部门领导达到现场后，现场处置的指挥权上移，</w:t>
      </w:r>
      <w:r>
        <w:rPr>
          <w:rFonts w:hint="eastAsia" w:eastAsia="仿宋_GB2312"/>
          <w:sz w:val="24"/>
          <w:lang w:eastAsia="zh-CN"/>
        </w:rPr>
        <w:t>翁源县中源发展有限公司</w:t>
      </w:r>
      <w:r>
        <w:rPr>
          <w:rFonts w:eastAsia="仿宋_GB2312"/>
          <w:sz w:val="24"/>
        </w:rPr>
        <w:t>的所有应急力量（人力、物资）应全力协助配合，服从统一指挥。</w:t>
      </w:r>
    </w:p>
    <w:p>
      <w:pPr>
        <w:spacing w:before="120" w:beforeLines="50" w:line="360" w:lineRule="auto"/>
        <w:ind w:firstLine="480" w:firstLineChars="200"/>
        <w:rPr>
          <w:rFonts w:eastAsia="仿宋_GB2312"/>
          <w:sz w:val="24"/>
        </w:rPr>
      </w:pPr>
      <w:r>
        <w:rPr>
          <w:rFonts w:eastAsia="仿宋_GB2312"/>
          <w:sz w:val="24"/>
        </w:rPr>
        <w:t>公司突发环境污染事故应急响应程序见图</w:t>
      </w:r>
      <w:r>
        <w:rPr>
          <w:rFonts w:hint="eastAsia" w:eastAsia="仿宋_GB2312"/>
          <w:sz w:val="24"/>
        </w:rPr>
        <w:t>5.1</w:t>
      </w:r>
      <w:r>
        <w:rPr>
          <w:rFonts w:eastAsia="仿宋_GB2312"/>
          <w:sz w:val="24"/>
        </w:rPr>
        <w:t>-1。</w:t>
      </w:r>
    </w:p>
    <w:p>
      <w:pPr>
        <w:spacing w:before="240" w:beforeLines="100" w:line="360" w:lineRule="auto"/>
        <w:jc w:val="center"/>
        <w:rPr>
          <w:rFonts w:eastAsia="仿宋"/>
          <w:sz w:val="28"/>
          <w:szCs w:val="28"/>
        </w:rPr>
      </w:pPr>
      <w:r>
        <w:rPr>
          <w:szCs w:val="20"/>
        </w:rPr>
        <w:drawing>
          <wp:inline distT="0" distB="0" distL="0" distR="0">
            <wp:extent cx="5271770" cy="5224145"/>
            <wp:effectExtent l="0" t="0" r="5080" b="0"/>
            <wp:docPr id="38" name="图片 38" descr="分级程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分级程序图"/>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71770" cy="5224145"/>
                    </a:xfrm>
                    <a:prstGeom prst="rect">
                      <a:avLst/>
                    </a:prstGeom>
                    <a:noFill/>
                    <a:ln>
                      <a:noFill/>
                    </a:ln>
                  </pic:spPr>
                </pic:pic>
              </a:graphicData>
            </a:graphic>
          </wp:inline>
        </w:drawing>
      </w:r>
    </w:p>
    <w:p>
      <w:pPr>
        <w:spacing w:line="360" w:lineRule="auto"/>
        <w:jc w:val="center"/>
        <w:rPr>
          <w:rFonts w:eastAsia="仿宋_GB2312"/>
          <w:b/>
          <w:szCs w:val="21"/>
        </w:rPr>
      </w:pPr>
      <w:r>
        <w:rPr>
          <w:rFonts w:hint="eastAsia" w:eastAsia="仿宋_GB2312"/>
          <w:b/>
          <w:szCs w:val="21"/>
        </w:rPr>
        <w:t>图5.1</w:t>
      </w:r>
      <w:r>
        <w:rPr>
          <w:rFonts w:eastAsia="仿宋_GB2312"/>
          <w:b/>
          <w:szCs w:val="21"/>
        </w:rPr>
        <w:t>-1</w:t>
      </w:r>
      <w:r>
        <w:rPr>
          <w:rFonts w:hint="eastAsia" w:eastAsia="仿宋_GB2312"/>
          <w:b/>
          <w:szCs w:val="21"/>
        </w:rPr>
        <w:t>　</w:t>
      </w:r>
      <w:r>
        <w:rPr>
          <w:rFonts w:hint="eastAsia" w:eastAsia="仿宋_GB2312"/>
          <w:b/>
          <w:szCs w:val="21"/>
          <w:lang w:eastAsia="zh-CN"/>
        </w:rPr>
        <w:t>翁源县中源发展有限公司</w:t>
      </w:r>
      <w:r>
        <w:rPr>
          <w:rFonts w:hint="eastAsia" w:eastAsia="仿宋_GB2312"/>
          <w:b/>
          <w:szCs w:val="21"/>
        </w:rPr>
        <w:t>突发环境事件应急响应程序示意图</w:t>
      </w:r>
    </w:p>
    <w:p>
      <w:pPr>
        <w:autoSpaceDE w:val="0"/>
        <w:autoSpaceDN w:val="0"/>
        <w:adjustRightInd w:val="0"/>
        <w:snapToGrid w:val="0"/>
        <w:spacing w:before="120" w:beforeLines="50" w:line="360" w:lineRule="auto"/>
        <w:ind w:firstLine="480" w:firstLineChars="200"/>
        <w:jc w:val="left"/>
        <w:rPr>
          <w:rFonts w:eastAsia="仿宋_GB2312"/>
          <w:sz w:val="24"/>
        </w:rPr>
      </w:pPr>
      <w:r>
        <w:rPr>
          <w:rFonts w:eastAsia="仿宋_GB2312"/>
          <w:sz w:val="24"/>
        </w:rPr>
        <w:t>各应急响应步骤依次如下：</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⑴</w:t>
      </w:r>
      <w:r>
        <w:rPr>
          <w:rFonts w:eastAsia="仿宋_GB2312"/>
          <w:sz w:val="24"/>
        </w:rPr>
        <w:t xml:space="preserve"> 报警：事故发生后，发现人立即向值班负责人报告，值班领导接到险情报告后，立即赶往现场查看和分析险情，确定响应级别；</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⑵</w:t>
      </w:r>
      <w:r>
        <w:rPr>
          <w:rFonts w:eastAsia="仿宋_GB2312"/>
          <w:sz w:val="24"/>
        </w:rPr>
        <w:t xml:space="preserve"> 预警：</w:t>
      </w:r>
      <w:r>
        <w:rPr>
          <w:rFonts w:hint="eastAsia" w:eastAsia="仿宋_GB2312"/>
          <w:sz w:val="24"/>
        </w:rPr>
        <w:t>应急</w:t>
      </w:r>
      <w:r>
        <w:rPr>
          <w:rFonts w:eastAsia="仿宋_GB2312"/>
          <w:sz w:val="24"/>
        </w:rPr>
        <w:t>领导小组发出相应预警，根据相应级别确定向上级和外部应急机构报警，险情不严重时告知现场人员采取相应的处置措施，险情严重时应立即报警，同时做出相应的应急响应；</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⑶</w:t>
      </w:r>
      <w:r>
        <w:rPr>
          <w:rFonts w:eastAsia="仿宋_GB2312"/>
          <w:sz w:val="24"/>
        </w:rPr>
        <w:t xml:space="preserve"> 启动：应急响应启动后，</w:t>
      </w:r>
      <w:r>
        <w:rPr>
          <w:rFonts w:hint="eastAsia" w:eastAsia="仿宋_GB2312"/>
          <w:sz w:val="24"/>
        </w:rPr>
        <w:t>应急</w:t>
      </w:r>
      <w:r>
        <w:rPr>
          <w:rFonts w:eastAsia="仿宋_GB2312"/>
          <w:sz w:val="24"/>
        </w:rPr>
        <w:t>领导小组主要责任人应立即到位，同时启动信息网络通知有关单位和应急救援小组，调配相应的应急资源，现场指挥各应急救援小组立即进行事故抢险救援工作；</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⑷</w:t>
      </w:r>
      <w:r>
        <w:rPr>
          <w:rFonts w:eastAsia="仿宋_GB2312"/>
          <w:sz w:val="24"/>
        </w:rPr>
        <w:t xml:space="preserve"> 抢险：现场救援工作包括人员救助、过程抢险、警戒与交通管制、医疗救护、人群疏散、环境保护、现场监测和专家支持等；</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⑸</w:t>
      </w:r>
      <w:r>
        <w:rPr>
          <w:rFonts w:eastAsia="仿宋_GB2312"/>
          <w:sz w:val="24"/>
        </w:rPr>
        <w:t xml:space="preserve"> 升级：在救援过程中，如事故得不到有效控制时，应及时进行响应升级，以适应事态的发展，有效控制事态的进一步扩大；</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⑹</w:t>
      </w:r>
      <w:r>
        <w:rPr>
          <w:rFonts w:eastAsia="仿宋_GB2312"/>
          <w:sz w:val="24"/>
        </w:rPr>
        <w:t xml:space="preserve"> 恢复：事故事态得到有效控制后，进行事故现场清理，解除警戒，恢复正常秩序，同时开展事故善后处理和调查，查找事故发生的原因；</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⑺</w:t>
      </w:r>
      <w:r>
        <w:rPr>
          <w:rFonts w:eastAsia="仿宋_GB2312"/>
          <w:sz w:val="24"/>
        </w:rPr>
        <w:t xml:space="preserve"> 终止：当事态恢复后达到应急关闭条件时，由应急</w:t>
      </w:r>
      <w:r>
        <w:rPr>
          <w:rFonts w:hint="eastAsia" w:eastAsia="仿宋_GB2312"/>
          <w:sz w:val="24"/>
        </w:rPr>
        <w:t>领导</w:t>
      </w:r>
      <w:r>
        <w:rPr>
          <w:rFonts w:eastAsia="仿宋_GB2312"/>
          <w:sz w:val="24"/>
        </w:rPr>
        <w:t>小组宣布应急结束；</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⑻</w:t>
      </w:r>
      <w:r>
        <w:rPr>
          <w:rFonts w:eastAsia="仿宋_GB2312"/>
          <w:sz w:val="24"/>
        </w:rPr>
        <w:t xml:space="preserve"> 善后：配合政府有关管理部门进行事故调查，并对事故采取的处置措施和环境恢复的效果进行总结和评审。</w:t>
      </w:r>
    </w:p>
    <w:p>
      <w:pPr>
        <w:spacing w:before="120" w:beforeLines="50" w:line="360" w:lineRule="auto"/>
        <w:outlineLvl w:val="3"/>
        <w:rPr>
          <w:b/>
          <w:sz w:val="28"/>
          <w:szCs w:val="28"/>
        </w:rPr>
      </w:pPr>
      <w:bookmarkStart w:id="79" w:name="_Toc446429736"/>
      <w:r>
        <w:rPr>
          <w:rFonts w:hint="eastAsia"/>
          <w:b/>
          <w:sz w:val="28"/>
          <w:szCs w:val="28"/>
        </w:rPr>
        <w:t>5.1.2.1</w:t>
      </w:r>
      <w:r>
        <w:rPr>
          <w:b/>
          <w:sz w:val="28"/>
          <w:szCs w:val="28"/>
        </w:rPr>
        <w:t>响应时间</w:t>
      </w:r>
      <w:bookmarkEnd w:id="79"/>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⑴</w:t>
      </w:r>
      <w:r>
        <w:rPr>
          <w:rFonts w:eastAsia="仿宋_GB2312"/>
          <w:sz w:val="24"/>
        </w:rPr>
        <w:t xml:space="preserve"> 对于公司级突发的环境事件，各应急组接到应急领导小组的紧急指令后，10分钟内赶到事发现场。</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⑵</w:t>
      </w:r>
      <w:r>
        <w:rPr>
          <w:rFonts w:eastAsia="仿宋_GB2312"/>
          <w:sz w:val="24"/>
        </w:rPr>
        <w:t xml:space="preserve"> 现场处置过程中，现场</w:t>
      </w:r>
      <w:r>
        <w:rPr>
          <w:rFonts w:hint="eastAsia" w:eastAsia="仿宋_GB2312"/>
          <w:sz w:val="24"/>
        </w:rPr>
        <w:t>应急</w:t>
      </w:r>
      <w:r>
        <w:rPr>
          <w:rFonts w:eastAsia="仿宋_GB2312"/>
          <w:sz w:val="24"/>
        </w:rPr>
        <w:t>救援小组每30分钟通过电话等方式向公司应急领导小组报告应急救援工作开展情况，紧急情况随时报告。</w:t>
      </w:r>
    </w:p>
    <w:p>
      <w:pPr>
        <w:spacing w:before="120" w:beforeLines="50" w:line="360" w:lineRule="auto"/>
        <w:outlineLvl w:val="3"/>
        <w:rPr>
          <w:b/>
          <w:sz w:val="28"/>
          <w:szCs w:val="28"/>
        </w:rPr>
      </w:pPr>
      <w:r>
        <w:rPr>
          <w:rFonts w:hint="eastAsia"/>
          <w:b/>
          <w:sz w:val="28"/>
          <w:szCs w:val="28"/>
        </w:rPr>
        <w:t>5.1.2.2</w:t>
      </w:r>
      <w:r>
        <w:rPr>
          <w:b/>
          <w:sz w:val="28"/>
          <w:szCs w:val="28"/>
        </w:rPr>
        <w:t>应急指挥与协调</w:t>
      </w:r>
    </w:p>
    <w:p>
      <w:pPr>
        <w:spacing w:before="120" w:beforeLines="50" w:line="360" w:lineRule="auto"/>
        <w:ind w:firstLine="480" w:firstLineChars="200"/>
        <w:rPr>
          <w:rFonts w:eastAsia="仿宋_GB2312"/>
          <w:sz w:val="24"/>
        </w:rPr>
      </w:pPr>
      <w:r>
        <w:rPr>
          <w:rFonts w:eastAsia="仿宋_GB2312"/>
          <w:sz w:val="24"/>
        </w:rPr>
        <w:t>公司应急领导小组指挥协调事故现场的主要内容包括</w:t>
      </w:r>
      <w:r>
        <w:rPr>
          <w:rFonts w:hint="eastAsia" w:eastAsia="仿宋_GB2312"/>
          <w:sz w:val="24"/>
        </w:rPr>
        <w:t>：</w:t>
      </w:r>
    </w:p>
    <w:p>
      <w:pPr>
        <w:spacing w:before="120" w:beforeLines="50" w:line="360" w:lineRule="auto"/>
        <w:ind w:firstLine="480" w:firstLineChars="200"/>
        <w:rPr>
          <w:rFonts w:eastAsia="仿宋_GB2312"/>
          <w:sz w:val="24"/>
        </w:rPr>
      </w:pPr>
      <w:r>
        <w:rPr>
          <w:rFonts w:hint="eastAsia" w:ascii="宋体" w:hAnsi="宋体" w:cs="宋体"/>
          <w:sz w:val="24"/>
        </w:rPr>
        <w:t>⑴</w:t>
      </w:r>
      <w:r>
        <w:rPr>
          <w:rFonts w:eastAsia="仿宋_GB2312"/>
          <w:sz w:val="24"/>
        </w:rPr>
        <w:t xml:space="preserve"> 发生紧急事件，各</w:t>
      </w:r>
      <w:r>
        <w:rPr>
          <w:rFonts w:hint="eastAsia" w:eastAsia="仿宋_GB2312"/>
          <w:sz w:val="24"/>
        </w:rPr>
        <w:t>应急</w:t>
      </w:r>
      <w:r>
        <w:rPr>
          <w:rFonts w:eastAsia="仿宋_GB2312"/>
          <w:sz w:val="24"/>
        </w:rPr>
        <w:t>救援小组听从现场最高指挥者统一指挥、统一行动，有秩序的启动应急响应，对事故现场应急行动提出原则要求；</w:t>
      </w:r>
    </w:p>
    <w:p>
      <w:pPr>
        <w:spacing w:before="120" w:beforeLines="50" w:line="360" w:lineRule="auto"/>
        <w:ind w:firstLine="480" w:firstLineChars="200"/>
        <w:rPr>
          <w:rFonts w:eastAsia="仿宋_GB2312"/>
          <w:sz w:val="24"/>
        </w:rPr>
      </w:pPr>
      <w:r>
        <w:rPr>
          <w:rFonts w:hint="eastAsia" w:ascii="宋体" w:hAnsi="宋体" w:cs="宋体"/>
          <w:sz w:val="24"/>
        </w:rPr>
        <w:t>⑵</w:t>
      </w:r>
      <w:r>
        <w:rPr>
          <w:rFonts w:eastAsia="仿宋_GB2312"/>
          <w:sz w:val="24"/>
        </w:rPr>
        <w:t xml:space="preserve"> 公司内的所有物资、工具、车辆、材料均以突发事件为第一保证目标，可授权现场最高指挥者随机调动，事后报告和补办手续；</w:t>
      </w:r>
    </w:p>
    <w:p>
      <w:pPr>
        <w:spacing w:before="120" w:beforeLines="50" w:line="360" w:lineRule="auto"/>
        <w:ind w:firstLine="480" w:firstLineChars="200"/>
        <w:rPr>
          <w:rFonts w:eastAsia="仿宋_GB2312"/>
          <w:sz w:val="24"/>
        </w:rPr>
      </w:pPr>
      <w:r>
        <w:rPr>
          <w:rFonts w:hint="eastAsia" w:ascii="宋体" w:hAnsi="宋体" w:cs="宋体"/>
          <w:sz w:val="24"/>
        </w:rPr>
        <w:t>⑶</w:t>
      </w:r>
      <w:r>
        <w:rPr>
          <w:rFonts w:eastAsia="仿宋_GB2312"/>
          <w:sz w:val="24"/>
        </w:rPr>
        <w:t xml:space="preserve"> 发生突发环境事件后，应以严防事故的扩散和二次事故的发生、保护现场人员安全、减轻环境污染为主要原则，其次考虑尽可能减少经济损失；</w:t>
      </w:r>
    </w:p>
    <w:p>
      <w:pPr>
        <w:spacing w:before="120" w:beforeLines="50" w:line="360" w:lineRule="auto"/>
        <w:ind w:firstLine="480" w:firstLineChars="200"/>
        <w:rPr>
          <w:rFonts w:eastAsia="仿宋_GB2312"/>
          <w:sz w:val="24"/>
        </w:rPr>
      </w:pPr>
      <w:r>
        <w:rPr>
          <w:rFonts w:hint="eastAsia" w:ascii="宋体" w:hAnsi="宋体" w:cs="宋体"/>
          <w:sz w:val="24"/>
        </w:rPr>
        <w:t>⑷</w:t>
      </w:r>
      <w:r>
        <w:rPr>
          <w:rFonts w:eastAsia="仿宋_GB2312"/>
          <w:sz w:val="24"/>
        </w:rPr>
        <w:t xml:space="preserve"> 严格加强受威胁的周边地区危险源的监控工作；</w:t>
      </w:r>
    </w:p>
    <w:p>
      <w:pPr>
        <w:spacing w:before="120" w:beforeLines="50" w:line="360" w:lineRule="auto"/>
        <w:ind w:firstLine="480" w:firstLineChars="200"/>
        <w:rPr>
          <w:rFonts w:eastAsia="仿宋_GB2312"/>
          <w:sz w:val="24"/>
        </w:rPr>
      </w:pPr>
      <w:r>
        <w:rPr>
          <w:rFonts w:hint="eastAsia" w:ascii="宋体" w:hAnsi="宋体" w:cs="宋体"/>
          <w:sz w:val="24"/>
        </w:rPr>
        <w:t>⑸</w:t>
      </w:r>
      <w:r>
        <w:rPr>
          <w:rFonts w:eastAsia="仿宋_GB2312"/>
          <w:sz w:val="24"/>
        </w:rPr>
        <w:t xml:space="preserve"> 划定建立现场警戒区和临时保护区，确定重点防护区域；</w:t>
      </w:r>
    </w:p>
    <w:p>
      <w:pPr>
        <w:spacing w:before="120" w:beforeLines="50" w:line="360" w:lineRule="auto"/>
        <w:ind w:firstLine="480" w:firstLineChars="200"/>
        <w:rPr>
          <w:rFonts w:eastAsia="仿宋_GB2312"/>
          <w:sz w:val="24"/>
        </w:rPr>
      </w:pPr>
      <w:r>
        <w:rPr>
          <w:rFonts w:hint="eastAsia" w:ascii="宋体" w:hAnsi="宋体" w:cs="宋体"/>
          <w:sz w:val="24"/>
        </w:rPr>
        <w:t>⑹</w:t>
      </w:r>
      <w:r>
        <w:rPr>
          <w:rFonts w:eastAsia="仿宋_GB2312"/>
          <w:sz w:val="24"/>
        </w:rPr>
        <w:t xml:space="preserve"> 根据现场监测结果和救援情况，确定被转移群众的疏散距离及返回时间；</w:t>
      </w:r>
    </w:p>
    <w:p>
      <w:pPr>
        <w:spacing w:before="120" w:beforeLines="50" w:line="360" w:lineRule="auto"/>
        <w:ind w:firstLine="480" w:firstLineChars="200"/>
        <w:rPr>
          <w:rFonts w:eastAsia="仿宋_GB2312"/>
          <w:sz w:val="24"/>
        </w:rPr>
      </w:pPr>
      <w:r>
        <w:rPr>
          <w:rFonts w:hint="eastAsia" w:ascii="宋体" w:hAnsi="宋体" w:cs="宋体"/>
          <w:sz w:val="24"/>
        </w:rPr>
        <w:t>⑺</w:t>
      </w:r>
      <w:r>
        <w:rPr>
          <w:rFonts w:eastAsia="仿宋_GB2312"/>
          <w:sz w:val="24"/>
        </w:rPr>
        <w:t xml:space="preserve"> 以新闻发布的形式向外界及时准确、客观公正地发布抢险救援进展情况和其它有关信息。</w:t>
      </w:r>
    </w:p>
    <w:p>
      <w:pPr>
        <w:spacing w:before="120" w:beforeLines="50" w:line="360" w:lineRule="auto"/>
        <w:ind w:firstLine="480" w:firstLineChars="200"/>
        <w:rPr>
          <w:rFonts w:eastAsia="仿宋_GB2312"/>
          <w:sz w:val="24"/>
        </w:rPr>
      </w:pPr>
      <w:r>
        <w:rPr>
          <w:rFonts w:hint="eastAsia" w:ascii="宋体" w:hAnsi="宋体" w:cs="宋体"/>
          <w:sz w:val="24"/>
        </w:rPr>
        <w:t>⑻</w:t>
      </w:r>
      <w:r>
        <w:rPr>
          <w:rFonts w:eastAsia="仿宋_GB2312"/>
          <w:sz w:val="24"/>
        </w:rPr>
        <w:t xml:space="preserve"> 及时向上级主管部门报告应急行动进展情况。</w:t>
      </w:r>
    </w:p>
    <w:p>
      <w:pPr>
        <w:spacing w:before="120" w:beforeLines="50" w:line="360" w:lineRule="auto"/>
        <w:outlineLvl w:val="2"/>
        <w:rPr>
          <w:b/>
          <w:sz w:val="28"/>
          <w:szCs w:val="28"/>
        </w:rPr>
      </w:pPr>
      <w:bookmarkStart w:id="80" w:name="_Toc446429738"/>
      <w:bookmarkStart w:id="81" w:name="_Toc14905"/>
      <w:bookmarkStart w:id="82" w:name="_Toc401396030"/>
      <w:r>
        <w:rPr>
          <w:rFonts w:hint="eastAsia"/>
          <w:b/>
          <w:sz w:val="28"/>
          <w:szCs w:val="28"/>
        </w:rPr>
        <w:t>5</w:t>
      </w:r>
      <w:r>
        <w:rPr>
          <w:b/>
          <w:sz w:val="28"/>
          <w:szCs w:val="28"/>
        </w:rPr>
        <w:t>.1.3</w:t>
      </w:r>
      <w:r>
        <w:rPr>
          <w:rFonts w:hint="eastAsia"/>
          <w:b/>
          <w:sz w:val="28"/>
          <w:szCs w:val="28"/>
        </w:rPr>
        <w:t>分级响应、扩大应急</w:t>
      </w:r>
      <w:bookmarkEnd w:id="80"/>
      <w:bookmarkEnd w:id="81"/>
      <w:bookmarkEnd w:id="82"/>
    </w:p>
    <w:p>
      <w:pPr>
        <w:spacing w:before="120" w:beforeLines="50" w:line="360" w:lineRule="auto"/>
        <w:ind w:firstLine="480" w:firstLineChars="200"/>
        <w:rPr>
          <w:rFonts w:eastAsia="仿宋_GB2312"/>
          <w:sz w:val="24"/>
        </w:rPr>
      </w:pPr>
      <w:r>
        <w:rPr>
          <w:rFonts w:hint="eastAsia" w:ascii="宋体" w:hAnsi="宋体" w:cs="宋体"/>
          <w:sz w:val="24"/>
        </w:rPr>
        <w:t>⑴</w:t>
      </w:r>
      <w:r>
        <w:rPr>
          <w:rFonts w:eastAsia="仿宋_GB2312"/>
          <w:sz w:val="24"/>
        </w:rPr>
        <w:t xml:space="preserve"> 根据属地管理的原则，公司所属各部发现事故迹象或在事故初期，应一面组织本部门职工及时补救，果断采取措施避免事态扩大，一面向应急领导小组汇报。</w:t>
      </w:r>
    </w:p>
    <w:p>
      <w:pPr>
        <w:spacing w:before="120" w:beforeLines="50" w:line="360" w:lineRule="auto"/>
        <w:ind w:firstLine="480" w:firstLineChars="200"/>
        <w:rPr>
          <w:rFonts w:eastAsia="仿宋_GB2312"/>
          <w:sz w:val="24"/>
        </w:rPr>
      </w:pPr>
      <w:r>
        <w:rPr>
          <w:rFonts w:hint="eastAsia" w:ascii="宋体" w:hAnsi="宋体" w:cs="宋体"/>
          <w:sz w:val="24"/>
        </w:rPr>
        <w:t>⑵</w:t>
      </w:r>
      <w:r>
        <w:rPr>
          <w:rFonts w:eastAsia="仿宋_GB2312"/>
          <w:sz w:val="24"/>
        </w:rPr>
        <w:t xml:space="preserve"> 当事态的发展超出企业应急处置能力，需要请求外部应急相关方支援时，</w:t>
      </w:r>
      <w:r>
        <w:rPr>
          <w:rFonts w:hint="eastAsia" w:eastAsia="仿宋_GB2312"/>
          <w:sz w:val="24"/>
        </w:rPr>
        <w:t>应急领导</w:t>
      </w:r>
      <w:r>
        <w:rPr>
          <w:rFonts w:eastAsia="仿宋_GB2312"/>
          <w:sz w:val="24"/>
        </w:rPr>
        <w:t>小组向相关方求援。外部力量到达现场前，</w:t>
      </w:r>
      <w:r>
        <w:rPr>
          <w:rFonts w:hint="eastAsia" w:eastAsia="仿宋_GB2312"/>
          <w:sz w:val="24"/>
        </w:rPr>
        <w:t>应急领导</w:t>
      </w:r>
      <w:r>
        <w:rPr>
          <w:rFonts w:eastAsia="仿宋_GB2312"/>
          <w:sz w:val="24"/>
        </w:rPr>
        <w:t>小组应组织公司所有应急力量进行先期处置，力图控制事态，为外部力量赢得宝贵的应急处置时间。上级应急部门领导到达现场后，指挥权上移，公司的应急队伍必须服从统一指挥。</w:t>
      </w:r>
    </w:p>
    <w:p>
      <w:pPr>
        <w:spacing w:before="120" w:beforeLines="50" w:line="360" w:lineRule="auto"/>
        <w:outlineLvl w:val="1"/>
        <w:rPr>
          <w:b/>
          <w:sz w:val="30"/>
          <w:szCs w:val="30"/>
        </w:rPr>
      </w:pPr>
      <w:bookmarkStart w:id="83" w:name="_Toc14718"/>
      <w:r>
        <w:rPr>
          <w:rFonts w:hint="eastAsia"/>
          <w:b/>
          <w:sz w:val="30"/>
          <w:szCs w:val="30"/>
        </w:rPr>
        <w:t>5</w:t>
      </w:r>
      <w:r>
        <w:rPr>
          <w:b/>
          <w:sz w:val="30"/>
          <w:szCs w:val="30"/>
        </w:rPr>
        <w:t>.2</w:t>
      </w:r>
      <w:r>
        <w:rPr>
          <w:rFonts w:hint="eastAsia"/>
          <w:b/>
          <w:sz w:val="30"/>
          <w:szCs w:val="30"/>
        </w:rPr>
        <w:t>信息报告</w:t>
      </w:r>
      <w:bookmarkEnd w:id="83"/>
    </w:p>
    <w:p>
      <w:pPr>
        <w:spacing w:before="120" w:beforeLines="50" w:line="360" w:lineRule="auto"/>
        <w:outlineLvl w:val="2"/>
        <w:rPr>
          <w:b/>
          <w:sz w:val="28"/>
          <w:szCs w:val="28"/>
        </w:rPr>
      </w:pPr>
      <w:bookmarkStart w:id="84" w:name="_Toc5602"/>
      <w:r>
        <w:rPr>
          <w:rFonts w:hint="eastAsia"/>
          <w:b/>
          <w:sz w:val="28"/>
          <w:szCs w:val="28"/>
        </w:rPr>
        <w:t>5</w:t>
      </w:r>
      <w:r>
        <w:rPr>
          <w:b/>
          <w:sz w:val="28"/>
          <w:szCs w:val="28"/>
        </w:rPr>
        <w:t>.2.1</w:t>
      </w:r>
      <w:r>
        <w:rPr>
          <w:rFonts w:hint="eastAsia"/>
          <w:b/>
          <w:sz w:val="28"/>
          <w:szCs w:val="28"/>
        </w:rPr>
        <w:t>事件报告程序</w:t>
      </w:r>
      <w:bookmarkEnd w:id="84"/>
    </w:p>
    <w:p>
      <w:pPr>
        <w:spacing w:before="120" w:beforeLines="50" w:line="360" w:lineRule="auto"/>
        <w:ind w:firstLine="482" w:firstLineChars="200"/>
        <w:rPr>
          <w:rFonts w:eastAsia="仿宋_GB2312"/>
          <w:b/>
          <w:bCs/>
          <w:sz w:val="24"/>
        </w:rPr>
      </w:pPr>
      <w:r>
        <w:rPr>
          <w:rFonts w:hint="eastAsia" w:eastAsia="仿宋_GB2312"/>
          <w:b/>
          <w:bCs/>
          <w:sz w:val="24"/>
        </w:rPr>
        <w:t>（</w:t>
      </w:r>
      <w:r>
        <w:rPr>
          <w:rFonts w:eastAsia="仿宋_GB2312"/>
          <w:b/>
          <w:bCs/>
          <w:sz w:val="24"/>
        </w:rPr>
        <w:t>1</w:t>
      </w:r>
      <w:r>
        <w:rPr>
          <w:rFonts w:hint="eastAsia" w:eastAsia="仿宋_GB2312"/>
          <w:b/>
          <w:bCs/>
          <w:sz w:val="24"/>
        </w:rPr>
        <w:t>）内部报告</w:t>
      </w:r>
    </w:p>
    <w:p>
      <w:pPr>
        <w:spacing w:before="120" w:beforeLines="50" w:line="360" w:lineRule="auto"/>
        <w:ind w:firstLine="480" w:firstLineChars="200"/>
        <w:rPr>
          <w:rFonts w:eastAsia="仿宋_GB2312"/>
          <w:sz w:val="24"/>
        </w:rPr>
      </w:pPr>
      <w:r>
        <w:rPr>
          <w:rFonts w:hint="eastAsia" w:eastAsia="仿宋_GB2312"/>
          <w:sz w:val="24"/>
        </w:rPr>
        <w:t>发生突发环境事件时，事件现场人员要立即向本部门领导报告，部门领导及时报告应急救援指挥部，应急救援指挥部视情况决定是否启动突发环境事件应急预案。</w:t>
      </w:r>
    </w:p>
    <w:p>
      <w:pPr>
        <w:spacing w:before="120" w:beforeLines="50" w:line="360" w:lineRule="auto"/>
        <w:ind w:firstLine="480" w:firstLineChars="200"/>
        <w:rPr>
          <w:rFonts w:eastAsia="仿宋_GB2312"/>
          <w:sz w:val="24"/>
        </w:rPr>
      </w:pPr>
      <w:r>
        <w:rPr>
          <w:rFonts w:hint="eastAsia" w:ascii="宋体" w:hAnsi="宋体" w:cs="宋体"/>
          <w:sz w:val="24"/>
        </w:rPr>
        <w:t>①</w:t>
      </w:r>
      <w:r>
        <w:rPr>
          <w:rFonts w:hint="eastAsia" w:eastAsia="仿宋_GB2312"/>
          <w:sz w:val="24"/>
        </w:rPr>
        <w:t>报告程序</w:t>
      </w:r>
    </w:p>
    <w:p>
      <w:pPr>
        <w:spacing w:before="120" w:beforeLines="50" w:line="360" w:lineRule="auto"/>
        <w:ind w:firstLine="480" w:firstLineChars="200"/>
        <w:rPr>
          <w:rFonts w:eastAsia="仿宋_GB2312"/>
          <w:sz w:val="24"/>
        </w:rPr>
      </w:pPr>
      <w:r>
        <w:rPr>
          <w:rFonts w:hint="eastAsia" w:eastAsia="仿宋_GB2312"/>
          <w:sz w:val="24"/>
        </w:rPr>
        <w:t>事件现场人员→责任部门领导→应急领导小组办公室→启动突发环境事件应急预案。</w:t>
      </w:r>
    </w:p>
    <w:p>
      <w:pPr>
        <w:spacing w:before="120" w:beforeLines="50" w:line="360" w:lineRule="auto"/>
        <w:ind w:firstLine="480" w:firstLineChars="200"/>
        <w:rPr>
          <w:rFonts w:eastAsia="仿宋_GB2312"/>
          <w:sz w:val="24"/>
        </w:rPr>
      </w:pPr>
      <w:r>
        <w:rPr>
          <w:rFonts w:hint="eastAsia" w:ascii="宋体" w:hAnsi="宋体" w:cs="宋体"/>
          <w:sz w:val="24"/>
        </w:rPr>
        <w:t>②</w:t>
      </w:r>
      <w:r>
        <w:rPr>
          <w:rFonts w:hint="eastAsia" w:eastAsia="仿宋_GB2312"/>
          <w:sz w:val="24"/>
        </w:rPr>
        <w:t>报告内容</w:t>
      </w:r>
    </w:p>
    <w:p>
      <w:pPr>
        <w:spacing w:before="120" w:beforeLines="50" w:line="360" w:lineRule="auto"/>
        <w:ind w:firstLine="480" w:firstLineChars="200"/>
        <w:rPr>
          <w:rFonts w:eastAsia="仿宋_GB2312"/>
          <w:sz w:val="24"/>
        </w:rPr>
      </w:pPr>
      <w:r>
        <w:rPr>
          <w:rFonts w:hint="eastAsia" w:eastAsia="仿宋_GB2312"/>
          <w:sz w:val="24"/>
        </w:rPr>
        <w:t>报告内容包括发生的环境事件类型、地点、人员情况及事件原因初步判断等。</w:t>
      </w:r>
    </w:p>
    <w:p>
      <w:pPr>
        <w:spacing w:before="120" w:beforeLines="50" w:line="360" w:lineRule="auto"/>
        <w:ind w:firstLine="482" w:firstLineChars="200"/>
        <w:rPr>
          <w:rFonts w:eastAsia="仿宋_GB2312"/>
          <w:b/>
          <w:bCs/>
          <w:sz w:val="24"/>
        </w:rPr>
      </w:pPr>
      <w:r>
        <w:rPr>
          <w:rFonts w:hint="eastAsia" w:eastAsia="仿宋_GB2312"/>
          <w:b/>
          <w:bCs/>
          <w:sz w:val="24"/>
        </w:rPr>
        <w:t>（</w:t>
      </w:r>
      <w:r>
        <w:rPr>
          <w:rFonts w:eastAsia="仿宋_GB2312"/>
          <w:b/>
          <w:bCs/>
          <w:sz w:val="24"/>
        </w:rPr>
        <w:t>2</w:t>
      </w:r>
      <w:r>
        <w:rPr>
          <w:rFonts w:hint="eastAsia" w:eastAsia="仿宋_GB2312"/>
          <w:b/>
          <w:bCs/>
          <w:sz w:val="24"/>
        </w:rPr>
        <w:t>）外部报告</w:t>
      </w:r>
    </w:p>
    <w:p>
      <w:pPr>
        <w:spacing w:before="120" w:beforeLines="50" w:line="360" w:lineRule="auto"/>
        <w:ind w:firstLine="480" w:firstLineChars="200"/>
        <w:rPr>
          <w:rFonts w:eastAsia="仿宋_GB2312"/>
          <w:sz w:val="24"/>
        </w:rPr>
      </w:pPr>
      <w:r>
        <w:rPr>
          <w:rFonts w:hint="eastAsia" w:eastAsia="仿宋_GB2312"/>
          <w:sz w:val="24"/>
        </w:rPr>
        <w:t>当突发环境事件发生后，可能对外环境造成影响时，应急领导小组必须立即向可能受影响的区域进行通报，并在发生事件后1小时内上报</w:t>
      </w:r>
      <w:r>
        <w:rPr>
          <w:rFonts w:hint="eastAsia" w:eastAsia="仿宋_GB2312"/>
          <w:sz w:val="24"/>
          <w:lang w:eastAsia="zh-CN"/>
        </w:rPr>
        <w:t>开发区管委会</w:t>
      </w:r>
      <w:r>
        <w:rPr>
          <w:rFonts w:hint="eastAsia" w:eastAsia="仿宋_GB2312"/>
          <w:sz w:val="24"/>
        </w:rPr>
        <w:t>、韶关市生态环境局翁源分局。</w:t>
      </w:r>
    </w:p>
    <w:p>
      <w:pPr>
        <w:spacing w:before="120" w:beforeLines="50" w:line="360" w:lineRule="auto"/>
        <w:ind w:firstLine="482" w:firstLineChars="200"/>
        <w:rPr>
          <w:rFonts w:eastAsia="仿宋_GB2312"/>
          <w:b/>
          <w:bCs/>
          <w:sz w:val="24"/>
        </w:rPr>
      </w:pPr>
      <w:r>
        <w:rPr>
          <w:rFonts w:hint="eastAsia" w:eastAsia="仿宋_GB2312"/>
          <w:b/>
          <w:bCs/>
          <w:sz w:val="24"/>
        </w:rPr>
        <w:t>（</w:t>
      </w:r>
      <w:r>
        <w:rPr>
          <w:rFonts w:eastAsia="仿宋_GB2312"/>
          <w:b/>
          <w:bCs/>
          <w:sz w:val="24"/>
        </w:rPr>
        <w:t>3</w:t>
      </w:r>
      <w:r>
        <w:rPr>
          <w:rFonts w:hint="eastAsia" w:eastAsia="仿宋_GB2312"/>
          <w:b/>
          <w:bCs/>
          <w:sz w:val="24"/>
        </w:rPr>
        <w:t>）报告内容</w:t>
      </w:r>
    </w:p>
    <w:p>
      <w:pPr>
        <w:spacing w:before="120" w:beforeLines="50" w:line="360" w:lineRule="auto"/>
        <w:ind w:firstLine="480" w:firstLineChars="200"/>
        <w:rPr>
          <w:rFonts w:eastAsia="仿宋_GB2312"/>
          <w:sz w:val="24"/>
        </w:rPr>
      </w:pPr>
      <w:r>
        <w:rPr>
          <w:rFonts w:hint="eastAsia" w:eastAsia="仿宋_GB2312"/>
          <w:sz w:val="24"/>
        </w:rPr>
        <w:t>突发环境事件的报告分为初报（或速报）、续报和处理结果报告三类。</w:t>
      </w:r>
    </w:p>
    <w:p>
      <w:pPr>
        <w:spacing w:before="120" w:beforeLines="50" w:line="360" w:lineRule="auto"/>
        <w:ind w:firstLine="480" w:firstLineChars="200"/>
        <w:rPr>
          <w:rFonts w:eastAsia="仿宋_GB2312"/>
          <w:sz w:val="24"/>
        </w:rPr>
      </w:pPr>
      <w:r>
        <w:rPr>
          <w:rFonts w:hint="eastAsia" w:eastAsia="仿宋_GB2312"/>
          <w:sz w:val="24"/>
        </w:rPr>
        <w:t>初报（或速报）从发生事件后1h内上报，为了保证上报的时限，采用电话等现代化通讯手段，必要时要安排人员直接报告。</w:t>
      </w:r>
    </w:p>
    <w:p>
      <w:pPr>
        <w:spacing w:before="120" w:beforeLines="50" w:line="360" w:lineRule="auto"/>
        <w:ind w:firstLine="480" w:firstLineChars="200"/>
        <w:rPr>
          <w:rFonts w:eastAsia="仿宋_GB2312"/>
          <w:sz w:val="24"/>
        </w:rPr>
      </w:pPr>
      <w:r>
        <w:rPr>
          <w:rFonts w:hint="eastAsia" w:eastAsia="仿宋_GB2312"/>
          <w:sz w:val="24"/>
        </w:rPr>
        <w:t>应急救援指挥部向</w:t>
      </w:r>
      <w:r>
        <w:rPr>
          <w:rFonts w:hint="eastAsia" w:eastAsia="仿宋_GB2312"/>
          <w:sz w:val="24"/>
          <w:lang w:eastAsia="zh-CN"/>
        </w:rPr>
        <w:t>开发区管委会</w:t>
      </w:r>
      <w:r>
        <w:rPr>
          <w:rFonts w:hint="eastAsia" w:eastAsia="仿宋_GB2312"/>
          <w:sz w:val="24"/>
        </w:rPr>
        <w:t>及韶关市生态环境局翁源分局报告环境污染事件时，主要内容包括：企业名称、详细地址、电话、环境事件类型、发生时间、地点、污染源、排放污染物的种类、主要污染物质、数量人员受害情况、已采取的应急措施、已污染的范围、潜在的危害程度、转化趋向、当地气象条件或水流情况、进一步处理措施和建议等。</w:t>
      </w:r>
    </w:p>
    <w:p>
      <w:pPr>
        <w:spacing w:before="120" w:beforeLines="50" w:line="360" w:lineRule="auto"/>
        <w:ind w:firstLine="480" w:firstLineChars="200"/>
        <w:rPr>
          <w:rFonts w:eastAsia="仿宋_GB2312"/>
          <w:sz w:val="24"/>
        </w:rPr>
      </w:pPr>
      <w:r>
        <w:rPr>
          <w:rFonts w:hint="eastAsia" w:eastAsia="仿宋_GB2312"/>
          <w:sz w:val="24"/>
        </w:rPr>
        <w:t>续报是在初报的基础上报告相关确切数据、事件发生的原因、过程及采取的应急措施等基本情况。续报可通过网络或书面报告，在初报的基础上报告有关确切数据，事件发生的原因过程、进展情况及采取的应急措施等基本情况。</w:t>
      </w:r>
    </w:p>
    <w:p>
      <w:pPr>
        <w:spacing w:before="120" w:beforeLines="50" w:line="360" w:lineRule="auto"/>
        <w:ind w:firstLine="480" w:firstLineChars="200"/>
        <w:rPr>
          <w:rFonts w:eastAsia="仿宋_GB2312"/>
          <w:sz w:val="24"/>
        </w:rPr>
      </w:pPr>
      <w:r>
        <w:rPr>
          <w:rFonts w:hint="eastAsia" w:eastAsia="仿宋_GB2312"/>
          <w:sz w:val="24"/>
        </w:rPr>
        <w:t>处理结果报告采取书面报告，是在事件处理完毕后在确报的基础上，报告处理事件的措施、过程和结果，事件潜在或间接的危害、社会影响、处理后的遗留问题、参加处理工作的有关部门和工作内容，出具有关危害和损失的证明文件等详细情况。</w:t>
      </w:r>
    </w:p>
    <w:p>
      <w:pPr>
        <w:spacing w:before="120" w:beforeLines="50" w:line="360" w:lineRule="auto"/>
        <w:ind w:firstLine="480" w:firstLineChars="200"/>
        <w:rPr>
          <w:rFonts w:eastAsia="仿宋_GB2312"/>
          <w:sz w:val="24"/>
        </w:rPr>
      </w:pPr>
      <w:r>
        <w:rPr>
          <w:rFonts w:hint="eastAsia" w:eastAsia="仿宋_GB2312"/>
          <w:sz w:val="24"/>
        </w:rPr>
        <w:t>处理结果报告在事件处理完毕后立即上报。</w:t>
      </w:r>
    </w:p>
    <w:p>
      <w:pPr>
        <w:spacing w:before="120" w:beforeLines="50" w:line="360" w:lineRule="auto"/>
        <w:ind w:firstLine="480" w:firstLineChars="200"/>
        <w:rPr>
          <w:rFonts w:eastAsia="仿宋_GB2312"/>
          <w:sz w:val="24"/>
        </w:rPr>
      </w:pPr>
      <w:r>
        <w:rPr>
          <w:rFonts w:hint="eastAsia" w:eastAsia="仿宋_GB2312"/>
          <w:sz w:val="24"/>
        </w:rPr>
        <w:t>事故应急报告程序见图5.2-1</w:t>
      </w:r>
      <w:r>
        <w:rPr>
          <w:rFonts w:eastAsia="仿宋_GB2312"/>
          <w:sz w:val="24"/>
        </w:rPr>
        <w:t>。</w:t>
      </w:r>
    </w:p>
    <w:p>
      <w:pPr>
        <w:pStyle w:val="2"/>
        <w:ind w:firstLine="420"/>
      </w:pPr>
    </w:p>
    <w:p>
      <w:pPr>
        <w:spacing w:line="336" w:lineRule="auto"/>
        <w:rPr>
          <w:rFonts w:eastAsia="仿宋"/>
          <w:sz w:val="28"/>
          <w:szCs w:val="28"/>
        </w:rPr>
      </w:pPr>
      <w:r>
        <w:rPr>
          <w:rFonts w:eastAsia="仿宋"/>
          <w:sz w:val="28"/>
          <w:szCs w:val="28"/>
        </w:rPr>
        <w:pict>
          <v:group id="画布 10" o:spid="_x0000_s1616" o:spt="203" style="height:234.3pt;width:385.6pt;" coordorigin="1797,10684" coordsize="7712,4686" editas="canvas">
            <o:lock v:ext="edit"/>
            <v:shape id="画布 10" o:spid="_x0000_s1617" o:spt="75" type="#_x0000_t75" style="position:absolute;left:1797;top:10684;height:4686;width:7712;" filled="t" coordsize="21600,21600">
              <v:fill on="t" focussize="0,0"/>
              <v:stroke/>
              <v:imagedata o:title=""/>
              <o:lock v:ext="edit" rotation="t" text="t" aspectratio="t"/>
            </v:shape>
            <v:shape id="文本框 11" o:spid="_x0000_s1618" o:spt="202" type="#_x0000_t202" style="position:absolute;left:4544;top:11069;height:1034;width:2754;" coordsize="21600,21600">
              <v:path/>
              <v:fill focussize="0,0"/>
              <v:stroke weight="1.5pt"/>
              <v:imagedata o:title=""/>
              <o:lock v:ext="edit"/>
              <v:shadow on="t" opacity="32768f" offset="6pt,6pt"/>
              <v:textbox>
                <w:txbxContent>
                  <w:p>
                    <w:pPr>
                      <w:jc w:val="center"/>
                    </w:pPr>
                    <w:r>
                      <w:rPr>
                        <w:rFonts w:hint="eastAsia"/>
                      </w:rPr>
                      <w:t>翁源县人民政府</w:t>
                    </w:r>
                  </w:p>
                  <w:p>
                    <w:pPr>
                      <w:jc w:val="center"/>
                    </w:pPr>
                    <w:r>
                      <w:rPr>
                        <w:rFonts w:hint="eastAsia"/>
                      </w:rPr>
                      <w:t>韶关市生态环境翁源分局</w:t>
                    </w:r>
                  </w:p>
                  <w:p>
                    <w:pPr>
                      <w:jc w:val="center"/>
                    </w:pPr>
                    <w:r>
                      <w:rPr>
                        <w:rFonts w:hint="eastAsia"/>
                        <w:lang w:val="en-US" w:eastAsia="zh-CN"/>
                      </w:rPr>
                      <w:t>开发区</w:t>
                    </w:r>
                    <w:r>
                      <w:rPr>
                        <w:rFonts w:hint="eastAsia"/>
                      </w:rPr>
                      <w:t>管委会</w:t>
                    </w:r>
                  </w:p>
                </w:txbxContent>
              </v:textbox>
            </v:shape>
            <v:shape id="文本框 12" o:spid="_x0000_s1619" o:spt="202" type="#_x0000_t202" style="position:absolute;left:4674;top:12726;height:468;width:2174;" coordsize="21600,21600">
              <v:path/>
              <v:fill focussize="0,0"/>
              <v:stroke weight="1.5pt"/>
              <v:imagedata o:title=""/>
              <o:lock v:ext="edit"/>
              <v:shadow on="t" opacity="32768f" offset="6pt,6pt"/>
              <v:textbox>
                <w:txbxContent>
                  <w:p>
                    <w:pPr>
                      <w:jc w:val="center"/>
                    </w:pPr>
                    <w:r>
                      <w:rPr>
                        <w:rFonts w:hint="eastAsia"/>
                      </w:rPr>
                      <w:t>公司应急领导小组</w:t>
                    </w:r>
                  </w:p>
                </w:txbxContent>
              </v:textbox>
            </v:shape>
            <v:shape id="文本框 13" o:spid="_x0000_s1620" o:spt="202" type="#_x0000_t202" style="position:absolute;left:4842;top:13664;height:467;width:2101;" coordsize="21600,21600">
              <v:path/>
              <v:fill focussize="0,0"/>
              <v:stroke weight="1.5pt"/>
              <v:imagedata o:title=""/>
              <o:lock v:ext="edit"/>
              <v:shadow on="t" opacity="32768f" offset="6pt,6pt"/>
              <v:textbox>
                <w:txbxContent>
                  <w:p>
                    <w:r>
                      <w:rPr>
                        <w:rFonts w:hint="eastAsia"/>
                      </w:rPr>
                      <w:t>事发单位应急领导小组车间当班领导</w:t>
                    </w:r>
                  </w:p>
                </w:txbxContent>
              </v:textbox>
            </v:shape>
            <v:shape id="文本框 14" o:spid="_x0000_s1621" o:spt="202" type="#_x0000_t202" style="position:absolute;left:4842;top:14600;height:467;width:2101;" coordsize="21600,21600">
              <v:path/>
              <v:fill focussize="0,0"/>
              <v:stroke weight="1.5pt"/>
              <v:imagedata o:title=""/>
              <o:lock v:ext="edit"/>
              <v:shadow on="t" opacity="32768f" offset="6pt,6pt"/>
              <v:textbox>
                <w:txbxContent>
                  <w:p>
                    <w:pPr>
                      <w:jc w:val="center"/>
                    </w:pPr>
                    <w:r>
                      <w:rPr>
                        <w:rFonts w:hint="eastAsia"/>
                      </w:rPr>
                      <w:t>现场发现者</w:t>
                    </w:r>
                  </w:p>
                </w:txbxContent>
              </v:textbox>
            </v:shape>
            <v:line id="直线 15" o:spid="_x0000_s1622" o:spt="20" style="position:absolute;left:5891;top:14131;flip:y;height:469;width:1;" coordsize="21600,21600">
              <v:path arrowok="t"/>
              <v:fill focussize="0,0"/>
              <v:stroke endarrow="block"/>
              <v:imagedata o:title=""/>
              <o:lock v:ext="edit"/>
            </v:line>
            <v:line id="直线 16" o:spid="_x0000_s1623" o:spt="20" style="position:absolute;left:5890;top:13194;flip:y;height:470;width:1;" coordsize="21600,21600">
              <v:path arrowok="t"/>
              <v:fill focussize="0,0"/>
              <v:stroke endarrow="block"/>
              <v:imagedata o:title=""/>
              <o:lock v:ext="edit"/>
            </v:line>
            <v:line id="直线 17" o:spid="_x0000_s1624" o:spt="20" style="position:absolute;left:5893;top:12101;flip:y;height:625;width:2;" coordsize="21600,21600">
              <v:path arrowok="t"/>
              <v:fill focussize="0,0"/>
              <v:stroke endarrow="block"/>
              <v:imagedata o:title=""/>
              <o:lock v:ext="edit"/>
            </v:line>
            <v:shape id="艺术字 18" o:spid="_x0000_s1625" o:spt="136" type="#_x0000_t136" style="position:absolute;left:5997;top:14276;height:180;width:540;" coordsize="21600,21600">
              <v:path/>
              <v:fill focussize="0,0"/>
              <v:stroke/>
              <v:imagedata o:title=""/>
              <o:lock v:ext="edit"/>
              <v:textpath on="t" fitshape="t" fitpath="t" trim="t" xscale="f" string="现场级" style="font-family:宋体;font-size:9pt;v-text-align:center;"/>
            </v:shape>
            <v:shape id="艺术字 19" o:spid="_x0000_s1626" o:spt="136" type="#_x0000_t136" style="position:absolute;left:5997;top:12397;height:179;width:540;" coordsize="21600,21600">
              <v:path/>
              <v:fill focussize="0,0"/>
              <v:stroke/>
              <v:imagedata o:title=""/>
              <o:lock v:ext="edit"/>
              <v:textpath on="t" fitshape="t" fitpath="t" trim="t" xscale="f" string="社会级" style="font-family:宋体;font-size:9pt;v-text-align:center;"/>
            </v:shape>
            <v:line id="直线 20" o:spid="_x0000_s1627" o:spt="20" style="position:absolute;left:6943;top:14600;height:1;width:420;" coordsize="21600,21600">
              <v:path arrowok="t"/>
              <v:fill focussize="0,0"/>
              <v:stroke/>
              <v:imagedata o:title=""/>
              <o:lock v:ext="edit"/>
            </v:line>
            <v:line id="直线 21" o:spid="_x0000_s1628" o:spt="20" style="position:absolute;left:7363;top:12974;flip:y;height:1626;width:1;" coordsize="21600,21600">
              <v:path arrowok="t"/>
              <v:fill focussize="0,0"/>
              <v:stroke/>
              <v:imagedata o:title=""/>
              <o:lock v:ext="edit"/>
            </v:line>
            <v:line id="直线 22" o:spid="_x0000_s1629" o:spt="20" style="position:absolute;left:6837;top:12972;flip:x;height:2;width:526;" coordsize="21600,21600">
              <v:path arrowok="t"/>
              <v:fill focussize="0,0"/>
              <v:stroke endarrow="block"/>
              <v:imagedata o:title=""/>
              <o:lock v:ext="edit"/>
            </v:line>
            <v:shape id="艺术字 23" o:spid="_x0000_s1630" o:spt="136" type="#_x0000_t136" style="position:absolute;left:7468;top:13039;height:900;width:179;" coordsize="21600,21600">
              <v:path/>
              <v:fill focussize="0,0"/>
              <v:stroke/>
              <v:imagedata o:title=""/>
              <o:lock v:ext="edit"/>
              <v:textpath on="t" fitshape="t" fitpath="t" trim="t" xscale="f" string="情&#10;况&#10;紧&#10;急&#10;时" style="font-family:宋体;font-size:9pt;v-text-align:center;"/>
            </v:shape>
            <v:shape id="艺术字 487" o:spid="_x0000_s1631" o:spt="136" type="#_x0000_t136" style="position:absolute;left:5997;top:13411;height:180;width:540;" coordsize="21600,21600">
              <v:path/>
              <v:fill focussize="0,0"/>
              <v:stroke/>
              <v:imagedata o:title=""/>
              <o:lock v:ext="edit"/>
              <v:textpath on="t" fitshape="t" fitpath="t" trim="t" xscale="f" string="企业级" style="font-family:宋体;font-size:9pt;v-text-align:center;"/>
            </v:shape>
            <w10:wrap type="none"/>
            <w10:anchorlock/>
          </v:group>
        </w:pict>
      </w:r>
    </w:p>
    <w:p>
      <w:pPr>
        <w:spacing w:line="360" w:lineRule="auto"/>
        <w:jc w:val="center"/>
        <w:rPr>
          <w:rFonts w:eastAsia="仿宋"/>
          <w:b/>
          <w:szCs w:val="21"/>
        </w:rPr>
      </w:pPr>
      <w:r>
        <w:rPr>
          <w:rFonts w:hint="eastAsia" w:eastAsia="仿宋"/>
          <w:b/>
          <w:szCs w:val="21"/>
        </w:rPr>
        <w:t>图5.2</w:t>
      </w:r>
      <w:r>
        <w:rPr>
          <w:rFonts w:eastAsia="仿宋"/>
          <w:b/>
          <w:szCs w:val="21"/>
        </w:rPr>
        <w:t>-1</w:t>
      </w:r>
      <w:r>
        <w:rPr>
          <w:rFonts w:hint="eastAsia" w:eastAsia="仿宋"/>
          <w:b/>
          <w:szCs w:val="21"/>
        </w:rPr>
        <w:t>事故应急报告程序</w:t>
      </w:r>
    </w:p>
    <w:p>
      <w:pPr>
        <w:spacing w:before="120" w:beforeLines="50" w:line="360" w:lineRule="auto"/>
        <w:outlineLvl w:val="2"/>
        <w:rPr>
          <w:b/>
          <w:sz w:val="28"/>
          <w:szCs w:val="28"/>
        </w:rPr>
      </w:pPr>
      <w:bookmarkStart w:id="85" w:name="_Toc11535"/>
      <w:r>
        <w:rPr>
          <w:rFonts w:hint="eastAsia"/>
          <w:b/>
          <w:sz w:val="28"/>
          <w:szCs w:val="28"/>
        </w:rPr>
        <w:t>5.2.2事件报告形式</w:t>
      </w:r>
      <w:bookmarkEnd w:id="85"/>
    </w:p>
    <w:p>
      <w:pPr>
        <w:spacing w:before="120" w:beforeLines="50" w:line="360" w:lineRule="auto"/>
        <w:ind w:firstLine="480" w:firstLineChars="200"/>
        <w:rPr>
          <w:rFonts w:eastAsia="仿宋_GB2312"/>
          <w:sz w:val="24"/>
        </w:rPr>
      </w:pPr>
      <w:r>
        <w:rPr>
          <w:rFonts w:eastAsia="仿宋_GB2312"/>
          <w:sz w:val="24"/>
        </w:rPr>
        <w:t>事件报告分为速报、确报和处理结果报告三类。报告应采用适当方式，避免造成不利影响。</w:t>
      </w:r>
    </w:p>
    <w:p>
      <w:pPr>
        <w:spacing w:before="120" w:beforeLines="50" w:line="360" w:lineRule="auto"/>
        <w:ind w:firstLine="480" w:firstLineChars="200"/>
        <w:rPr>
          <w:rFonts w:eastAsia="仿宋_GB2312"/>
          <w:sz w:val="24"/>
        </w:rPr>
      </w:pPr>
      <w:r>
        <w:rPr>
          <w:rFonts w:hint="eastAsia" w:eastAsia="仿宋_GB2312"/>
          <w:sz w:val="24"/>
        </w:rPr>
        <w:t>（1）</w:t>
      </w:r>
      <w:r>
        <w:rPr>
          <w:rFonts w:eastAsia="仿宋_GB2312"/>
          <w:sz w:val="24"/>
        </w:rPr>
        <w:t>速报</w:t>
      </w:r>
      <w:r>
        <w:rPr>
          <w:rFonts w:hint="eastAsia" w:eastAsia="仿宋_GB2312"/>
          <w:sz w:val="24"/>
        </w:rPr>
        <w:t>：</w:t>
      </w:r>
      <w:r>
        <w:rPr>
          <w:rFonts w:eastAsia="仿宋_GB2312"/>
          <w:sz w:val="24"/>
        </w:rPr>
        <w:t>从发现</w:t>
      </w:r>
      <w:r>
        <w:rPr>
          <w:rFonts w:hint="eastAsia" w:eastAsia="仿宋_GB2312"/>
          <w:sz w:val="24"/>
        </w:rPr>
        <w:t>厂区级</w:t>
      </w:r>
      <w:r>
        <w:rPr>
          <w:rFonts w:eastAsia="仿宋_GB2312"/>
          <w:sz w:val="24"/>
        </w:rPr>
        <w:t>突发环境事件后起1小时内上报，报告形式可通过电话、手机短信，必要时派人直接报告；报告内容包括</w:t>
      </w:r>
      <w:r>
        <w:rPr>
          <w:rFonts w:hint="eastAsia" w:eastAsia="仿宋_GB2312"/>
          <w:sz w:val="24"/>
        </w:rPr>
        <w:t>：</w:t>
      </w:r>
      <w:r>
        <w:rPr>
          <w:rFonts w:eastAsia="仿宋_GB2312"/>
          <w:sz w:val="24"/>
        </w:rPr>
        <w:t>污染事件类型、发生时间、地点、污染源、主要污染物质等初步情况。</w:t>
      </w:r>
    </w:p>
    <w:p>
      <w:pPr>
        <w:spacing w:before="120" w:beforeLines="50" w:line="360" w:lineRule="auto"/>
        <w:ind w:firstLine="480" w:firstLineChars="200"/>
        <w:rPr>
          <w:rFonts w:eastAsia="仿宋_GB2312"/>
          <w:sz w:val="24"/>
        </w:rPr>
      </w:pPr>
      <w:r>
        <w:rPr>
          <w:rFonts w:hint="eastAsia" w:eastAsia="仿宋_GB2312"/>
          <w:sz w:val="24"/>
        </w:rPr>
        <w:t>（2）</w:t>
      </w:r>
      <w:r>
        <w:rPr>
          <w:rFonts w:eastAsia="仿宋_GB2312"/>
          <w:sz w:val="24"/>
        </w:rPr>
        <w:t>确报</w:t>
      </w:r>
      <w:r>
        <w:rPr>
          <w:rFonts w:hint="eastAsia" w:eastAsia="仿宋_GB2312"/>
          <w:sz w:val="24"/>
        </w:rPr>
        <w:t>：</w:t>
      </w:r>
      <w:r>
        <w:rPr>
          <w:rFonts w:eastAsia="仿宋_GB2312"/>
          <w:sz w:val="24"/>
        </w:rPr>
        <w:t>从发现公司级突发环境事件后起24小时内上报，报告形式可通过传真、电子邮件或书面报告；报告内容包括:在速报的基础上报告有关确切数据和事故发生的原因、过程、进展情况及采取的应急措施等基本情况。</w:t>
      </w:r>
    </w:p>
    <w:p>
      <w:pPr>
        <w:spacing w:before="120" w:beforeLines="50" w:line="360" w:lineRule="auto"/>
        <w:ind w:firstLine="480" w:firstLineChars="200"/>
        <w:rPr>
          <w:rFonts w:eastAsia="仿宋_GB2312"/>
          <w:sz w:val="24"/>
        </w:rPr>
      </w:pPr>
      <w:r>
        <w:rPr>
          <w:rFonts w:hint="eastAsia" w:eastAsia="仿宋_GB2312"/>
          <w:sz w:val="24"/>
        </w:rPr>
        <w:t>（3）</w:t>
      </w:r>
      <w:r>
        <w:rPr>
          <w:rFonts w:eastAsia="仿宋_GB2312"/>
          <w:sz w:val="24"/>
        </w:rPr>
        <w:t>处理结果报告</w:t>
      </w:r>
      <w:r>
        <w:rPr>
          <w:rFonts w:hint="eastAsia" w:eastAsia="仿宋_GB2312"/>
          <w:sz w:val="24"/>
        </w:rPr>
        <w:t>：</w:t>
      </w:r>
      <w:r>
        <w:rPr>
          <w:rFonts w:eastAsia="仿宋_GB2312"/>
          <w:sz w:val="24"/>
        </w:rPr>
        <w:t>在事件处理完毕后立即采用书面形式上报，报告内容包括:在速报或确报的基础上，报告处理环境事件的措施、过程和结果，事件潜在或间接的危害、社会影响、处理后的遗留问题，参加处理的有关部门和工作内容，出具有关危害与损失的证明文件等详细情况。</w:t>
      </w:r>
    </w:p>
    <w:p>
      <w:pPr>
        <w:spacing w:before="120" w:beforeLines="50" w:line="360" w:lineRule="auto"/>
        <w:ind w:firstLine="480" w:firstLineChars="200"/>
        <w:rPr>
          <w:rFonts w:eastAsia="仿宋_GB2312"/>
          <w:sz w:val="24"/>
        </w:rPr>
      </w:pPr>
      <w:r>
        <w:rPr>
          <w:rFonts w:hint="eastAsia" w:eastAsia="仿宋_GB2312"/>
          <w:sz w:val="24"/>
        </w:rPr>
        <w:t>（4）</w:t>
      </w:r>
      <w:r>
        <w:rPr>
          <w:rFonts w:eastAsia="仿宋_GB2312"/>
          <w:sz w:val="24"/>
        </w:rPr>
        <w:t>信息上报</w:t>
      </w:r>
      <w:r>
        <w:rPr>
          <w:rFonts w:hint="eastAsia" w:eastAsia="仿宋_GB2312"/>
          <w:sz w:val="24"/>
        </w:rPr>
        <w:t>：</w:t>
      </w:r>
      <w:r>
        <w:rPr>
          <w:rFonts w:eastAsia="仿宋_GB2312"/>
          <w:sz w:val="24"/>
        </w:rPr>
        <w:t>按照国家突发环境事件报告时限和程序上报。报告内容包括事故发生单位名称、联系人、联系方式、事故发生时间、地点、污染经过、现状、人员伤亡经济损失情况等。</w:t>
      </w:r>
    </w:p>
    <w:p>
      <w:pPr>
        <w:autoSpaceDE w:val="0"/>
        <w:autoSpaceDN w:val="0"/>
        <w:adjustRightInd w:val="0"/>
        <w:snapToGrid w:val="0"/>
        <w:spacing w:line="360" w:lineRule="auto"/>
        <w:ind w:firstLine="480" w:firstLineChars="200"/>
        <w:jc w:val="left"/>
        <w:rPr>
          <w:rFonts w:eastAsia="仿宋"/>
          <w:kern w:val="0"/>
          <w:sz w:val="28"/>
          <w:szCs w:val="28"/>
          <w:lang w:val="zh-CN"/>
        </w:rPr>
      </w:pPr>
      <w:r>
        <w:rPr>
          <w:rFonts w:hint="eastAsia" w:eastAsia="仿宋_GB2312"/>
          <w:sz w:val="24"/>
        </w:rPr>
        <w:t>（5）</w:t>
      </w:r>
      <w:r>
        <w:rPr>
          <w:rFonts w:eastAsia="仿宋_GB2312"/>
          <w:sz w:val="24"/>
        </w:rPr>
        <w:t>通报</w:t>
      </w:r>
      <w:r>
        <w:rPr>
          <w:rFonts w:hint="eastAsia" w:eastAsia="仿宋_GB2312"/>
          <w:sz w:val="24"/>
        </w:rPr>
        <w:t>：</w:t>
      </w:r>
      <w:r>
        <w:rPr>
          <w:rFonts w:eastAsia="仿宋_GB2312"/>
          <w:sz w:val="24"/>
        </w:rPr>
        <w:t>当预计污染险情将威胁周边环境时，公司应急领导小组应立即电话上报</w:t>
      </w:r>
      <w:r>
        <w:rPr>
          <w:rFonts w:hint="eastAsia" w:eastAsia="仿宋_GB2312"/>
          <w:sz w:val="24"/>
          <w:lang w:eastAsia="zh-CN"/>
        </w:rPr>
        <w:t>开发区管委会</w:t>
      </w:r>
      <w:r>
        <w:rPr>
          <w:rFonts w:eastAsia="仿宋_GB2312"/>
          <w:sz w:val="24"/>
        </w:rPr>
        <w:t>、</w:t>
      </w:r>
      <w:r>
        <w:rPr>
          <w:rFonts w:hint="eastAsia" w:eastAsia="仿宋_GB2312"/>
          <w:sz w:val="24"/>
        </w:rPr>
        <w:t>翁源县</w:t>
      </w:r>
      <w:r>
        <w:rPr>
          <w:rFonts w:eastAsia="仿宋_GB2312"/>
          <w:sz w:val="24"/>
        </w:rPr>
        <w:t>人民政府、</w:t>
      </w:r>
      <w:r>
        <w:rPr>
          <w:rFonts w:hint="eastAsia" w:eastAsia="仿宋_GB2312"/>
          <w:sz w:val="24"/>
        </w:rPr>
        <w:t>韶关市生态环境局翁源分局</w:t>
      </w:r>
      <w:r>
        <w:rPr>
          <w:rFonts w:eastAsia="仿宋_GB2312"/>
          <w:sz w:val="24"/>
        </w:rPr>
        <w:t>，上报内容包括事故概况、现状、可能波及范围及危害等。</w:t>
      </w:r>
    </w:p>
    <w:p>
      <w:pPr>
        <w:spacing w:before="120" w:beforeLines="50" w:line="360" w:lineRule="auto"/>
        <w:outlineLvl w:val="1"/>
        <w:rPr>
          <w:b/>
          <w:sz w:val="30"/>
          <w:szCs w:val="30"/>
        </w:rPr>
      </w:pPr>
      <w:bookmarkStart w:id="86" w:name="_Toc29098"/>
      <w:r>
        <w:rPr>
          <w:rFonts w:hint="eastAsia"/>
          <w:b/>
          <w:sz w:val="30"/>
          <w:szCs w:val="30"/>
        </w:rPr>
        <w:t>5</w:t>
      </w:r>
      <w:r>
        <w:rPr>
          <w:b/>
          <w:sz w:val="30"/>
          <w:szCs w:val="30"/>
        </w:rPr>
        <w:t>.3</w:t>
      </w:r>
      <w:r>
        <w:rPr>
          <w:rFonts w:hint="eastAsia"/>
          <w:b/>
          <w:sz w:val="30"/>
          <w:szCs w:val="30"/>
        </w:rPr>
        <w:t>应急处置措施</w:t>
      </w:r>
      <w:bookmarkEnd w:id="86"/>
    </w:p>
    <w:p>
      <w:pPr>
        <w:spacing w:before="120" w:beforeLines="50" w:line="360" w:lineRule="auto"/>
        <w:outlineLvl w:val="2"/>
        <w:rPr>
          <w:b/>
          <w:sz w:val="28"/>
          <w:szCs w:val="28"/>
        </w:rPr>
      </w:pPr>
      <w:bookmarkStart w:id="87" w:name="_Toc6116"/>
      <w:r>
        <w:rPr>
          <w:rFonts w:hint="eastAsia"/>
          <w:b/>
          <w:sz w:val="28"/>
          <w:szCs w:val="28"/>
        </w:rPr>
        <w:t>5.3.1火灾、爆炸应急处置措施</w:t>
      </w:r>
      <w:bookmarkEnd w:id="87"/>
    </w:p>
    <w:p>
      <w:pPr>
        <w:spacing w:before="120" w:beforeLines="50" w:line="360" w:lineRule="auto"/>
        <w:ind w:firstLine="570"/>
        <w:rPr>
          <w:rFonts w:eastAsia="仿宋_GB2312"/>
          <w:b/>
          <w:sz w:val="24"/>
        </w:rPr>
      </w:pPr>
      <w:r>
        <w:rPr>
          <w:rFonts w:eastAsia="仿宋_GB2312"/>
          <w:b/>
          <w:sz w:val="24"/>
        </w:rPr>
        <w:t>发生火灾时，应采取以下应急措施：</w:t>
      </w:r>
    </w:p>
    <w:p>
      <w:pPr>
        <w:spacing w:before="120" w:beforeLines="50" w:line="360" w:lineRule="auto"/>
        <w:ind w:firstLine="480" w:firstLineChars="200"/>
        <w:rPr>
          <w:rFonts w:hint="eastAsia" w:eastAsia="仿宋_GB2312"/>
          <w:sz w:val="24"/>
          <w:lang w:val="en-US" w:eastAsia="zh-CN"/>
        </w:rPr>
      </w:pPr>
      <w:r>
        <w:rPr>
          <w:rFonts w:hint="eastAsia" w:eastAsia="仿宋_GB2312"/>
          <w:sz w:val="24"/>
          <w:lang w:val="en-US" w:eastAsia="zh-CN"/>
        </w:rPr>
        <w:t>1、发现火灾的第一人应立即停止作业。初起火灾，着火面积较小，由起火现场的操作人员从源头上消灭火灾（如切断泄漏源，移走易燃易爆物品，包装桶发生泄漏应迅速将包装桶移至安全区域，并更换），正确使用消防器材（干粉灭火器、砂土等），按正确的灭火方法灭火，力争在火灾初期得到控制、扑灭火灾，力求最小的事故损失。</w:t>
      </w:r>
    </w:p>
    <w:p>
      <w:pPr>
        <w:spacing w:before="120" w:beforeLines="50" w:line="360" w:lineRule="auto"/>
        <w:ind w:firstLine="480" w:firstLineChars="200"/>
        <w:rPr>
          <w:rFonts w:hint="eastAsia" w:eastAsia="仿宋_GB2312"/>
          <w:sz w:val="24"/>
          <w:lang w:val="en-US" w:eastAsia="zh-CN"/>
        </w:rPr>
      </w:pPr>
      <w:r>
        <w:rPr>
          <w:rFonts w:hint="eastAsia" w:eastAsia="仿宋_GB2312"/>
          <w:sz w:val="24"/>
          <w:lang w:val="en-US" w:eastAsia="zh-CN"/>
        </w:rPr>
        <w:t>2、扑救人员应占领上风或侧风阵地。 进行火情侦察、火灾扑救、火场疏散人员应有针对性地采取自我防护措施。如佩戴防护面具，穿戴专用防护服等。</w:t>
      </w:r>
    </w:p>
    <w:p>
      <w:pPr>
        <w:spacing w:before="120" w:beforeLines="50" w:line="360" w:lineRule="auto"/>
        <w:ind w:firstLine="480" w:firstLineChars="200"/>
        <w:rPr>
          <w:rFonts w:hint="eastAsia" w:eastAsia="仿宋_GB2312"/>
          <w:sz w:val="24"/>
          <w:lang w:val="en-US" w:eastAsia="zh-CN"/>
        </w:rPr>
      </w:pPr>
      <w:r>
        <w:rPr>
          <w:rFonts w:hint="eastAsia" w:eastAsia="仿宋_GB2312"/>
          <w:sz w:val="24"/>
          <w:lang w:val="en-US" w:eastAsia="zh-CN"/>
        </w:rPr>
        <w:t xml:space="preserve">3、应迅速查明燃烧范围、燃烧物品及其周围物品的品名和主要危险特性、火势蔓延的主要途径，燃烧的危险化学品及燃烧产物是否有毒。 </w:t>
      </w:r>
    </w:p>
    <w:p>
      <w:pPr>
        <w:spacing w:before="120" w:beforeLines="50" w:line="360" w:lineRule="auto"/>
        <w:ind w:firstLine="480" w:firstLineChars="200"/>
        <w:rPr>
          <w:rFonts w:hint="eastAsia" w:eastAsia="仿宋_GB2312"/>
          <w:sz w:val="24"/>
          <w:lang w:val="en-US" w:eastAsia="zh-CN"/>
        </w:rPr>
      </w:pPr>
      <w:r>
        <w:rPr>
          <w:rFonts w:hint="eastAsia" w:eastAsia="仿宋_GB2312"/>
          <w:sz w:val="24"/>
          <w:lang w:val="en-US" w:eastAsia="zh-CN"/>
        </w:rPr>
        <w:t xml:space="preserve">4、正确选择最适合的灭火剂和灭火方法，对易燃液体火灾可采用泡沫、干粉等灭火，同时冷却周边可燃物。火势较大时，应先堵截火势蔓延，控制燃烧范围后逐步扑灭火势。 </w:t>
      </w:r>
    </w:p>
    <w:p>
      <w:pPr>
        <w:spacing w:before="120" w:beforeLines="50" w:line="360" w:lineRule="auto"/>
        <w:ind w:firstLine="480" w:firstLineChars="200"/>
        <w:rPr>
          <w:rFonts w:hint="eastAsia" w:eastAsia="仿宋_GB2312"/>
          <w:sz w:val="24"/>
          <w:lang w:val="en-US" w:eastAsia="zh-CN"/>
        </w:rPr>
      </w:pPr>
      <w:r>
        <w:rPr>
          <w:rFonts w:hint="eastAsia" w:eastAsia="仿宋_GB2312"/>
          <w:sz w:val="24"/>
          <w:lang w:val="en-US" w:eastAsia="zh-CN"/>
        </w:rPr>
        <w:t>5、当火灾不能得到及时扑救，公司应急指挥部接到报告后，立即组织力量展开应急救援。</w:t>
      </w:r>
    </w:p>
    <w:p>
      <w:pPr>
        <w:spacing w:before="120" w:beforeLines="50" w:line="360" w:lineRule="auto"/>
        <w:ind w:firstLine="480" w:firstLineChars="200"/>
        <w:rPr>
          <w:rFonts w:hint="eastAsia" w:eastAsia="仿宋_GB2312"/>
          <w:sz w:val="24"/>
          <w:lang w:val="en-US" w:eastAsia="zh-CN"/>
        </w:rPr>
      </w:pPr>
      <w:r>
        <w:rPr>
          <w:rFonts w:hint="eastAsia" w:eastAsia="仿宋_GB2312"/>
          <w:sz w:val="24"/>
          <w:lang w:val="en-US" w:eastAsia="zh-CN"/>
        </w:rPr>
        <w:t>6、如火灾较大，公司自身无力处理时，应果断撤出抢险人员。并立即向消防部门报警（119），造成人员伤亡的，要立即报告120抢救。总指挥应立即报告区政府应急办，请求启动上一级预案。</w:t>
      </w:r>
    </w:p>
    <w:p>
      <w:pPr>
        <w:spacing w:before="120" w:beforeLines="50" w:line="360" w:lineRule="auto"/>
        <w:ind w:firstLine="480" w:firstLineChars="200"/>
        <w:rPr>
          <w:rFonts w:hint="default" w:eastAsia="仿宋_GB2312"/>
          <w:sz w:val="24"/>
          <w:lang w:val="en-US" w:eastAsia="zh-CN"/>
        </w:rPr>
      </w:pPr>
      <w:r>
        <w:rPr>
          <w:rFonts w:hint="eastAsia" w:eastAsia="仿宋_GB2312"/>
          <w:sz w:val="24"/>
          <w:lang w:val="en-US" w:eastAsia="zh-CN"/>
        </w:rPr>
        <w:t>7、</w:t>
      </w:r>
      <w:r>
        <w:rPr>
          <w:rFonts w:hint="eastAsia" w:eastAsia="仿宋_GB2312"/>
          <w:sz w:val="24"/>
        </w:rPr>
        <w:t>灭火</w:t>
      </w:r>
      <w:r>
        <w:rPr>
          <w:rFonts w:hint="eastAsia" w:eastAsia="仿宋_GB2312"/>
          <w:sz w:val="24"/>
          <w:lang w:val="en-US" w:eastAsia="zh-CN"/>
        </w:rPr>
        <w:t>前</w:t>
      </w:r>
      <w:r>
        <w:rPr>
          <w:rFonts w:hint="eastAsia" w:eastAsia="仿宋_GB2312"/>
          <w:sz w:val="24"/>
          <w:lang w:eastAsia="zh-CN"/>
        </w:rPr>
        <w:t>，</w:t>
      </w:r>
      <w:r>
        <w:rPr>
          <w:rFonts w:hint="eastAsia" w:eastAsia="仿宋_GB2312"/>
          <w:sz w:val="24"/>
          <w:lang w:val="en-US" w:eastAsia="zh-CN"/>
        </w:rPr>
        <w:t>关闭雨水排放口阀门，将消防废水排入沉淀池和事故应急池暂存，消防废水经污水处理站处理后回用。</w:t>
      </w:r>
    </w:p>
    <w:p>
      <w:pPr>
        <w:spacing w:before="120" w:beforeLines="50" w:line="360" w:lineRule="auto"/>
        <w:ind w:firstLine="570"/>
        <w:rPr>
          <w:rFonts w:eastAsia="仿宋_GB2312"/>
          <w:b/>
          <w:sz w:val="24"/>
        </w:rPr>
      </w:pPr>
      <w:r>
        <w:rPr>
          <w:rFonts w:eastAsia="仿宋_GB2312"/>
          <w:b/>
          <w:sz w:val="24"/>
        </w:rPr>
        <w:t>发生爆炸时，应采取以下应急措施：</w:t>
      </w:r>
    </w:p>
    <w:p>
      <w:pPr>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eastAsia="仿宋_GB2312"/>
          <w:sz w:val="24"/>
        </w:rPr>
      </w:pPr>
      <w:r>
        <w:rPr>
          <w:rFonts w:hint="eastAsia" w:eastAsia="仿宋_GB2312"/>
          <w:sz w:val="24"/>
          <w:lang w:val="en-US" w:eastAsia="zh-CN"/>
        </w:rPr>
        <w:t>1、</w:t>
      </w:r>
      <w:r>
        <w:rPr>
          <w:rFonts w:eastAsia="仿宋_GB2312"/>
          <w:sz w:val="24"/>
        </w:rPr>
        <w:t>迅速判断和查明再次发生爆炸的可能性和危险性，紧紧抓住爆炸后和再次发生爆炸</w:t>
      </w:r>
      <w:r>
        <w:rPr>
          <w:rFonts w:hint="eastAsia" w:eastAsia="仿宋_GB2312"/>
          <w:sz w:val="24"/>
        </w:rPr>
        <w:t>之间</w:t>
      </w:r>
      <w:r>
        <w:rPr>
          <w:rFonts w:eastAsia="仿宋_GB2312"/>
          <w:sz w:val="24"/>
        </w:rPr>
        <w:t>的有利时机，采取一切可能的措施，全力制止再次爆炸的发生。</w:t>
      </w:r>
    </w:p>
    <w:p>
      <w:pPr>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eastAsia="仿宋_GB2312"/>
          <w:sz w:val="24"/>
        </w:rPr>
      </w:pPr>
      <w:r>
        <w:rPr>
          <w:rFonts w:hint="eastAsia" w:eastAsia="仿宋_GB2312"/>
          <w:sz w:val="24"/>
          <w:lang w:val="en-US" w:eastAsia="zh-CN"/>
        </w:rPr>
        <w:t>2、</w:t>
      </w:r>
      <w:r>
        <w:rPr>
          <w:rFonts w:eastAsia="仿宋_GB2312"/>
          <w:sz w:val="24"/>
        </w:rPr>
        <w:t>切忌用沙土盖压，以免增强爆炸物品爆炸时的威力。</w:t>
      </w:r>
    </w:p>
    <w:p>
      <w:pPr>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eastAsia="仿宋_GB2312"/>
          <w:sz w:val="24"/>
        </w:rPr>
      </w:pPr>
      <w:r>
        <w:rPr>
          <w:rFonts w:hint="eastAsia" w:eastAsia="仿宋_GB2312"/>
          <w:sz w:val="24"/>
          <w:lang w:val="en-US" w:eastAsia="zh-CN"/>
        </w:rPr>
        <w:t>3、</w:t>
      </w:r>
      <w:r>
        <w:rPr>
          <w:rFonts w:eastAsia="仿宋_GB2312"/>
          <w:sz w:val="24"/>
        </w:rPr>
        <w:t>如果有疏散可能，在人身安全确有可靠保障的条件下，应立即组织力量及时疏散着火区域周围的爆炸物品，使着火区周围形成一个隔离带。</w:t>
      </w:r>
    </w:p>
    <w:p>
      <w:pPr>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eastAsia="仿宋_GB2312"/>
          <w:sz w:val="24"/>
        </w:rPr>
      </w:pPr>
      <w:r>
        <w:rPr>
          <w:rFonts w:hint="eastAsia" w:eastAsia="仿宋_GB2312"/>
          <w:sz w:val="24"/>
          <w:lang w:val="en-US" w:eastAsia="zh-CN"/>
        </w:rPr>
        <w:t>4、</w:t>
      </w:r>
      <w:r>
        <w:rPr>
          <w:rFonts w:eastAsia="仿宋_GB2312"/>
          <w:sz w:val="24"/>
        </w:rPr>
        <w:t>灭火人员应尽量利用现场现成的掩蔽体或尽量采用卧姿等低姿射水，尽可能地采取自我保护措施。消防车辆不要停靠离爆炸物品太近的水源。</w:t>
      </w:r>
    </w:p>
    <w:p>
      <w:pPr>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eastAsia="仿宋_GB2312"/>
          <w:sz w:val="24"/>
        </w:rPr>
      </w:pPr>
      <w:r>
        <w:rPr>
          <w:rFonts w:hint="eastAsia" w:eastAsia="仿宋_GB2312"/>
          <w:sz w:val="24"/>
          <w:lang w:val="en-US" w:eastAsia="zh-CN"/>
        </w:rPr>
        <w:t>5、</w:t>
      </w:r>
      <w:r>
        <w:rPr>
          <w:rFonts w:eastAsia="仿宋_GB2312"/>
          <w:sz w:val="24"/>
        </w:rPr>
        <w:t>灭火人员发现有发生再次爆炸的危险时，应立即向现场指挥报告，现场指挥应迅即作出准确判断，确有发生再次爆炸征兆或危险时，应立即下达撤退命令。灭火人员看到或听到撤退信号后，应迅速撤至安全地带。</w:t>
      </w:r>
    </w:p>
    <w:p>
      <w:pPr>
        <w:keepNext w:val="0"/>
        <w:keepLines w:val="0"/>
        <w:pageBreakBefore w:val="0"/>
        <w:widowControl w:val="0"/>
        <w:kinsoku/>
        <w:wordWrap/>
        <w:overflowPunct/>
        <w:topLinePunct w:val="0"/>
        <w:bidi w:val="0"/>
        <w:adjustRightInd w:val="0"/>
        <w:snapToGrid w:val="0"/>
        <w:spacing w:before="157" w:beforeLines="50" w:line="360" w:lineRule="auto"/>
        <w:ind w:firstLine="480" w:firstLineChars="200"/>
        <w:textAlignment w:val="auto"/>
        <w:rPr>
          <w:rFonts w:hint="default" w:eastAsia="仿宋_GB2312"/>
          <w:sz w:val="24"/>
          <w:lang w:val="en-US" w:eastAsia="zh-CN"/>
        </w:rPr>
      </w:pPr>
      <w:r>
        <w:rPr>
          <w:rFonts w:hint="eastAsia" w:eastAsia="仿宋_GB2312"/>
          <w:sz w:val="24"/>
          <w:lang w:val="en-US" w:eastAsia="zh-CN"/>
        </w:rPr>
        <w:t>6、灭火前，关闭雨水排放口阀门，将消防废水排入事故应急池暂存，消防废水经污水处理站处理后回用。</w:t>
      </w:r>
    </w:p>
    <w:p>
      <w:pPr>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jc w:val="left"/>
        <w:textAlignment w:val="auto"/>
        <w:rPr>
          <w:rFonts w:hint="eastAsia" w:eastAsia="仿宋_GB2312"/>
          <w:sz w:val="24"/>
        </w:rPr>
      </w:pPr>
      <w:r>
        <w:rPr>
          <w:rFonts w:hint="eastAsia" w:eastAsia="仿宋_GB2312"/>
          <w:sz w:val="24"/>
          <w:lang w:val="en-US" w:eastAsia="zh-CN"/>
        </w:rPr>
        <w:t>7、</w:t>
      </w:r>
      <w:r>
        <w:rPr>
          <w:rFonts w:hint="eastAsia" w:eastAsia="仿宋_GB2312"/>
          <w:sz w:val="24"/>
        </w:rPr>
        <w:t>火势熄灭后，仍需保证对着火罐和毗邻罐的冷却温度，直至温度降至安全温度后方可结束冷却再次侦查警戒范围内是否有残留有毒有害液体及污染源，组织实施输转，防止情况突变发生意外。</w:t>
      </w:r>
    </w:p>
    <w:p>
      <w:pPr>
        <w:spacing w:before="120" w:beforeLines="50" w:line="360" w:lineRule="auto"/>
        <w:outlineLvl w:val="2"/>
        <w:rPr>
          <w:b/>
          <w:sz w:val="28"/>
          <w:szCs w:val="28"/>
        </w:rPr>
      </w:pPr>
      <w:bookmarkStart w:id="88" w:name="_Toc20934"/>
      <w:r>
        <w:rPr>
          <w:rFonts w:hint="eastAsia"/>
          <w:b/>
          <w:sz w:val="28"/>
          <w:szCs w:val="28"/>
        </w:rPr>
        <w:t>5.3.2泄漏应急处置措施</w:t>
      </w:r>
      <w:bookmarkEnd w:id="88"/>
    </w:p>
    <w:p>
      <w:pPr>
        <w:keepNext w:val="0"/>
        <w:keepLines w:val="0"/>
        <w:pageBreakBefore w:val="0"/>
        <w:widowControl w:val="0"/>
        <w:numPr>
          <w:ilvl w:val="0"/>
          <w:numId w:val="0"/>
        </w:numPr>
        <w:kinsoku/>
        <w:wordWrap/>
        <w:overflowPunct/>
        <w:topLinePunct w:val="0"/>
        <w:autoSpaceDE w:val="0"/>
        <w:autoSpaceDN w:val="0"/>
        <w:bidi w:val="0"/>
        <w:adjustRightInd w:val="0"/>
        <w:snapToGrid w:val="0"/>
        <w:spacing w:before="157" w:beforeLines="50" w:line="360" w:lineRule="auto"/>
        <w:ind w:firstLine="480" w:firstLineChars="200"/>
        <w:jc w:val="left"/>
        <w:textAlignment w:val="auto"/>
        <w:rPr>
          <w:rFonts w:hint="eastAsia" w:ascii="仿宋_GB2312" w:hAnsi="仿宋_GB2312" w:eastAsia="仿宋_GB2312" w:cs="仿宋_GB2312"/>
          <w:color w:val="000000"/>
          <w:kern w:val="0"/>
          <w:sz w:val="24"/>
        </w:rPr>
      </w:pPr>
      <w:r>
        <w:rPr>
          <w:rFonts w:hint="eastAsia" w:ascii="仿宋_GB2312" w:hAnsi="仿宋_GB2312" w:eastAsia="仿宋_GB2312" w:cs="仿宋_GB2312"/>
          <w:color w:val="000000"/>
          <w:kern w:val="0"/>
          <w:sz w:val="24"/>
          <w:lang w:val="en-US" w:eastAsia="zh-CN"/>
        </w:rPr>
        <w:t>1、</w:t>
      </w:r>
      <w:r>
        <w:rPr>
          <w:rFonts w:hint="eastAsia" w:ascii="仿宋_GB2312" w:hAnsi="仿宋_GB2312" w:eastAsia="仿宋_GB2312" w:cs="仿宋_GB2312"/>
          <w:color w:val="000000"/>
          <w:kern w:val="0"/>
          <w:sz w:val="24"/>
        </w:rPr>
        <w:t>化学品泄漏应急处置措施</w:t>
      </w:r>
    </w:p>
    <w:p>
      <w:pPr>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rPr>
        <w:t>当发生危险化学品泄漏时，立即采取措施，降低危险化学品对环境的影响：</w:t>
      </w:r>
      <w:r>
        <w:rPr>
          <w:rFonts w:hint="eastAsia" w:ascii="仿宋_GB2312" w:hAnsi="仿宋_GB2312" w:eastAsia="仿宋_GB2312" w:cs="仿宋_GB2312"/>
          <w:sz w:val="24"/>
          <w:lang w:val="en-US" w:eastAsia="zh-CN"/>
        </w:rPr>
        <w:t>氨水储罐发生泄漏时，泄露的氨水在围堰中存储，应立即对泄漏点进行封堵，同时转移围堰中的氨水。当仓库中的盐酸、硫酸、硝酸等危险化学品发生泄漏时，应立即使用吸收棉等对泄露物进行围堵、吸收，同时将泄露物重新收集起来。</w:t>
      </w:r>
    </w:p>
    <w:p>
      <w:pPr>
        <w:keepNext w:val="0"/>
        <w:keepLines w:val="0"/>
        <w:pageBreakBefore w:val="0"/>
        <w:widowControl w:val="0"/>
        <w:numPr>
          <w:ilvl w:val="0"/>
          <w:numId w:val="0"/>
        </w:numPr>
        <w:kinsoku/>
        <w:wordWrap/>
        <w:overflowPunct/>
        <w:topLinePunct w:val="0"/>
        <w:autoSpaceDE w:val="0"/>
        <w:autoSpaceDN w:val="0"/>
        <w:bidi w:val="0"/>
        <w:adjustRightInd w:val="0"/>
        <w:snapToGrid w:val="0"/>
        <w:spacing w:before="157" w:beforeLines="50" w:line="360" w:lineRule="auto"/>
        <w:ind w:firstLine="480" w:firstLineChars="200"/>
        <w:jc w:val="left"/>
        <w:textAlignment w:val="auto"/>
        <w:rPr>
          <w:rFonts w:hint="eastAsia" w:ascii="仿宋_GB2312" w:hAnsi="仿宋_GB2312" w:eastAsia="仿宋_GB2312" w:cs="仿宋_GB2312"/>
          <w:color w:val="000000"/>
          <w:kern w:val="0"/>
          <w:sz w:val="24"/>
        </w:rPr>
      </w:pPr>
      <w:r>
        <w:rPr>
          <w:rFonts w:hint="eastAsia" w:ascii="仿宋_GB2312" w:hAnsi="仿宋_GB2312" w:eastAsia="仿宋_GB2312" w:cs="仿宋_GB2312"/>
          <w:color w:val="000000"/>
          <w:kern w:val="0"/>
          <w:sz w:val="24"/>
          <w:lang w:val="en-US" w:eastAsia="zh-CN"/>
        </w:rPr>
        <w:t>2、</w:t>
      </w:r>
      <w:r>
        <w:rPr>
          <w:rFonts w:hint="eastAsia" w:ascii="仿宋_GB2312" w:hAnsi="仿宋_GB2312" w:eastAsia="仿宋_GB2312" w:cs="仿宋_GB2312"/>
          <w:color w:val="000000"/>
          <w:kern w:val="0"/>
          <w:sz w:val="24"/>
        </w:rPr>
        <w:t>危险废物泄漏应急处置措施</w:t>
      </w:r>
    </w:p>
    <w:p>
      <w:pPr>
        <w:pStyle w:val="2"/>
        <w:keepNext w:val="0"/>
        <w:keepLines w:val="0"/>
        <w:pageBreakBefore w:val="0"/>
        <w:widowControl w:val="0"/>
        <w:numPr>
          <w:ilvl w:val="255"/>
          <w:numId w:val="0"/>
        </w:numPr>
        <w:kinsoku/>
        <w:wordWrap/>
        <w:overflowPunct/>
        <w:topLinePunct w:val="0"/>
        <w:autoSpaceDE w:val="0"/>
        <w:autoSpaceDN w:val="0"/>
        <w:bidi w:val="0"/>
        <w:adjustRightInd w:val="0"/>
        <w:snapToGrid w:val="0"/>
        <w:spacing w:before="157" w:beforeLines="50" w:line="360" w:lineRule="auto"/>
        <w:ind w:firstLine="480" w:firstLineChars="200"/>
        <w:jc w:val="both"/>
        <w:textAlignment w:val="auto"/>
        <w:rPr>
          <w:rFonts w:hint="eastAsia" w:ascii="仿宋_GB2312" w:hAnsi="仿宋_GB2312" w:eastAsia="仿宋_GB2312" w:cs="仿宋_GB2312"/>
        </w:rPr>
      </w:pPr>
      <w:r>
        <w:rPr>
          <w:rFonts w:hint="eastAsia" w:ascii="仿宋_GB2312" w:hAnsi="仿宋_GB2312" w:eastAsia="仿宋_GB2312" w:cs="仿宋_GB2312"/>
        </w:rPr>
        <w:t>当盛装有机废液的存储罐破裂或倒翻时，应将破损容器内的残余液体转移至可靠容器，更换新的容器后，及时将泄漏液体收集至新的容器，并将清洗液收集存贮，交给有资质的单位处理。</w:t>
      </w:r>
    </w:p>
    <w:p>
      <w:pPr>
        <w:spacing w:before="120" w:beforeLines="50" w:line="360" w:lineRule="auto"/>
        <w:outlineLvl w:val="2"/>
        <w:rPr>
          <w:b/>
          <w:sz w:val="28"/>
          <w:szCs w:val="28"/>
        </w:rPr>
      </w:pPr>
      <w:bookmarkStart w:id="89" w:name="_Toc17501"/>
      <w:r>
        <w:rPr>
          <w:rFonts w:hint="eastAsia"/>
          <w:b/>
          <w:sz w:val="28"/>
          <w:szCs w:val="28"/>
        </w:rPr>
        <w:t>5.3.3废气事故性排放应急处置措施</w:t>
      </w:r>
      <w:bookmarkEnd w:id="89"/>
    </w:p>
    <w:p>
      <w:pPr>
        <w:keepNext w:val="0"/>
        <w:keepLines w:val="0"/>
        <w:pageBreakBefore w:val="0"/>
        <w:widowControl w:val="0"/>
        <w:kinsoku/>
        <w:wordWrap/>
        <w:overflowPunct/>
        <w:topLinePunct w:val="0"/>
        <w:autoSpaceDE w:val="0"/>
        <w:autoSpaceDN w:val="0"/>
        <w:bidi w:val="0"/>
        <w:adjustRightInd w:val="0"/>
        <w:snapToGrid w:val="0"/>
        <w:spacing w:before="120" w:beforeLines="50" w:line="360" w:lineRule="auto"/>
        <w:ind w:firstLine="480" w:firstLineChars="200"/>
        <w:jc w:val="left"/>
        <w:textAlignment w:val="auto"/>
        <w:rPr>
          <w:rFonts w:eastAsia="仿宋_GB2312"/>
          <w:sz w:val="24"/>
        </w:rPr>
      </w:pPr>
      <w:r>
        <w:rPr>
          <w:rFonts w:hint="eastAsia" w:eastAsia="仿宋_GB2312"/>
          <w:sz w:val="24"/>
          <w:lang w:val="en-US" w:eastAsia="zh-CN"/>
        </w:rPr>
        <w:t>1、</w:t>
      </w:r>
      <w:r>
        <w:rPr>
          <w:rFonts w:eastAsia="仿宋_GB2312"/>
          <w:sz w:val="24"/>
        </w:rPr>
        <w:t>若封闭系统或集气管道破裂，</w:t>
      </w:r>
      <w:r>
        <w:rPr>
          <w:rFonts w:hint="eastAsia" w:eastAsia="仿宋_GB2312"/>
          <w:sz w:val="24"/>
        </w:rPr>
        <w:t>应</w:t>
      </w:r>
      <w:r>
        <w:rPr>
          <w:rFonts w:eastAsia="仿宋_GB2312"/>
          <w:sz w:val="24"/>
        </w:rPr>
        <w:t>立即对废气事故性排放点进行密封处理，上报公司应急总指挥部，更换破裂管道。</w:t>
      </w:r>
    </w:p>
    <w:p>
      <w:pPr>
        <w:keepNext w:val="0"/>
        <w:keepLines w:val="0"/>
        <w:pageBreakBefore w:val="0"/>
        <w:widowControl w:val="0"/>
        <w:kinsoku/>
        <w:wordWrap/>
        <w:overflowPunct/>
        <w:topLinePunct w:val="0"/>
        <w:autoSpaceDE w:val="0"/>
        <w:autoSpaceDN w:val="0"/>
        <w:bidi w:val="0"/>
        <w:adjustRightInd w:val="0"/>
        <w:snapToGrid w:val="0"/>
        <w:spacing w:before="120" w:beforeLines="50" w:line="360" w:lineRule="auto"/>
        <w:ind w:firstLine="480" w:firstLineChars="200"/>
        <w:jc w:val="left"/>
        <w:textAlignment w:val="auto"/>
        <w:rPr>
          <w:rFonts w:eastAsia="仿宋_GB2312"/>
          <w:sz w:val="24"/>
        </w:rPr>
      </w:pPr>
      <w:r>
        <w:rPr>
          <w:rFonts w:hint="eastAsia" w:eastAsia="仿宋_GB2312"/>
          <w:sz w:val="24"/>
          <w:lang w:val="en-US" w:eastAsia="zh-CN"/>
        </w:rPr>
        <w:t>2、</w:t>
      </w:r>
      <w:r>
        <w:rPr>
          <w:rFonts w:eastAsia="仿宋_GB2312"/>
          <w:sz w:val="24"/>
        </w:rPr>
        <w:t>当废气处理设施的风机出现故障时，应立即停止该车间的生产，严重时应撤离车间的相关人工作人员，用备用风机更换故障风机，确保废气处理系统正常运行。</w:t>
      </w:r>
    </w:p>
    <w:p>
      <w:pPr>
        <w:keepNext w:val="0"/>
        <w:keepLines w:val="0"/>
        <w:pageBreakBefore w:val="0"/>
        <w:widowControl w:val="0"/>
        <w:kinsoku/>
        <w:wordWrap/>
        <w:overflowPunct/>
        <w:topLinePunct w:val="0"/>
        <w:autoSpaceDE w:val="0"/>
        <w:autoSpaceDN w:val="0"/>
        <w:bidi w:val="0"/>
        <w:adjustRightInd w:val="0"/>
        <w:snapToGrid w:val="0"/>
        <w:spacing w:before="120" w:beforeLines="50" w:line="360" w:lineRule="auto"/>
        <w:ind w:firstLine="480" w:firstLineChars="200"/>
        <w:jc w:val="left"/>
        <w:textAlignment w:val="auto"/>
        <w:rPr>
          <w:rFonts w:eastAsia="仿宋_GB2312"/>
          <w:sz w:val="24"/>
        </w:rPr>
      </w:pPr>
      <w:r>
        <w:rPr>
          <w:rFonts w:hint="eastAsia" w:eastAsia="仿宋_GB2312"/>
          <w:sz w:val="24"/>
          <w:lang w:val="en-US" w:eastAsia="zh-CN"/>
        </w:rPr>
        <w:t>3、</w:t>
      </w:r>
      <w:r>
        <w:rPr>
          <w:rFonts w:hint="eastAsia" w:eastAsia="仿宋_GB2312"/>
          <w:sz w:val="24"/>
        </w:rPr>
        <w:t>废气</w:t>
      </w:r>
      <w:r>
        <w:rPr>
          <w:rFonts w:eastAsia="仿宋_GB2312"/>
          <w:sz w:val="24"/>
        </w:rPr>
        <w:t>超标情况严重、短时间无法排除故障，大气污染物影响到企业周边的环境时，应停止生产，直至排除事故原因，废气外排放达标，方可恢复正常生产。</w:t>
      </w:r>
    </w:p>
    <w:p>
      <w:pPr>
        <w:spacing w:before="120" w:beforeLines="50" w:line="360" w:lineRule="auto"/>
        <w:outlineLvl w:val="1"/>
        <w:rPr>
          <w:b/>
          <w:sz w:val="30"/>
          <w:szCs w:val="30"/>
        </w:rPr>
      </w:pPr>
      <w:bookmarkStart w:id="90" w:name="_Toc23056"/>
      <w:r>
        <w:rPr>
          <w:rFonts w:hint="eastAsia"/>
          <w:b/>
          <w:sz w:val="30"/>
          <w:szCs w:val="30"/>
        </w:rPr>
        <w:t>5</w:t>
      </w:r>
      <w:r>
        <w:rPr>
          <w:b/>
          <w:sz w:val="30"/>
          <w:szCs w:val="30"/>
        </w:rPr>
        <w:t>.4</w:t>
      </w:r>
      <w:r>
        <w:rPr>
          <w:rFonts w:hint="eastAsia"/>
          <w:b/>
          <w:sz w:val="30"/>
          <w:szCs w:val="30"/>
        </w:rPr>
        <w:t>应急监测</w:t>
      </w:r>
      <w:bookmarkEnd w:id="90"/>
    </w:p>
    <w:p>
      <w:pPr>
        <w:spacing w:before="120" w:beforeLines="50" w:line="360" w:lineRule="auto"/>
        <w:ind w:firstLine="480" w:firstLineChars="200"/>
        <w:rPr>
          <w:rFonts w:eastAsia="仿宋_GB2312"/>
          <w:sz w:val="24"/>
        </w:rPr>
      </w:pPr>
      <w:r>
        <w:rPr>
          <w:rFonts w:eastAsia="仿宋_GB2312"/>
          <w:sz w:val="24"/>
        </w:rPr>
        <w:t>事故发生后，组织化验室技术人员及时监测分析现场环境污染物浓度（污水中污染因子），提供可靠的技术参数，分析事故的原因及特点，根据发生事故的类型和现场监测的数据，采取相应的对策措施，且应由总指挥统一调配，密切配合公安、消防部门进行抢险，严禁冒险蛮干。争取在事故发生的初期阶段控制住险情，如果事故可能扩大，应立即上报政府部门，请求增援。</w:t>
      </w:r>
    </w:p>
    <w:p>
      <w:pPr>
        <w:spacing w:before="120" w:beforeLines="50" w:line="360" w:lineRule="auto"/>
        <w:outlineLvl w:val="2"/>
        <w:rPr>
          <w:b/>
          <w:sz w:val="28"/>
          <w:szCs w:val="28"/>
        </w:rPr>
      </w:pPr>
      <w:bookmarkStart w:id="91" w:name="_Toc9730"/>
      <w:r>
        <w:rPr>
          <w:rFonts w:hint="eastAsia"/>
          <w:b/>
          <w:sz w:val="28"/>
          <w:szCs w:val="28"/>
        </w:rPr>
        <w:t>5.4.1应急监测方案的确定</w:t>
      </w:r>
      <w:bookmarkEnd w:id="91"/>
    </w:p>
    <w:p>
      <w:pPr>
        <w:spacing w:before="120" w:beforeLines="50" w:line="360" w:lineRule="auto"/>
        <w:ind w:firstLine="480" w:firstLineChars="200"/>
        <w:rPr>
          <w:rFonts w:eastAsia="仿宋_GB2312"/>
          <w:sz w:val="24"/>
        </w:rPr>
      </w:pPr>
      <w:r>
        <w:rPr>
          <w:rFonts w:eastAsia="仿宋_GB2312"/>
          <w:sz w:val="24"/>
        </w:rPr>
        <w:t>突发环境事件时，应迅速联系</w:t>
      </w:r>
      <w:r>
        <w:rPr>
          <w:rFonts w:hint="eastAsia" w:eastAsia="仿宋_GB2312"/>
          <w:sz w:val="24"/>
          <w:lang w:val="en-US" w:eastAsia="zh-CN"/>
        </w:rPr>
        <w:t>第三方检测</w:t>
      </w:r>
      <w:r>
        <w:rPr>
          <w:rFonts w:hint="eastAsia" w:eastAsia="仿宋_GB2312"/>
          <w:sz w:val="24"/>
          <w:lang w:eastAsia="zh-CN"/>
        </w:rPr>
        <w:t>公司</w:t>
      </w:r>
      <w:r>
        <w:rPr>
          <w:rFonts w:eastAsia="仿宋_GB2312"/>
          <w:sz w:val="24"/>
        </w:rPr>
        <w:t>请派监测人员赶赴现场，根据</w:t>
      </w:r>
      <w:r>
        <w:rPr>
          <w:rFonts w:hint="eastAsia" w:eastAsia="仿宋_GB2312"/>
          <w:sz w:val="24"/>
          <w:lang w:val="en-US" w:eastAsia="zh-CN"/>
        </w:rPr>
        <w:t>制定的</w:t>
      </w:r>
      <w:r>
        <w:rPr>
          <w:rFonts w:eastAsia="仿宋_GB2312"/>
          <w:sz w:val="24"/>
        </w:rPr>
        <w:t>监测方案，及时开展应急监测工作，在尽可能短的时间内做出判断，以便对事件及时正确进行处理。在</w:t>
      </w:r>
      <w:r>
        <w:rPr>
          <w:rFonts w:hint="eastAsia" w:eastAsia="仿宋_GB2312"/>
          <w:sz w:val="24"/>
          <w:lang w:val="en-US" w:eastAsia="zh-CN"/>
        </w:rPr>
        <w:t>第三方检测</w:t>
      </w:r>
      <w:r>
        <w:rPr>
          <w:rFonts w:hint="eastAsia" w:eastAsia="仿宋_GB2312"/>
          <w:sz w:val="24"/>
          <w:lang w:eastAsia="zh-CN"/>
        </w:rPr>
        <w:t>公司专业</w:t>
      </w:r>
      <w:r>
        <w:rPr>
          <w:rFonts w:eastAsia="仿宋_GB2312"/>
          <w:sz w:val="24"/>
        </w:rPr>
        <w:t>人员到达之前，公司环境污染处置组监测人员应根据应急监测计划迅速开展环境污染监测，并将结果报应急领导小组；在</w:t>
      </w:r>
      <w:r>
        <w:rPr>
          <w:rFonts w:hint="eastAsia" w:eastAsia="仿宋_GB2312"/>
          <w:sz w:val="24"/>
          <w:lang w:val="en-US" w:eastAsia="zh-CN"/>
        </w:rPr>
        <w:t>第三方检测</w:t>
      </w:r>
      <w:r>
        <w:rPr>
          <w:rFonts w:hint="eastAsia" w:eastAsia="仿宋_GB2312"/>
          <w:sz w:val="24"/>
          <w:lang w:eastAsia="zh-CN"/>
        </w:rPr>
        <w:t>公司</w:t>
      </w:r>
      <w:r>
        <w:rPr>
          <w:rFonts w:eastAsia="仿宋_GB2312"/>
          <w:sz w:val="24"/>
        </w:rPr>
        <w:t>专业人员到达之后，全力配合监测站专业人员开展环境污染监测工作。</w:t>
      </w:r>
    </w:p>
    <w:p>
      <w:pPr>
        <w:spacing w:before="120" w:beforeLines="50" w:line="360" w:lineRule="auto"/>
        <w:ind w:firstLine="480" w:firstLineChars="200"/>
        <w:rPr>
          <w:rFonts w:eastAsia="仿宋_GB2312"/>
          <w:sz w:val="24"/>
        </w:rPr>
      </w:pPr>
      <w:r>
        <w:rPr>
          <w:rFonts w:eastAsia="仿宋_GB2312"/>
          <w:sz w:val="24"/>
        </w:rPr>
        <w:t>公司应急监测计划见表</w:t>
      </w:r>
      <w:r>
        <w:rPr>
          <w:rFonts w:hint="eastAsia" w:eastAsia="仿宋_GB2312"/>
          <w:sz w:val="24"/>
        </w:rPr>
        <w:t>5.4-1</w:t>
      </w:r>
      <w:r>
        <w:rPr>
          <w:rFonts w:eastAsia="仿宋_GB2312"/>
          <w:sz w:val="24"/>
        </w:rPr>
        <w:t>。</w:t>
      </w:r>
    </w:p>
    <w:p>
      <w:pPr>
        <w:spacing w:before="120" w:beforeLines="50" w:line="360" w:lineRule="auto"/>
        <w:jc w:val="center"/>
        <w:rPr>
          <w:rFonts w:eastAsia="仿宋"/>
          <w:szCs w:val="21"/>
        </w:rPr>
        <w:sectPr>
          <w:pgSz w:w="11906" w:h="16838"/>
          <w:pgMar w:top="1440" w:right="1797" w:bottom="1440" w:left="1797" w:header="851" w:footer="992" w:gutter="0"/>
          <w:pgNumType w:fmt="decimal"/>
          <w:cols w:space="720" w:num="1"/>
          <w:docGrid w:linePitch="312" w:charSpace="0"/>
        </w:sectPr>
      </w:pPr>
    </w:p>
    <w:p>
      <w:pPr>
        <w:spacing w:before="120" w:beforeLines="50" w:line="360" w:lineRule="auto"/>
        <w:jc w:val="center"/>
        <w:rPr>
          <w:rFonts w:eastAsiaTheme="minorEastAsia"/>
          <w:b/>
          <w:szCs w:val="21"/>
        </w:rPr>
      </w:pPr>
      <w:r>
        <w:rPr>
          <w:rFonts w:hint="eastAsia" w:eastAsiaTheme="minorEastAsia"/>
          <w:b/>
          <w:szCs w:val="21"/>
        </w:rPr>
        <w:t>表5</w:t>
      </w:r>
      <w:r>
        <w:rPr>
          <w:rFonts w:eastAsiaTheme="minorEastAsia"/>
          <w:b/>
          <w:szCs w:val="21"/>
        </w:rPr>
        <w:t xml:space="preserve">.4-1 </w:t>
      </w:r>
      <w:r>
        <w:rPr>
          <w:rFonts w:hint="eastAsia" w:eastAsiaTheme="minorEastAsia"/>
          <w:b/>
          <w:szCs w:val="21"/>
        </w:rPr>
        <w:t>应急监测计划表</w:t>
      </w:r>
    </w:p>
    <w:tbl>
      <w:tblPr>
        <w:tblStyle w:val="32"/>
        <w:tblW w:w="129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2"/>
        <w:gridCol w:w="1586"/>
        <w:gridCol w:w="3832"/>
        <w:gridCol w:w="1917"/>
        <w:gridCol w:w="1489"/>
        <w:gridCol w:w="29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blHeader/>
          <w:jc w:val="center"/>
        </w:trPr>
        <w:tc>
          <w:tcPr>
            <w:tcW w:w="1212"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rFonts w:hint="eastAsia"/>
                <w:szCs w:val="21"/>
              </w:rPr>
              <w:t>事故</w:t>
            </w:r>
            <w:r>
              <w:rPr>
                <w:szCs w:val="21"/>
              </w:rPr>
              <w:t>类别</w:t>
            </w:r>
          </w:p>
        </w:tc>
        <w:tc>
          <w:tcPr>
            <w:tcW w:w="1586"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检测项目</w:t>
            </w:r>
          </w:p>
        </w:tc>
        <w:tc>
          <w:tcPr>
            <w:tcW w:w="3832"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rFonts w:hint="eastAsia"/>
                <w:szCs w:val="21"/>
              </w:rPr>
              <w:t>监测方法</w:t>
            </w:r>
          </w:p>
        </w:tc>
        <w:tc>
          <w:tcPr>
            <w:tcW w:w="1917"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rFonts w:hint="eastAsia"/>
                <w:szCs w:val="21"/>
              </w:rPr>
              <w:t>仪器</w:t>
            </w:r>
          </w:p>
        </w:tc>
        <w:tc>
          <w:tcPr>
            <w:tcW w:w="148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监测点</w:t>
            </w:r>
            <w:r>
              <w:rPr>
                <w:rFonts w:hint="eastAsia"/>
                <w:szCs w:val="21"/>
              </w:rPr>
              <w:t>布</w:t>
            </w:r>
          </w:p>
        </w:tc>
        <w:tc>
          <w:tcPr>
            <w:tcW w:w="2933"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rFonts w:hint="eastAsia"/>
                <w:szCs w:val="21"/>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restart"/>
            <w:tcBorders>
              <w:top w:val="single" w:color="auto" w:sz="4" w:space="0"/>
              <w:left w:val="single" w:color="auto" w:sz="4" w:space="0"/>
              <w:right w:val="single" w:color="auto" w:sz="4" w:space="0"/>
            </w:tcBorders>
            <w:vAlign w:val="center"/>
          </w:tcPr>
          <w:p>
            <w:pPr>
              <w:jc w:val="center"/>
              <w:rPr>
                <w:szCs w:val="21"/>
              </w:rPr>
            </w:pPr>
            <w:r>
              <w:rPr>
                <w:szCs w:val="21"/>
              </w:rPr>
              <w:t>废气超标排放</w:t>
            </w:r>
          </w:p>
        </w:tc>
        <w:tc>
          <w:tcPr>
            <w:tcW w:w="1586"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颗粒物</w:t>
            </w:r>
          </w:p>
        </w:tc>
        <w:tc>
          <w:tcPr>
            <w:tcW w:w="3832"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rFonts w:hint="eastAsia"/>
                <w:szCs w:val="21"/>
              </w:rPr>
              <w:t>环境空气 总悬浮颗粒物的测定 重量法</w:t>
            </w:r>
            <w:r>
              <w:rPr>
                <w:szCs w:val="21"/>
              </w:rPr>
              <w:t>GB15432-1995</w:t>
            </w:r>
          </w:p>
        </w:tc>
        <w:tc>
          <w:tcPr>
            <w:tcW w:w="1917"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rFonts w:hint="eastAsia"/>
                <w:szCs w:val="21"/>
              </w:rPr>
              <w:t>电子天平</w:t>
            </w:r>
          </w:p>
        </w:tc>
        <w:tc>
          <w:tcPr>
            <w:tcW w:w="1489" w:type="dxa"/>
            <w:vMerge w:val="restart"/>
            <w:tcBorders>
              <w:top w:val="single" w:color="auto" w:sz="4" w:space="0"/>
              <w:left w:val="single" w:color="auto" w:sz="4" w:space="0"/>
              <w:right w:val="single" w:color="auto" w:sz="4" w:space="0"/>
            </w:tcBorders>
            <w:vAlign w:val="center"/>
          </w:tcPr>
          <w:p>
            <w:pPr>
              <w:jc w:val="center"/>
              <w:rPr>
                <w:szCs w:val="21"/>
              </w:rPr>
            </w:pPr>
            <w:r>
              <w:rPr>
                <w:szCs w:val="21"/>
              </w:rPr>
              <w:t>废气排放口、厂界下风向、附近敏感点</w:t>
            </w:r>
          </w:p>
        </w:tc>
        <w:tc>
          <w:tcPr>
            <w:tcW w:w="2933" w:type="dxa"/>
            <w:vMerge w:val="restart"/>
            <w:tcBorders>
              <w:top w:val="single" w:color="auto" w:sz="4" w:space="0"/>
              <w:left w:val="single" w:color="auto" w:sz="4" w:space="0"/>
              <w:right w:val="single" w:color="auto" w:sz="4" w:space="0"/>
            </w:tcBorders>
            <w:vAlign w:val="center"/>
          </w:tcPr>
          <w:p>
            <w:pPr>
              <w:jc w:val="center"/>
              <w:rPr>
                <w:szCs w:val="21"/>
              </w:rPr>
            </w:pPr>
            <w:r>
              <w:rPr>
                <w:rFonts w:hint="eastAsia"/>
                <w:szCs w:val="21"/>
              </w:rPr>
              <w:t>按照事故持续时间决定监测时间，根据事故严重性决定监测频次。一般情况下特征因子两小时监测1次，随事故控制减弱，适当减少监测频次。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continue"/>
            <w:tcBorders>
              <w:left w:val="single" w:color="auto" w:sz="4" w:space="0"/>
              <w:right w:val="single" w:color="auto" w:sz="4" w:space="0"/>
            </w:tcBorders>
            <w:vAlign w:val="center"/>
          </w:tcPr>
          <w:p>
            <w:pPr>
              <w:jc w:val="center"/>
              <w:rPr>
                <w:szCs w:val="21"/>
              </w:rPr>
            </w:pPr>
          </w:p>
        </w:tc>
        <w:tc>
          <w:tcPr>
            <w:tcW w:w="1586" w:type="dxa"/>
            <w:tcBorders>
              <w:top w:val="single" w:color="auto" w:sz="4" w:space="0"/>
              <w:left w:val="single" w:color="auto" w:sz="4" w:space="0"/>
              <w:bottom w:val="single" w:color="auto" w:sz="4" w:space="0"/>
              <w:right w:val="single" w:color="auto" w:sz="4" w:space="0"/>
            </w:tcBorders>
            <w:vAlign w:val="center"/>
          </w:tcPr>
          <w:p>
            <w:pPr>
              <w:jc w:val="center"/>
              <w:rPr>
                <w:rFonts w:hint="eastAsia" w:eastAsia="宋体"/>
                <w:szCs w:val="21"/>
                <w:lang w:val="en-US" w:eastAsia="zh-CN"/>
              </w:rPr>
            </w:pPr>
            <w:r>
              <w:rPr>
                <w:szCs w:val="21"/>
              </w:rPr>
              <w:t>SO</w:t>
            </w:r>
            <w:r>
              <w:rPr>
                <w:szCs w:val="21"/>
                <w:vertAlign w:val="subscript"/>
              </w:rPr>
              <w:t>2</w:t>
            </w:r>
          </w:p>
        </w:tc>
        <w:tc>
          <w:tcPr>
            <w:tcW w:w="3832"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rFonts w:hint="eastAsia"/>
                <w:szCs w:val="21"/>
              </w:rPr>
              <w:t>固定污染物排气中二氧化硫的测定 定电位电解法 HJ/T 57-2017</w:t>
            </w:r>
          </w:p>
        </w:tc>
        <w:tc>
          <w:tcPr>
            <w:tcW w:w="1917" w:type="dxa"/>
            <w:vMerge w:val="restart"/>
            <w:tcBorders>
              <w:top w:val="single" w:color="auto" w:sz="4" w:space="0"/>
              <w:left w:val="single" w:color="auto" w:sz="4" w:space="0"/>
              <w:right w:val="single" w:color="auto" w:sz="4" w:space="0"/>
            </w:tcBorders>
            <w:vAlign w:val="center"/>
          </w:tcPr>
          <w:p>
            <w:pPr>
              <w:jc w:val="center"/>
              <w:rPr>
                <w:szCs w:val="21"/>
              </w:rPr>
            </w:pPr>
            <w:r>
              <w:rPr>
                <w:rFonts w:hint="eastAsia"/>
                <w:szCs w:val="21"/>
              </w:rPr>
              <w:t>自动烟尘测试仪</w:t>
            </w:r>
          </w:p>
        </w:tc>
        <w:tc>
          <w:tcPr>
            <w:tcW w:w="1489" w:type="dxa"/>
            <w:vMerge w:val="continue"/>
            <w:tcBorders>
              <w:left w:val="single" w:color="auto" w:sz="4" w:space="0"/>
              <w:right w:val="single" w:color="auto" w:sz="4" w:space="0"/>
            </w:tcBorders>
            <w:vAlign w:val="center"/>
          </w:tcPr>
          <w:p>
            <w:pPr>
              <w:jc w:val="center"/>
              <w:rPr>
                <w:szCs w:val="21"/>
              </w:rPr>
            </w:pPr>
          </w:p>
        </w:tc>
        <w:tc>
          <w:tcPr>
            <w:tcW w:w="2933" w:type="dxa"/>
            <w:vMerge w:val="continue"/>
            <w:tcBorders>
              <w:left w:val="single" w:color="auto" w:sz="4" w:space="0"/>
              <w:right w:val="single" w:color="auto" w:sz="4" w:space="0"/>
            </w:tcBorders>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1212" w:type="dxa"/>
            <w:vMerge w:val="continue"/>
            <w:tcBorders>
              <w:left w:val="single" w:color="auto" w:sz="4" w:space="0"/>
              <w:right w:val="single" w:color="auto" w:sz="4" w:space="0"/>
            </w:tcBorders>
            <w:vAlign w:val="center"/>
          </w:tcPr>
          <w:p>
            <w:pPr>
              <w:jc w:val="center"/>
              <w:rPr>
                <w:szCs w:val="21"/>
              </w:rPr>
            </w:pPr>
          </w:p>
        </w:tc>
        <w:tc>
          <w:tcPr>
            <w:tcW w:w="158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szCs w:val="21"/>
                <w:lang w:val="en-US" w:eastAsia="zh-CN"/>
              </w:rPr>
            </w:pPr>
            <w:r>
              <w:rPr>
                <w:szCs w:val="21"/>
              </w:rPr>
              <w:t>NO</w:t>
            </w:r>
            <w:r>
              <w:rPr>
                <w:rFonts w:hint="eastAsia"/>
                <w:szCs w:val="21"/>
                <w:lang w:val="en-US" w:eastAsia="zh-CN"/>
              </w:rPr>
              <w:t>x</w:t>
            </w:r>
          </w:p>
        </w:tc>
        <w:tc>
          <w:tcPr>
            <w:tcW w:w="3832" w:type="dxa"/>
            <w:tcBorders>
              <w:left w:val="single" w:color="auto" w:sz="4" w:space="0"/>
              <w:bottom w:val="single" w:color="auto" w:sz="4" w:space="0"/>
              <w:right w:val="single" w:color="auto" w:sz="4" w:space="0"/>
            </w:tcBorders>
            <w:vAlign w:val="center"/>
          </w:tcPr>
          <w:p>
            <w:pPr>
              <w:jc w:val="center"/>
              <w:rPr>
                <w:rFonts w:hint="eastAsia" w:ascii="Times New Roman" w:hAnsi="Times New Roman" w:eastAsia="宋体" w:cs="Times New Roman"/>
                <w:szCs w:val="21"/>
              </w:rPr>
            </w:pPr>
            <w:r>
              <w:rPr>
                <w:rFonts w:hint="eastAsia"/>
                <w:szCs w:val="21"/>
              </w:rPr>
              <w:t>固定污染物废气 氮氧化物的测定 定电位电解法 HJ 693-2014</w:t>
            </w:r>
          </w:p>
        </w:tc>
        <w:tc>
          <w:tcPr>
            <w:tcW w:w="1917" w:type="dxa"/>
            <w:vMerge w:val="continue"/>
            <w:tcBorders>
              <w:left w:val="single" w:color="auto" w:sz="4" w:space="0"/>
              <w:right w:val="single" w:color="auto" w:sz="4" w:space="0"/>
            </w:tcBorders>
            <w:vAlign w:val="center"/>
          </w:tcPr>
          <w:p>
            <w:pPr>
              <w:jc w:val="center"/>
              <w:rPr>
                <w:rFonts w:hint="eastAsia" w:ascii="Times New Roman" w:hAnsi="Times New Roman" w:eastAsia="宋体" w:cs="Times New Roman"/>
                <w:szCs w:val="21"/>
              </w:rPr>
            </w:pPr>
          </w:p>
        </w:tc>
        <w:tc>
          <w:tcPr>
            <w:tcW w:w="1489" w:type="dxa"/>
            <w:vMerge w:val="continue"/>
            <w:tcBorders>
              <w:left w:val="single" w:color="auto" w:sz="4" w:space="0"/>
              <w:right w:val="single" w:color="auto" w:sz="4" w:space="0"/>
            </w:tcBorders>
            <w:vAlign w:val="center"/>
          </w:tcPr>
          <w:p>
            <w:pPr>
              <w:jc w:val="center"/>
              <w:rPr>
                <w:szCs w:val="21"/>
              </w:rPr>
            </w:pPr>
          </w:p>
        </w:tc>
        <w:tc>
          <w:tcPr>
            <w:tcW w:w="2933" w:type="dxa"/>
            <w:vMerge w:val="continue"/>
            <w:tcBorders>
              <w:left w:val="single" w:color="auto" w:sz="4" w:space="0"/>
              <w:right w:val="single" w:color="auto" w:sz="4" w:space="0"/>
            </w:tcBorders>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restart"/>
            <w:vAlign w:val="center"/>
          </w:tcPr>
          <w:p>
            <w:pPr>
              <w:jc w:val="center"/>
              <w:rPr>
                <w:szCs w:val="21"/>
              </w:rPr>
            </w:pPr>
            <w:r>
              <w:rPr>
                <w:szCs w:val="21"/>
              </w:rPr>
              <w:t>火灾、爆炸事故废气</w:t>
            </w:r>
          </w:p>
        </w:tc>
        <w:tc>
          <w:tcPr>
            <w:tcW w:w="1586" w:type="dxa"/>
            <w:tcBorders>
              <w:bottom w:val="single" w:color="auto" w:sz="4" w:space="0"/>
            </w:tcBorders>
            <w:vAlign w:val="center"/>
          </w:tcPr>
          <w:p>
            <w:pPr>
              <w:jc w:val="center"/>
              <w:rPr>
                <w:szCs w:val="21"/>
              </w:rPr>
            </w:pPr>
            <w:r>
              <w:rPr>
                <w:szCs w:val="21"/>
              </w:rPr>
              <w:t>SO</w:t>
            </w:r>
            <w:r>
              <w:rPr>
                <w:szCs w:val="21"/>
                <w:vertAlign w:val="subscript"/>
              </w:rPr>
              <w:t>2</w:t>
            </w:r>
          </w:p>
        </w:tc>
        <w:tc>
          <w:tcPr>
            <w:tcW w:w="3832" w:type="dxa"/>
            <w:tcBorders>
              <w:bottom w:val="single" w:color="auto" w:sz="4" w:space="0"/>
            </w:tcBorders>
            <w:vAlign w:val="center"/>
          </w:tcPr>
          <w:p>
            <w:pPr>
              <w:jc w:val="center"/>
              <w:rPr>
                <w:szCs w:val="21"/>
              </w:rPr>
            </w:pPr>
            <w:r>
              <w:rPr>
                <w:rFonts w:hint="eastAsia"/>
                <w:szCs w:val="21"/>
              </w:rPr>
              <w:t>固定污染物排气中二氧化硫的测定 定电位电解法 HJ/T 57-2017</w:t>
            </w:r>
          </w:p>
        </w:tc>
        <w:tc>
          <w:tcPr>
            <w:tcW w:w="1917" w:type="dxa"/>
            <w:vMerge w:val="restart"/>
            <w:tcBorders>
              <w:bottom w:val="single" w:color="auto" w:sz="4" w:space="0"/>
            </w:tcBorders>
            <w:vAlign w:val="center"/>
          </w:tcPr>
          <w:p>
            <w:pPr>
              <w:jc w:val="center"/>
              <w:rPr>
                <w:szCs w:val="21"/>
              </w:rPr>
            </w:pPr>
            <w:r>
              <w:rPr>
                <w:rFonts w:hint="eastAsia"/>
                <w:szCs w:val="21"/>
              </w:rPr>
              <w:t>自动烟尘测试仪</w:t>
            </w:r>
          </w:p>
        </w:tc>
        <w:tc>
          <w:tcPr>
            <w:tcW w:w="1489" w:type="dxa"/>
            <w:vMerge w:val="restart"/>
            <w:tcBorders>
              <w:right w:val="single" w:color="auto" w:sz="4" w:space="0"/>
            </w:tcBorders>
            <w:vAlign w:val="center"/>
          </w:tcPr>
          <w:p>
            <w:pPr>
              <w:jc w:val="center"/>
              <w:rPr>
                <w:szCs w:val="21"/>
              </w:rPr>
            </w:pPr>
            <w:r>
              <w:rPr>
                <w:szCs w:val="21"/>
              </w:rPr>
              <w:t>厂界下风向、附近敏感点</w:t>
            </w:r>
          </w:p>
        </w:tc>
        <w:tc>
          <w:tcPr>
            <w:tcW w:w="2933" w:type="dxa"/>
            <w:vMerge w:val="restart"/>
            <w:tcBorders>
              <w:left w:val="single" w:color="auto" w:sz="4" w:space="0"/>
              <w:right w:val="single" w:color="auto" w:sz="4" w:space="0"/>
            </w:tcBorders>
            <w:vAlign w:val="center"/>
          </w:tcPr>
          <w:p>
            <w:pPr>
              <w:jc w:val="center"/>
              <w:rPr>
                <w:szCs w:val="21"/>
              </w:rPr>
            </w:pPr>
            <w:r>
              <w:rPr>
                <w:rFonts w:hint="eastAsia"/>
                <w:szCs w:val="21"/>
              </w:rPr>
              <w:t>按照事故持续时间决定监测时间，根据事故严重性决定监测频次。一般情况下特征因子两小时监测1次，随事故控制减弱，适当减少监测频次。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continue"/>
            <w:vAlign w:val="center"/>
          </w:tcPr>
          <w:p>
            <w:pPr>
              <w:jc w:val="center"/>
              <w:rPr>
                <w:szCs w:val="21"/>
              </w:rPr>
            </w:pPr>
          </w:p>
        </w:tc>
        <w:tc>
          <w:tcPr>
            <w:tcW w:w="1586" w:type="dxa"/>
            <w:vAlign w:val="center"/>
          </w:tcPr>
          <w:p>
            <w:pPr>
              <w:jc w:val="center"/>
              <w:rPr>
                <w:szCs w:val="21"/>
              </w:rPr>
            </w:pPr>
            <w:r>
              <w:rPr>
                <w:szCs w:val="21"/>
              </w:rPr>
              <w:t>NO</w:t>
            </w:r>
            <w:r>
              <w:rPr>
                <w:rFonts w:hint="eastAsia"/>
                <w:szCs w:val="21"/>
                <w:lang w:val="en-US" w:eastAsia="zh-CN"/>
              </w:rPr>
              <w:t>x</w:t>
            </w:r>
          </w:p>
        </w:tc>
        <w:tc>
          <w:tcPr>
            <w:tcW w:w="3832" w:type="dxa"/>
            <w:vAlign w:val="center"/>
          </w:tcPr>
          <w:p>
            <w:pPr>
              <w:jc w:val="center"/>
              <w:rPr>
                <w:szCs w:val="21"/>
              </w:rPr>
            </w:pPr>
            <w:r>
              <w:rPr>
                <w:rFonts w:hint="eastAsia"/>
                <w:szCs w:val="21"/>
              </w:rPr>
              <w:t>固定污染物废气 氮氧化物的测定 定电位电解法 HJ 693-2014</w:t>
            </w:r>
          </w:p>
        </w:tc>
        <w:tc>
          <w:tcPr>
            <w:tcW w:w="1917" w:type="dxa"/>
            <w:vMerge w:val="continue"/>
            <w:vAlign w:val="center"/>
          </w:tcPr>
          <w:p>
            <w:pPr>
              <w:jc w:val="center"/>
              <w:rPr>
                <w:szCs w:val="21"/>
              </w:rPr>
            </w:pPr>
          </w:p>
        </w:tc>
        <w:tc>
          <w:tcPr>
            <w:tcW w:w="1489" w:type="dxa"/>
            <w:vMerge w:val="continue"/>
            <w:tcBorders>
              <w:right w:val="single" w:color="auto" w:sz="4" w:space="0"/>
            </w:tcBorders>
            <w:vAlign w:val="center"/>
          </w:tcPr>
          <w:p>
            <w:pPr>
              <w:jc w:val="center"/>
              <w:rPr>
                <w:szCs w:val="21"/>
              </w:rPr>
            </w:pPr>
          </w:p>
        </w:tc>
        <w:tc>
          <w:tcPr>
            <w:tcW w:w="2933" w:type="dxa"/>
            <w:vMerge w:val="continue"/>
            <w:tcBorders>
              <w:left w:val="single" w:color="auto" w:sz="4" w:space="0"/>
              <w:right w:val="single" w:color="auto" w:sz="4" w:space="0"/>
            </w:tcBorders>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continue"/>
            <w:vAlign w:val="center"/>
          </w:tcPr>
          <w:p>
            <w:pPr>
              <w:jc w:val="center"/>
              <w:rPr>
                <w:szCs w:val="21"/>
              </w:rPr>
            </w:pPr>
          </w:p>
        </w:tc>
        <w:tc>
          <w:tcPr>
            <w:tcW w:w="1586" w:type="dxa"/>
            <w:vAlign w:val="center"/>
          </w:tcPr>
          <w:p>
            <w:pPr>
              <w:jc w:val="center"/>
              <w:rPr>
                <w:szCs w:val="21"/>
              </w:rPr>
            </w:pPr>
            <w:r>
              <w:rPr>
                <w:rFonts w:hint="eastAsia"/>
                <w:szCs w:val="21"/>
              </w:rPr>
              <w:t>颗粒物</w:t>
            </w:r>
          </w:p>
        </w:tc>
        <w:tc>
          <w:tcPr>
            <w:tcW w:w="3832" w:type="dxa"/>
            <w:vAlign w:val="center"/>
          </w:tcPr>
          <w:p>
            <w:pPr>
              <w:jc w:val="center"/>
              <w:rPr>
                <w:szCs w:val="21"/>
              </w:rPr>
            </w:pPr>
            <w:r>
              <w:rPr>
                <w:rFonts w:hint="eastAsia"/>
                <w:szCs w:val="21"/>
              </w:rPr>
              <w:t>环境空气 总悬浮颗粒物的测定 重量法GB/T 15432-1995</w:t>
            </w:r>
          </w:p>
        </w:tc>
        <w:tc>
          <w:tcPr>
            <w:tcW w:w="1917" w:type="dxa"/>
            <w:vAlign w:val="center"/>
          </w:tcPr>
          <w:p>
            <w:pPr>
              <w:jc w:val="center"/>
              <w:rPr>
                <w:szCs w:val="21"/>
              </w:rPr>
            </w:pPr>
            <w:r>
              <w:rPr>
                <w:rFonts w:hint="eastAsia"/>
                <w:szCs w:val="21"/>
              </w:rPr>
              <w:t>电子天平</w:t>
            </w:r>
          </w:p>
        </w:tc>
        <w:tc>
          <w:tcPr>
            <w:tcW w:w="1489" w:type="dxa"/>
            <w:vMerge w:val="continue"/>
            <w:tcBorders>
              <w:right w:val="single" w:color="auto" w:sz="4" w:space="0"/>
            </w:tcBorders>
            <w:vAlign w:val="center"/>
          </w:tcPr>
          <w:p>
            <w:pPr>
              <w:jc w:val="center"/>
              <w:rPr>
                <w:szCs w:val="21"/>
              </w:rPr>
            </w:pPr>
          </w:p>
        </w:tc>
        <w:tc>
          <w:tcPr>
            <w:tcW w:w="2933" w:type="dxa"/>
            <w:vMerge w:val="continue"/>
            <w:tcBorders>
              <w:left w:val="single" w:color="auto" w:sz="4" w:space="0"/>
              <w:right w:val="single" w:color="auto" w:sz="4" w:space="0"/>
            </w:tcBorders>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continue"/>
            <w:vAlign w:val="center"/>
          </w:tcPr>
          <w:p>
            <w:pPr>
              <w:jc w:val="center"/>
              <w:rPr>
                <w:szCs w:val="21"/>
              </w:rPr>
            </w:pPr>
          </w:p>
        </w:tc>
        <w:tc>
          <w:tcPr>
            <w:tcW w:w="1586" w:type="dxa"/>
            <w:vAlign w:val="center"/>
          </w:tcPr>
          <w:p>
            <w:pPr>
              <w:jc w:val="center"/>
              <w:rPr>
                <w:rFonts w:hint="default" w:eastAsia="宋体"/>
                <w:szCs w:val="21"/>
                <w:lang w:val="en-US" w:eastAsia="zh-CN"/>
              </w:rPr>
            </w:pPr>
            <w:r>
              <w:rPr>
                <w:rFonts w:hint="eastAsia"/>
                <w:szCs w:val="21"/>
                <w:lang w:val="en-US" w:eastAsia="zh-CN"/>
              </w:rPr>
              <w:t>CO</w:t>
            </w:r>
          </w:p>
        </w:tc>
        <w:tc>
          <w:tcPr>
            <w:tcW w:w="3832" w:type="dxa"/>
            <w:vAlign w:val="center"/>
          </w:tcPr>
          <w:p>
            <w:pPr>
              <w:jc w:val="center"/>
              <w:rPr>
                <w:szCs w:val="21"/>
              </w:rPr>
            </w:pPr>
            <w:r>
              <w:rPr>
                <w:rFonts w:hint="eastAsia"/>
                <w:szCs w:val="21"/>
              </w:rPr>
              <w:t>GB/T 18204.23-2000公共场所空气中一氧化碳测定方法</w:t>
            </w:r>
          </w:p>
        </w:tc>
        <w:tc>
          <w:tcPr>
            <w:tcW w:w="1917" w:type="dxa"/>
            <w:vAlign w:val="center"/>
          </w:tcPr>
          <w:p>
            <w:pPr>
              <w:jc w:val="center"/>
              <w:rPr>
                <w:rFonts w:hint="eastAsia" w:eastAsia="宋体"/>
                <w:szCs w:val="21"/>
                <w:lang w:val="en-US" w:eastAsia="zh-CN"/>
              </w:rPr>
            </w:pPr>
            <w:r>
              <w:rPr>
                <w:rFonts w:hint="eastAsia"/>
                <w:szCs w:val="21"/>
                <w:lang w:val="en-US" w:eastAsia="zh-CN"/>
              </w:rPr>
              <w:t>-</w:t>
            </w:r>
          </w:p>
        </w:tc>
        <w:tc>
          <w:tcPr>
            <w:tcW w:w="1489" w:type="dxa"/>
            <w:vMerge w:val="continue"/>
            <w:tcBorders>
              <w:right w:val="single" w:color="auto" w:sz="4" w:space="0"/>
            </w:tcBorders>
            <w:vAlign w:val="center"/>
          </w:tcPr>
          <w:p>
            <w:pPr>
              <w:jc w:val="center"/>
              <w:rPr>
                <w:szCs w:val="21"/>
              </w:rPr>
            </w:pPr>
          </w:p>
        </w:tc>
        <w:tc>
          <w:tcPr>
            <w:tcW w:w="2933" w:type="dxa"/>
            <w:vMerge w:val="continue"/>
            <w:tcBorders>
              <w:left w:val="single" w:color="auto" w:sz="4" w:space="0"/>
              <w:right w:val="single" w:color="auto" w:sz="4" w:space="0"/>
            </w:tcBorders>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restart"/>
            <w:vAlign w:val="center"/>
          </w:tcPr>
          <w:p>
            <w:pPr>
              <w:jc w:val="center"/>
              <w:rPr>
                <w:szCs w:val="21"/>
              </w:rPr>
            </w:pPr>
            <w:r>
              <w:rPr>
                <w:szCs w:val="21"/>
              </w:rPr>
              <w:t>火灾事故废水</w:t>
            </w:r>
          </w:p>
        </w:tc>
        <w:tc>
          <w:tcPr>
            <w:tcW w:w="1586" w:type="dxa"/>
            <w:vAlign w:val="center"/>
          </w:tcPr>
          <w:p>
            <w:pPr>
              <w:jc w:val="center"/>
              <w:rPr>
                <w:szCs w:val="21"/>
              </w:rPr>
            </w:pPr>
            <w:r>
              <w:rPr>
                <w:szCs w:val="21"/>
              </w:rPr>
              <w:t>PH</w:t>
            </w:r>
          </w:p>
        </w:tc>
        <w:tc>
          <w:tcPr>
            <w:tcW w:w="3832" w:type="dxa"/>
            <w:vAlign w:val="center"/>
          </w:tcPr>
          <w:p>
            <w:pPr>
              <w:jc w:val="center"/>
              <w:rPr>
                <w:szCs w:val="21"/>
              </w:rPr>
            </w:pPr>
            <w:r>
              <w:rPr>
                <w:rFonts w:hint="eastAsia"/>
                <w:szCs w:val="21"/>
              </w:rPr>
              <w:t>水质pH值的测定</w:t>
            </w:r>
          </w:p>
          <w:p>
            <w:pPr>
              <w:jc w:val="center"/>
              <w:rPr>
                <w:rFonts w:hint="default" w:eastAsia="宋体"/>
                <w:szCs w:val="21"/>
                <w:lang w:val="en-US" w:eastAsia="zh-CN"/>
              </w:rPr>
            </w:pPr>
            <w:r>
              <w:rPr>
                <w:rFonts w:hint="eastAsia"/>
                <w:szCs w:val="21"/>
              </w:rPr>
              <w:t xml:space="preserve">电极法 </w:t>
            </w:r>
            <w:r>
              <w:rPr>
                <w:rFonts w:hint="eastAsia"/>
                <w:szCs w:val="21"/>
                <w:lang w:val="en-US" w:eastAsia="zh-CN"/>
              </w:rPr>
              <w:t>HJ 1147-2020</w:t>
            </w:r>
          </w:p>
        </w:tc>
        <w:tc>
          <w:tcPr>
            <w:tcW w:w="1917" w:type="dxa"/>
            <w:vAlign w:val="center"/>
          </w:tcPr>
          <w:p>
            <w:pPr>
              <w:jc w:val="center"/>
              <w:rPr>
                <w:szCs w:val="21"/>
              </w:rPr>
            </w:pPr>
            <w:r>
              <w:rPr>
                <w:rFonts w:hint="eastAsia"/>
                <w:szCs w:val="21"/>
              </w:rPr>
              <w:t>pH计</w:t>
            </w:r>
          </w:p>
        </w:tc>
        <w:tc>
          <w:tcPr>
            <w:tcW w:w="1489" w:type="dxa"/>
            <w:vMerge w:val="restart"/>
            <w:vAlign w:val="center"/>
          </w:tcPr>
          <w:p>
            <w:pPr>
              <w:jc w:val="center"/>
              <w:rPr>
                <w:rFonts w:hint="default" w:eastAsia="宋体"/>
                <w:szCs w:val="21"/>
                <w:lang w:val="en-US" w:eastAsia="zh-CN"/>
              </w:rPr>
            </w:pPr>
            <w:r>
              <w:rPr>
                <w:szCs w:val="21"/>
              </w:rPr>
              <w:t>厂区雨</w:t>
            </w:r>
            <w:r>
              <w:rPr>
                <w:rFonts w:hint="eastAsia"/>
                <w:szCs w:val="21"/>
                <w:lang w:val="en-US" w:eastAsia="zh-CN"/>
              </w:rPr>
              <w:t>水排放口</w:t>
            </w:r>
          </w:p>
        </w:tc>
        <w:tc>
          <w:tcPr>
            <w:tcW w:w="2933" w:type="dxa"/>
            <w:vMerge w:val="restart"/>
            <w:vAlign w:val="center"/>
          </w:tcPr>
          <w:p>
            <w:pPr>
              <w:jc w:val="center"/>
              <w:rPr>
                <w:szCs w:val="21"/>
              </w:rPr>
            </w:pPr>
            <w:r>
              <w:rPr>
                <w:rFonts w:hint="eastAsia"/>
                <w:szCs w:val="21"/>
              </w:rPr>
              <w:t>按照事故持续时间决定监测时间，根据事故严重性决定监测频次。一般情况下特征因子两小时监测1次，随事故控制减弱，适当减少监测频次。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continue"/>
            <w:vAlign w:val="center"/>
          </w:tcPr>
          <w:p>
            <w:pPr>
              <w:jc w:val="center"/>
              <w:rPr>
                <w:szCs w:val="21"/>
              </w:rPr>
            </w:pPr>
          </w:p>
        </w:tc>
        <w:tc>
          <w:tcPr>
            <w:tcW w:w="1586" w:type="dxa"/>
            <w:vAlign w:val="center"/>
          </w:tcPr>
          <w:p>
            <w:pPr>
              <w:jc w:val="center"/>
              <w:rPr>
                <w:szCs w:val="21"/>
              </w:rPr>
            </w:pPr>
            <w:r>
              <w:rPr>
                <w:szCs w:val="21"/>
              </w:rPr>
              <w:t>COD</w:t>
            </w:r>
          </w:p>
        </w:tc>
        <w:tc>
          <w:tcPr>
            <w:tcW w:w="3832" w:type="dxa"/>
            <w:vAlign w:val="center"/>
          </w:tcPr>
          <w:p>
            <w:pPr>
              <w:jc w:val="center"/>
              <w:rPr>
                <w:szCs w:val="21"/>
              </w:rPr>
            </w:pPr>
            <w:r>
              <w:rPr>
                <w:rFonts w:hint="eastAsia"/>
                <w:szCs w:val="21"/>
              </w:rPr>
              <w:t>水质 化学需氧量的测定</w:t>
            </w:r>
          </w:p>
          <w:p>
            <w:pPr>
              <w:jc w:val="center"/>
              <w:rPr>
                <w:szCs w:val="21"/>
              </w:rPr>
            </w:pPr>
            <w:r>
              <w:rPr>
                <w:rFonts w:hint="eastAsia"/>
                <w:szCs w:val="21"/>
              </w:rPr>
              <w:t>重铬酸盐法HJ 828-2017</w:t>
            </w:r>
          </w:p>
        </w:tc>
        <w:tc>
          <w:tcPr>
            <w:tcW w:w="1917" w:type="dxa"/>
            <w:vAlign w:val="center"/>
          </w:tcPr>
          <w:p>
            <w:pPr>
              <w:pStyle w:val="77"/>
              <w:tabs>
                <w:tab w:val="left" w:pos="7740"/>
              </w:tabs>
              <w:jc w:val="center"/>
              <w:rPr>
                <w:szCs w:val="21"/>
              </w:rPr>
            </w:pPr>
            <w:r>
              <w:rPr>
                <w:szCs w:val="21"/>
              </w:rPr>
              <w:t>COD消解器</w:t>
            </w:r>
          </w:p>
        </w:tc>
        <w:tc>
          <w:tcPr>
            <w:tcW w:w="1489" w:type="dxa"/>
            <w:vMerge w:val="continue"/>
            <w:vAlign w:val="center"/>
          </w:tcPr>
          <w:p>
            <w:pPr>
              <w:jc w:val="center"/>
              <w:rPr>
                <w:szCs w:val="21"/>
              </w:rPr>
            </w:pPr>
          </w:p>
        </w:tc>
        <w:tc>
          <w:tcPr>
            <w:tcW w:w="2933" w:type="dxa"/>
            <w:vMerge w:val="continue"/>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continue"/>
            <w:vAlign w:val="center"/>
          </w:tcPr>
          <w:p>
            <w:pPr>
              <w:jc w:val="center"/>
              <w:rPr>
                <w:szCs w:val="21"/>
              </w:rPr>
            </w:pPr>
          </w:p>
        </w:tc>
        <w:tc>
          <w:tcPr>
            <w:tcW w:w="1586" w:type="dxa"/>
            <w:vAlign w:val="center"/>
          </w:tcPr>
          <w:p>
            <w:pPr>
              <w:jc w:val="center"/>
              <w:rPr>
                <w:szCs w:val="21"/>
              </w:rPr>
            </w:pPr>
            <w:r>
              <w:rPr>
                <w:rFonts w:hint="eastAsia"/>
                <w:szCs w:val="21"/>
              </w:rPr>
              <w:t>BOD</w:t>
            </w:r>
            <w:r>
              <w:rPr>
                <w:rFonts w:hint="eastAsia"/>
                <w:szCs w:val="21"/>
                <w:vertAlign w:val="subscript"/>
              </w:rPr>
              <w:t>5</w:t>
            </w:r>
          </w:p>
        </w:tc>
        <w:tc>
          <w:tcPr>
            <w:tcW w:w="3832" w:type="dxa"/>
            <w:vAlign w:val="center"/>
          </w:tcPr>
          <w:p>
            <w:pPr>
              <w:jc w:val="center"/>
              <w:rPr>
                <w:szCs w:val="21"/>
              </w:rPr>
            </w:pPr>
            <w:r>
              <w:rPr>
                <w:rFonts w:hint="eastAsia"/>
                <w:szCs w:val="21"/>
              </w:rPr>
              <w:t>水质 五日生化需氧量（BOD</w:t>
            </w:r>
            <w:r>
              <w:rPr>
                <w:rFonts w:hint="eastAsia"/>
                <w:szCs w:val="21"/>
                <w:vertAlign w:val="subscript"/>
              </w:rPr>
              <w:t>5</w:t>
            </w:r>
            <w:r>
              <w:rPr>
                <w:rFonts w:hint="eastAsia"/>
                <w:szCs w:val="21"/>
              </w:rPr>
              <w:t xml:space="preserve">）的测定稀释与接种法 </w:t>
            </w:r>
            <w:r>
              <w:rPr>
                <w:szCs w:val="21"/>
              </w:rPr>
              <w:t>HJ 505-2009</w:t>
            </w:r>
          </w:p>
        </w:tc>
        <w:tc>
          <w:tcPr>
            <w:tcW w:w="1917" w:type="dxa"/>
            <w:vAlign w:val="center"/>
          </w:tcPr>
          <w:p>
            <w:pPr>
              <w:pStyle w:val="77"/>
              <w:tabs>
                <w:tab w:val="left" w:pos="7740"/>
              </w:tabs>
              <w:jc w:val="center"/>
              <w:rPr>
                <w:szCs w:val="21"/>
              </w:rPr>
            </w:pPr>
            <w:r>
              <w:rPr>
                <w:szCs w:val="21"/>
              </w:rPr>
              <w:t>生化培养箱</w:t>
            </w:r>
          </w:p>
        </w:tc>
        <w:tc>
          <w:tcPr>
            <w:tcW w:w="1489" w:type="dxa"/>
            <w:vMerge w:val="continue"/>
            <w:vAlign w:val="center"/>
          </w:tcPr>
          <w:p>
            <w:pPr>
              <w:jc w:val="center"/>
              <w:rPr>
                <w:szCs w:val="21"/>
              </w:rPr>
            </w:pPr>
          </w:p>
        </w:tc>
        <w:tc>
          <w:tcPr>
            <w:tcW w:w="2933" w:type="dxa"/>
            <w:vMerge w:val="continue"/>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continue"/>
            <w:vAlign w:val="center"/>
          </w:tcPr>
          <w:p>
            <w:pPr>
              <w:jc w:val="center"/>
              <w:rPr>
                <w:szCs w:val="21"/>
              </w:rPr>
            </w:pPr>
          </w:p>
        </w:tc>
        <w:tc>
          <w:tcPr>
            <w:tcW w:w="1586" w:type="dxa"/>
            <w:vAlign w:val="center"/>
          </w:tcPr>
          <w:p>
            <w:pPr>
              <w:jc w:val="center"/>
              <w:rPr>
                <w:szCs w:val="21"/>
              </w:rPr>
            </w:pPr>
            <w:r>
              <w:rPr>
                <w:szCs w:val="21"/>
              </w:rPr>
              <w:t>SS</w:t>
            </w:r>
          </w:p>
        </w:tc>
        <w:tc>
          <w:tcPr>
            <w:tcW w:w="3832" w:type="dxa"/>
            <w:vAlign w:val="center"/>
          </w:tcPr>
          <w:p>
            <w:pPr>
              <w:pStyle w:val="77"/>
              <w:tabs>
                <w:tab w:val="left" w:pos="7740"/>
              </w:tabs>
              <w:jc w:val="center"/>
              <w:rPr>
                <w:szCs w:val="21"/>
              </w:rPr>
            </w:pPr>
            <w:r>
              <w:rPr>
                <w:rFonts w:hint="eastAsia"/>
                <w:szCs w:val="21"/>
              </w:rPr>
              <w:t>水质悬浮物的测定</w:t>
            </w:r>
          </w:p>
          <w:p>
            <w:pPr>
              <w:jc w:val="center"/>
              <w:rPr>
                <w:szCs w:val="21"/>
              </w:rPr>
            </w:pPr>
            <w:r>
              <w:rPr>
                <w:rFonts w:hint="eastAsia"/>
                <w:szCs w:val="21"/>
              </w:rPr>
              <w:t xml:space="preserve">重量法 </w:t>
            </w:r>
            <w:r>
              <w:rPr>
                <w:szCs w:val="21"/>
              </w:rPr>
              <w:t>GB/T 11901-1989</w:t>
            </w:r>
          </w:p>
        </w:tc>
        <w:tc>
          <w:tcPr>
            <w:tcW w:w="1917" w:type="dxa"/>
            <w:vAlign w:val="center"/>
          </w:tcPr>
          <w:p>
            <w:pPr>
              <w:pStyle w:val="77"/>
              <w:tabs>
                <w:tab w:val="left" w:pos="7740"/>
              </w:tabs>
              <w:jc w:val="center"/>
              <w:rPr>
                <w:szCs w:val="21"/>
              </w:rPr>
            </w:pPr>
            <w:r>
              <w:rPr>
                <w:szCs w:val="21"/>
              </w:rPr>
              <w:t>电子天平</w:t>
            </w:r>
          </w:p>
        </w:tc>
        <w:tc>
          <w:tcPr>
            <w:tcW w:w="1489" w:type="dxa"/>
            <w:vMerge w:val="continue"/>
            <w:vAlign w:val="center"/>
          </w:tcPr>
          <w:p>
            <w:pPr>
              <w:jc w:val="center"/>
              <w:rPr>
                <w:szCs w:val="21"/>
              </w:rPr>
            </w:pPr>
          </w:p>
        </w:tc>
        <w:tc>
          <w:tcPr>
            <w:tcW w:w="2933" w:type="dxa"/>
            <w:vMerge w:val="continue"/>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continue"/>
            <w:vAlign w:val="center"/>
          </w:tcPr>
          <w:p>
            <w:pPr>
              <w:jc w:val="center"/>
              <w:rPr>
                <w:szCs w:val="21"/>
              </w:rPr>
            </w:pPr>
          </w:p>
        </w:tc>
        <w:tc>
          <w:tcPr>
            <w:tcW w:w="1586" w:type="dxa"/>
            <w:vAlign w:val="center"/>
          </w:tcPr>
          <w:p>
            <w:pPr>
              <w:jc w:val="center"/>
              <w:rPr>
                <w:szCs w:val="21"/>
              </w:rPr>
            </w:pPr>
            <w:r>
              <w:rPr>
                <w:szCs w:val="21"/>
              </w:rPr>
              <w:t>石油类</w:t>
            </w:r>
          </w:p>
        </w:tc>
        <w:tc>
          <w:tcPr>
            <w:tcW w:w="3832" w:type="dxa"/>
            <w:vAlign w:val="center"/>
          </w:tcPr>
          <w:p>
            <w:pPr>
              <w:jc w:val="center"/>
              <w:rPr>
                <w:szCs w:val="21"/>
              </w:rPr>
            </w:pPr>
            <w:r>
              <w:rPr>
                <w:rFonts w:hint="eastAsia"/>
                <w:szCs w:val="21"/>
              </w:rPr>
              <w:t>水质 石油类和动植物油类的测定红外分光光度法 HJ637-2018</w:t>
            </w:r>
          </w:p>
        </w:tc>
        <w:tc>
          <w:tcPr>
            <w:tcW w:w="1917" w:type="dxa"/>
            <w:vAlign w:val="center"/>
          </w:tcPr>
          <w:p>
            <w:pPr>
              <w:jc w:val="center"/>
              <w:rPr>
                <w:szCs w:val="21"/>
              </w:rPr>
            </w:pPr>
            <w:r>
              <w:rPr>
                <w:szCs w:val="21"/>
              </w:rPr>
              <w:t>红外</w:t>
            </w:r>
            <w:r>
              <w:rPr>
                <w:rFonts w:hint="eastAsia"/>
                <w:szCs w:val="21"/>
              </w:rPr>
              <w:t>分光</w:t>
            </w:r>
            <w:r>
              <w:rPr>
                <w:szCs w:val="21"/>
              </w:rPr>
              <w:t>测油仪</w:t>
            </w:r>
          </w:p>
        </w:tc>
        <w:tc>
          <w:tcPr>
            <w:tcW w:w="1489" w:type="dxa"/>
            <w:vMerge w:val="continue"/>
            <w:vAlign w:val="center"/>
          </w:tcPr>
          <w:p>
            <w:pPr>
              <w:jc w:val="center"/>
              <w:rPr>
                <w:szCs w:val="21"/>
              </w:rPr>
            </w:pPr>
          </w:p>
        </w:tc>
        <w:tc>
          <w:tcPr>
            <w:tcW w:w="2933" w:type="dxa"/>
            <w:vMerge w:val="continue"/>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212" w:type="dxa"/>
            <w:vMerge w:val="continue"/>
            <w:vAlign w:val="center"/>
          </w:tcPr>
          <w:p>
            <w:pPr>
              <w:jc w:val="center"/>
              <w:rPr>
                <w:szCs w:val="21"/>
              </w:rPr>
            </w:pPr>
          </w:p>
        </w:tc>
        <w:tc>
          <w:tcPr>
            <w:tcW w:w="1586" w:type="dxa"/>
            <w:vAlign w:val="center"/>
          </w:tcPr>
          <w:p>
            <w:pPr>
              <w:jc w:val="center"/>
              <w:rPr>
                <w:szCs w:val="21"/>
              </w:rPr>
            </w:pPr>
            <w:r>
              <w:rPr>
                <w:szCs w:val="21"/>
              </w:rPr>
              <w:t>氨氮</w:t>
            </w:r>
          </w:p>
        </w:tc>
        <w:tc>
          <w:tcPr>
            <w:tcW w:w="3832" w:type="dxa"/>
            <w:vAlign w:val="center"/>
          </w:tcPr>
          <w:p>
            <w:pPr>
              <w:jc w:val="center"/>
              <w:rPr>
                <w:szCs w:val="21"/>
              </w:rPr>
            </w:pPr>
            <w:r>
              <w:rPr>
                <w:rFonts w:hint="eastAsia"/>
                <w:szCs w:val="21"/>
              </w:rPr>
              <w:t xml:space="preserve">水质 氨氮的测定纳氏试剂分光光度法 </w:t>
            </w:r>
            <w:r>
              <w:rPr>
                <w:szCs w:val="21"/>
              </w:rPr>
              <w:t>HJ 535-2009</w:t>
            </w:r>
          </w:p>
        </w:tc>
        <w:tc>
          <w:tcPr>
            <w:tcW w:w="1917" w:type="dxa"/>
            <w:vAlign w:val="center"/>
          </w:tcPr>
          <w:p>
            <w:pPr>
              <w:jc w:val="center"/>
              <w:rPr>
                <w:szCs w:val="21"/>
              </w:rPr>
            </w:pPr>
            <w:r>
              <w:rPr>
                <w:szCs w:val="21"/>
              </w:rPr>
              <w:t>紫外可见分光光度计</w:t>
            </w:r>
          </w:p>
        </w:tc>
        <w:tc>
          <w:tcPr>
            <w:tcW w:w="1489" w:type="dxa"/>
            <w:vMerge w:val="continue"/>
            <w:vAlign w:val="center"/>
          </w:tcPr>
          <w:p>
            <w:pPr>
              <w:jc w:val="center"/>
              <w:rPr>
                <w:szCs w:val="21"/>
              </w:rPr>
            </w:pPr>
          </w:p>
        </w:tc>
        <w:tc>
          <w:tcPr>
            <w:tcW w:w="2933" w:type="dxa"/>
            <w:vMerge w:val="continue"/>
            <w:vAlign w:val="center"/>
          </w:tcPr>
          <w:p>
            <w:pPr>
              <w:jc w:val="center"/>
              <w:rPr>
                <w:szCs w:val="21"/>
              </w:rPr>
            </w:pPr>
          </w:p>
        </w:tc>
      </w:tr>
    </w:tbl>
    <w:p>
      <w:pPr>
        <w:snapToGrid w:val="0"/>
        <w:spacing w:before="240" w:beforeLines="100" w:line="360" w:lineRule="auto"/>
        <w:ind w:firstLine="480" w:firstLineChars="200"/>
        <w:rPr>
          <w:rFonts w:eastAsia="仿宋_GB2312"/>
          <w:sz w:val="24"/>
        </w:rPr>
        <w:sectPr>
          <w:pgSz w:w="16838" w:h="11906" w:orient="landscape"/>
          <w:pgMar w:top="1440" w:right="1800" w:bottom="1440" w:left="1800" w:header="851" w:footer="992" w:gutter="0"/>
          <w:pgNumType w:fmt="decimal"/>
          <w:cols w:space="720" w:num="1"/>
          <w:docGrid w:linePitch="312" w:charSpace="0"/>
        </w:sectPr>
      </w:pPr>
    </w:p>
    <w:p>
      <w:pPr>
        <w:snapToGrid w:val="0"/>
        <w:spacing w:before="240" w:beforeLines="100" w:line="360" w:lineRule="auto"/>
        <w:ind w:firstLine="480" w:firstLineChars="200"/>
        <w:rPr>
          <w:rFonts w:eastAsia="仿宋_GB2312"/>
          <w:sz w:val="24"/>
        </w:rPr>
      </w:pPr>
      <w:r>
        <w:rPr>
          <w:rFonts w:hint="eastAsia" w:eastAsia="仿宋_GB2312"/>
          <w:sz w:val="24"/>
        </w:rPr>
        <w:t>（</w:t>
      </w:r>
      <w:r>
        <w:rPr>
          <w:rFonts w:eastAsia="仿宋_GB2312"/>
          <w:sz w:val="24"/>
        </w:rPr>
        <w:t>1</w:t>
      </w:r>
      <w:r>
        <w:rPr>
          <w:rFonts w:hint="eastAsia" w:eastAsia="仿宋_GB2312"/>
          <w:sz w:val="24"/>
        </w:rPr>
        <w:t>）</w:t>
      </w:r>
      <w:r>
        <w:rPr>
          <w:rFonts w:eastAsia="仿宋_GB2312"/>
          <w:sz w:val="24"/>
        </w:rPr>
        <w:t>现场监测应当使用快速检测方法，尽量采用试纸和便携式测定仪。</w:t>
      </w:r>
    </w:p>
    <w:p>
      <w:pPr>
        <w:spacing w:before="120" w:beforeLines="50" w:line="360" w:lineRule="auto"/>
        <w:ind w:firstLine="480" w:firstLineChars="200"/>
        <w:rPr>
          <w:rFonts w:eastAsia="仿宋_GB2312"/>
          <w:sz w:val="24"/>
        </w:rPr>
      </w:pPr>
      <w:r>
        <w:rPr>
          <w:rFonts w:hint="eastAsia" w:eastAsia="仿宋_GB2312"/>
          <w:sz w:val="24"/>
        </w:rPr>
        <w:t>（2）</w:t>
      </w:r>
      <w:r>
        <w:rPr>
          <w:rFonts w:eastAsia="仿宋_GB2312"/>
          <w:sz w:val="24"/>
        </w:rPr>
        <w:t>对于现场无法进行监测的项目，应当在表</w:t>
      </w:r>
      <w:r>
        <w:rPr>
          <w:rFonts w:hint="eastAsia" w:eastAsia="仿宋_GB2312"/>
          <w:sz w:val="24"/>
          <w:lang w:val="en-US" w:eastAsia="zh-CN"/>
        </w:rPr>
        <w:t>5</w:t>
      </w:r>
      <w:r>
        <w:rPr>
          <w:rFonts w:eastAsia="仿宋_GB2312"/>
          <w:sz w:val="24"/>
        </w:rPr>
        <w:t>.</w:t>
      </w:r>
      <w:r>
        <w:rPr>
          <w:rFonts w:hint="eastAsia" w:eastAsia="仿宋_GB2312"/>
          <w:sz w:val="24"/>
        </w:rPr>
        <w:t>4-1</w:t>
      </w:r>
      <w:r>
        <w:rPr>
          <w:rFonts w:eastAsia="仿宋_GB2312"/>
          <w:sz w:val="24"/>
        </w:rPr>
        <w:t>规定的监测点取样，尽快将待检样品送至实验室进行分析。</w:t>
      </w:r>
    </w:p>
    <w:p>
      <w:pPr>
        <w:spacing w:before="120" w:beforeLines="50" w:line="360" w:lineRule="auto"/>
        <w:ind w:firstLine="480" w:firstLineChars="200"/>
        <w:rPr>
          <w:rFonts w:eastAsia="仿宋_GB2312"/>
          <w:sz w:val="24"/>
        </w:rPr>
      </w:pPr>
      <w:r>
        <w:rPr>
          <w:rFonts w:hint="eastAsia" w:eastAsia="仿宋_GB2312"/>
          <w:sz w:val="24"/>
        </w:rPr>
        <w:t>（3）</w:t>
      </w:r>
      <w:r>
        <w:rPr>
          <w:rFonts w:eastAsia="仿宋_GB2312"/>
          <w:sz w:val="24"/>
        </w:rPr>
        <w:t>对于某些特殊污染事件或污染物，厂内无法进行检测的，请求第三方检测公司协助检测。</w:t>
      </w:r>
    </w:p>
    <w:p>
      <w:pPr>
        <w:spacing w:before="120" w:beforeLines="50" w:line="360" w:lineRule="auto"/>
        <w:outlineLvl w:val="2"/>
        <w:rPr>
          <w:b/>
          <w:sz w:val="28"/>
          <w:szCs w:val="28"/>
        </w:rPr>
      </w:pPr>
      <w:bookmarkStart w:id="92" w:name="_Toc23225"/>
      <w:r>
        <w:rPr>
          <w:rFonts w:hint="eastAsia"/>
          <w:b/>
          <w:sz w:val="28"/>
          <w:szCs w:val="28"/>
        </w:rPr>
        <w:t>5.4.2</w:t>
      </w:r>
      <w:r>
        <w:rPr>
          <w:b/>
          <w:sz w:val="28"/>
          <w:szCs w:val="28"/>
        </w:rPr>
        <w:t>监测布点与频次</w:t>
      </w:r>
      <w:bookmarkEnd w:id="92"/>
    </w:p>
    <w:p>
      <w:pPr>
        <w:spacing w:before="120" w:beforeLines="50" w:line="360" w:lineRule="auto"/>
        <w:ind w:firstLine="480" w:firstLineChars="200"/>
        <w:rPr>
          <w:rFonts w:eastAsia="仿宋_GB2312"/>
          <w:sz w:val="24"/>
        </w:rPr>
      </w:pPr>
      <w:r>
        <w:rPr>
          <w:rFonts w:hint="eastAsia" w:eastAsia="仿宋_GB2312"/>
          <w:sz w:val="24"/>
        </w:rPr>
        <w:t>（1）</w:t>
      </w:r>
      <w:r>
        <w:rPr>
          <w:rFonts w:eastAsia="仿宋_GB2312"/>
          <w:sz w:val="24"/>
        </w:rPr>
        <w:t>采样点位布设</w:t>
      </w:r>
    </w:p>
    <w:p>
      <w:pPr>
        <w:spacing w:before="120" w:beforeLines="50" w:line="360" w:lineRule="auto"/>
        <w:ind w:firstLine="480" w:firstLineChars="200"/>
        <w:rPr>
          <w:rFonts w:eastAsia="仿宋_GB2312"/>
          <w:sz w:val="24"/>
        </w:rPr>
      </w:pPr>
      <w:r>
        <w:rPr>
          <w:rFonts w:eastAsia="仿宋_GB2312"/>
          <w:sz w:val="24"/>
        </w:rPr>
        <w:t>环境污染事故发生时，污染物的分布不均匀，对各环境要素的污染程度各不相同，采样点位的选择对于准确判断污染物的浓度分布、污染范围与程度等极为重要，事故应急监测布点见表</w:t>
      </w:r>
      <w:r>
        <w:rPr>
          <w:rFonts w:hint="eastAsia" w:eastAsia="仿宋_GB2312"/>
          <w:sz w:val="24"/>
          <w:lang w:val="en-US" w:eastAsia="zh-CN"/>
        </w:rPr>
        <w:t>5.4-</w:t>
      </w:r>
      <w:r>
        <w:rPr>
          <w:rFonts w:eastAsia="仿宋_GB2312"/>
          <w:sz w:val="24"/>
        </w:rPr>
        <w:t>1。根据事故类型，严重程度和影响范围可增加采样点，在保证监测人员安全的条件下，可直接测定现场污染物的浓度。</w:t>
      </w:r>
    </w:p>
    <w:p>
      <w:pPr>
        <w:spacing w:before="120" w:beforeLines="50" w:line="360" w:lineRule="auto"/>
        <w:ind w:firstLine="480" w:firstLineChars="200"/>
        <w:rPr>
          <w:rFonts w:eastAsia="仿宋_GB2312"/>
          <w:sz w:val="24"/>
        </w:rPr>
      </w:pPr>
      <w:r>
        <w:rPr>
          <w:rFonts w:eastAsia="仿宋_GB2312"/>
          <w:sz w:val="24"/>
        </w:rPr>
        <w:t>对于所有采集的样品，应分类保存，防止交叉污染。现场无法测定的项目，应立即将样品送至实验室分析。样品必须保存到应急行动结束后，才能废弃。</w:t>
      </w:r>
    </w:p>
    <w:p>
      <w:pPr>
        <w:spacing w:before="120" w:beforeLines="50" w:line="360" w:lineRule="auto"/>
        <w:ind w:firstLine="480" w:firstLineChars="200"/>
        <w:rPr>
          <w:rFonts w:eastAsia="仿宋_GB2312"/>
          <w:sz w:val="24"/>
        </w:rPr>
      </w:pPr>
      <w:r>
        <w:rPr>
          <w:rFonts w:hint="eastAsia" w:eastAsia="仿宋_GB2312"/>
          <w:sz w:val="24"/>
        </w:rPr>
        <w:t>（2）</w:t>
      </w:r>
      <w:r>
        <w:rPr>
          <w:rFonts w:eastAsia="仿宋_GB2312"/>
          <w:sz w:val="24"/>
        </w:rPr>
        <w:t>应急监测频次的确定</w:t>
      </w:r>
    </w:p>
    <w:p>
      <w:pPr>
        <w:spacing w:before="120" w:beforeLines="50" w:line="360" w:lineRule="auto"/>
        <w:ind w:firstLine="480" w:firstLineChars="200"/>
        <w:rPr>
          <w:rFonts w:eastAsia="仿宋_GB2312"/>
          <w:sz w:val="24"/>
        </w:rPr>
      </w:pPr>
      <w:r>
        <w:rPr>
          <w:rFonts w:eastAsia="仿宋_GB2312"/>
          <w:sz w:val="24"/>
        </w:rPr>
        <w:t>应急监测的频次根据事故发生的时间而有所变化，根据污染物的状况，在事发初期每小时采样一次；待摸清污染规律后可适当减少，不少于6小时一次；应急终止后可24小时一次进行取样，至影响完全消除后方可停止取样。</w:t>
      </w:r>
    </w:p>
    <w:p>
      <w:pPr>
        <w:spacing w:before="120" w:beforeLines="50" w:line="360" w:lineRule="auto"/>
        <w:outlineLvl w:val="2"/>
        <w:rPr>
          <w:b/>
          <w:sz w:val="28"/>
          <w:szCs w:val="28"/>
        </w:rPr>
      </w:pPr>
      <w:bookmarkStart w:id="93" w:name="_Toc29664"/>
      <w:r>
        <w:rPr>
          <w:rFonts w:hint="eastAsia"/>
          <w:b/>
          <w:sz w:val="28"/>
          <w:szCs w:val="28"/>
        </w:rPr>
        <w:t>5.4.3</w:t>
      </w:r>
      <w:r>
        <w:rPr>
          <w:b/>
          <w:sz w:val="28"/>
          <w:szCs w:val="28"/>
        </w:rPr>
        <w:t>仪器与药剂</w:t>
      </w:r>
      <w:bookmarkEnd w:id="93"/>
    </w:p>
    <w:p>
      <w:pPr>
        <w:spacing w:before="120" w:beforeLines="50" w:line="360" w:lineRule="auto"/>
        <w:ind w:firstLine="480" w:firstLineChars="200"/>
        <w:rPr>
          <w:rFonts w:eastAsia="仿宋_GB2312"/>
          <w:sz w:val="24"/>
        </w:rPr>
      </w:pPr>
      <w:r>
        <w:rPr>
          <w:rFonts w:eastAsia="仿宋_GB2312"/>
          <w:sz w:val="24"/>
        </w:rPr>
        <w:t>当</w:t>
      </w:r>
      <w:r>
        <w:rPr>
          <w:rFonts w:hint="eastAsia" w:eastAsia="仿宋_GB2312"/>
          <w:sz w:val="24"/>
        </w:rPr>
        <w:t>应急监测</w:t>
      </w:r>
      <w:r>
        <w:rPr>
          <w:rFonts w:eastAsia="仿宋_GB2312"/>
          <w:sz w:val="24"/>
        </w:rPr>
        <w:t>互助单位内仪器设备无法满足监测需求时应当向</w:t>
      </w:r>
      <w:r>
        <w:rPr>
          <w:rFonts w:hint="eastAsia" w:eastAsia="仿宋_GB2312"/>
          <w:sz w:val="24"/>
          <w:lang w:val="en-US" w:eastAsia="zh-CN"/>
        </w:rPr>
        <w:t>翁源县环境监测站</w:t>
      </w:r>
      <w:r>
        <w:rPr>
          <w:rFonts w:eastAsia="仿宋_GB2312"/>
          <w:sz w:val="24"/>
        </w:rPr>
        <w:t>寻求帮助。</w:t>
      </w:r>
    </w:p>
    <w:p>
      <w:pPr>
        <w:spacing w:before="50" w:line="336" w:lineRule="auto"/>
        <w:outlineLvl w:val="2"/>
        <w:rPr>
          <w:b/>
          <w:sz w:val="28"/>
          <w:szCs w:val="28"/>
        </w:rPr>
      </w:pPr>
      <w:bookmarkStart w:id="94" w:name="_Toc16306"/>
      <w:r>
        <w:rPr>
          <w:rFonts w:hint="eastAsia"/>
          <w:b/>
          <w:sz w:val="28"/>
          <w:szCs w:val="28"/>
        </w:rPr>
        <w:t>5.4.4</w:t>
      </w:r>
      <w:r>
        <w:rPr>
          <w:b/>
          <w:sz w:val="28"/>
          <w:szCs w:val="28"/>
        </w:rPr>
        <w:t>应急监测人员安全防护措施</w:t>
      </w:r>
      <w:bookmarkEnd w:id="94"/>
    </w:p>
    <w:p>
      <w:pPr>
        <w:autoSpaceDE w:val="0"/>
        <w:autoSpaceDN w:val="0"/>
        <w:adjustRightInd w:val="0"/>
        <w:snapToGrid w:val="0"/>
        <w:spacing w:line="360" w:lineRule="auto"/>
        <w:ind w:firstLine="480" w:firstLineChars="200"/>
        <w:jc w:val="left"/>
        <w:rPr>
          <w:rFonts w:eastAsia="仿宋"/>
          <w:kern w:val="0"/>
          <w:sz w:val="28"/>
          <w:szCs w:val="28"/>
          <w:lang w:val="zh-CN"/>
        </w:rPr>
      </w:pPr>
      <w:r>
        <w:rPr>
          <w:rFonts w:eastAsia="仿宋_GB2312"/>
          <w:sz w:val="24"/>
        </w:rPr>
        <w:t>现场应急监测分析方案的具体实施均是由应急监测工作者完成的，每一污染事故都可能危及分析人员的人身安全。为了保护分析人员并有效地实施现场快速分析，在实施应急监测方案之前，还应该配备必要的防护器材，如防护服、靴子、手套、口罩以及应急灯等。</w:t>
      </w:r>
    </w:p>
    <w:p>
      <w:pPr>
        <w:autoSpaceDE w:val="0"/>
        <w:autoSpaceDN w:val="0"/>
        <w:adjustRightInd w:val="0"/>
        <w:snapToGrid w:val="0"/>
        <w:spacing w:line="360" w:lineRule="auto"/>
        <w:ind w:firstLine="560" w:firstLineChars="200"/>
        <w:jc w:val="left"/>
        <w:rPr>
          <w:rFonts w:eastAsia="仿宋"/>
          <w:kern w:val="0"/>
          <w:sz w:val="28"/>
          <w:szCs w:val="28"/>
          <w:lang w:val="zh-CN"/>
        </w:rPr>
      </w:pPr>
    </w:p>
    <w:p>
      <w:pPr>
        <w:autoSpaceDE w:val="0"/>
        <w:autoSpaceDN w:val="0"/>
        <w:adjustRightInd w:val="0"/>
        <w:snapToGrid w:val="0"/>
        <w:spacing w:line="360" w:lineRule="auto"/>
        <w:ind w:firstLine="560" w:firstLineChars="200"/>
        <w:jc w:val="left"/>
        <w:rPr>
          <w:rFonts w:eastAsia="仿宋"/>
          <w:kern w:val="0"/>
          <w:sz w:val="28"/>
          <w:szCs w:val="28"/>
          <w:lang w:val="zh-CN"/>
        </w:rPr>
        <w:sectPr>
          <w:pgSz w:w="11906" w:h="16838"/>
          <w:pgMar w:top="1440" w:right="1797" w:bottom="1440" w:left="1797" w:header="851" w:footer="992" w:gutter="0"/>
          <w:pgNumType w:fmt="decimal"/>
          <w:cols w:space="720" w:num="1"/>
          <w:docGrid w:linePitch="312" w:charSpace="0"/>
        </w:sectPr>
      </w:pPr>
    </w:p>
    <w:p>
      <w:pPr>
        <w:spacing w:before="360" w:beforeLines="150" w:after="240" w:afterLines="100" w:line="360" w:lineRule="auto"/>
        <w:jc w:val="center"/>
        <w:outlineLvl w:val="0"/>
        <w:rPr>
          <w:b/>
          <w:sz w:val="36"/>
          <w:szCs w:val="36"/>
        </w:rPr>
      </w:pPr>
      <w:bookmarkStart w:id="95" w:name="_Toc7894"/>
      <w:r>
        <w:rPr>
          <w:rFonts w:hint="eastAsia"/>
          <w:b/>
          <w:sz w:val="36"/>
          <w:szCs w:val="36"/>
        </w:rPr>
        <w:t>6</w:t>
      </w:r>
      <w:r>
        <w:rPr>
          <w:b/>
          <w:sz w:val="36"/>
          <w:szCs w:val="36"/>
        </w:rPr>
        <w:t xml:space="preserve"> 应急终止</w:t>
      </w:r>
      <w:bookmarkEnd w:id="95"/>
    </w:p>
    <w:p>
      <w:pPr>
        <w:spacing w:before="120" w:beforeLines="50" w:line="360" w:lineRule="auto"/>
        <w:outlineLvl w:val="1"/>
        <w:rPr>
          <w:b/>
          <w:sz w:val="30"/>
          <w:szCs w:val="30"/>
        </w:rPr>
      </w:pPr>
      <w:bookmarkStart w:id="96" w:name="_Toc24654"/>
      <w:r>
        <w:rPr>
          <w:rFonts w:hint="eastAsia"/>
          <w:b/>
          <w:sz w:val="30"/>
          <w:szCs w:val="30"/>
        </w:rPr>
        <w:t>6</w:t>
      </w:r>
      <w:r>
        <w:rPr>
          <w:b/>
          <w:sz w:val="30"/>
          <w:szCs w:val="30"/>
        </w:rPr>
        <w:t>.1 应急终止条件</w:t>
      </w:r>
      <w:bookmarkEnd w:id="96"/>
    </w:p>
    <w:p>
      <w:pPr>
        <w:autoSpaceDE w:val="0"/>
        <w:autoSpaceDN w:val="0"/>
        <w:adjustRightInd w:val="0"/>
        <w:snapToGrid w:val="0"/>
        <w:spacing w:before="120" w:beforeLines="50" w:line="360" w:lineRule="auto"/>
        <w:ind w:firstLine="480" w:firstLineChars="200"/>
        <w:jc w:val="left"/>
        <w:rPr>
          <w:rFonts w:eastAsia="仿宋_GB2312"/>
          <w:sz w:val="24"/>
        </w:rPr>
      </w:pPr>
      <w:r>
        <w:rPr>
          <w:rFonts w:eastAsia="仿宋_GB2312"/>
          <w:sz w:val="24"/>
        </w:rPr>
        <w:t>符合下列条件之一的，即满足应急终止条件</w:t>
      </w:r>
      <w:r>
        <w:rPr>
          <w:rFonts w:hint="eastAsia" w:eastAsia="仿宋_GB2312"/>
          <w:sz w:val="24"/>
          <w:lang w:eastAsia="zh-CN"/>
        </w:rPr>
        <w:t>：</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⑴</w:t>
      </w:r>
      <w:r>
        <w:rPr>
          <w:rFonts w:eastAsia="仿宋_GB2312"/>
          <w:sz w:val="24"/>
        </w:rPr>
        <w:t>、事件现场危险状态得到控制，事件发生条件已不存在；</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⑵</w:t>
      </w:r>
      <w:r>
        <w:rPr>
          <w:rFonts w:eastAsia="仿宋_GB2312"/>
          <w:sz w:val="24"/>
        </w:rPr>
        <w:t>、导致次生、衍生事故的隐患已消除；</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⑶</w:t>
      </w:r>
      <w:r>
        <w:rPr>
          <w:rFonts w:eastAsia="仿宋_GB2312"/>
          <w:sz w:val="24"/>
        </w:rPr>
        <w:t>、确认事件发生地人群、环境的各项主要健康、环境、生物及生态指标已经降低到常态水平；</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⑷</w:t>
      </w:r>
      <w:r>
        <w:rPr>
          <w:rFonts w:eastAsia="仿宋_GB2312"/>
          <w:sz w:val="24"/>
        </w:rPr>
        <w:t>、事件所造成的危害已经被彻底消除，无继发可能；</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⑸</w:t>
      </w:r>
      <w:r>
        <w:rPr>
          <w:rFonts w:eastAsia="仿宋_GB2312"/>
          <w:sz w:val="24"/>
        </w:rPr>
        <w:t>、事件现场的各种专业应急处置行动已无继续的必要；</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⑹</w:t>
      </w:r>
      <w:r>
        <w:rPr>
          <w:rFonts w:eastAsia="仿宋_GB2312"/>
          <w:sz w:val="24"/>
        </w:rPr>
        <w:t>、采取了必要的防护措施以保护公众免受再次危害，并使事件可能引起的中长期影响已得到控制，并逐渐消除。</w:t>
      </w:r>
    </w:p>
    <w:p>
      <w:pPr>
        <w:spacing w:before="120" w:beforeLines="50" w:line="360" w:lineRule="auto"/>
        <w:outlineLvl w:val="1"/>
        <w:rPr>
          <w:b/>
          <w:sz w:val="30"/>
          <w:szCs w:val="30"/>
        </w:rPr>
      </w:pPr>
      <w:bookmarkStart w:id="97" w:name="_Toc19248"/>
      <w:r>
        <w:rPr>
          <w:rFonts w:hint="eastAsia"/>
          <w:b/>
          <w:sz w:val="30"/>
          <w:szCs w:val="30"/>
        </w:rPr>
        <w:t>6</w:t>
      </w:r>
      <w:r>
        <w:rPr>
          <w:b/>
          <w:sz w:val="30"/>
          <w:szCs w:val="30"/>
        </w:rPr>
        <w:t>.2 确定现场应急工作结束的程序</w:t>
      </w:r>
      <w:bookmarkEnd w:id="97"/>
    </w:p>
    <w:p>
      <w:pPr>
        <w:autoSpaceDE w:val="0"/>
        <w:autoSpaceDN w:val="0"/>
        <w:adjustRightInd w:val="0"/>
        <w:snapToGrid w:val="0"/>
        <w:spacing w:before="120" w:beforeLines="50" w:line="360" w:lineRule="auto"/>
        <w:ind w:firstLine="480" w:firstLineChars="200"/>
        <w:jc w:val="left"/>
        <w:rPr>
          <w:rFonts w:eastAsia="仿宋_GB2312"/>
          <w:sz w:val="24"/>
        </w:rPr>
      </w:pPr>
      <w:r>
        <w:rPr>
          <w:rFonts w:eastAsia="仿宋_GB2312"/>
          <w:sz w:val="24"/>
        </w:rPr>
        <w:t>(1)、当事故现场及周围的危险满足应急终止条件，经过现场各专业应急小组的检查确认，由现场应急领导小组批准，宣布应急状态结束，结束救援工作。</w:t>
      </w:r>
    </w:p>
    <w:p>
      <w:pPr>
        <w:autoSpaceDE w:val="0"/>
        <w:autoSpaceDN w:val="0"/>
        <w:adjustRightInd w:val="0"/>
        <w:snapToGrid w:val="0"/>
        <w:spacing w:before="120" w:beforeLines="50" w:line="360" w:lineRule="auto"/>
        <w:ind w:firstLine="480" w:firstLineChars="200"/>
        <w:jc w:val="left"/>
        <w:rPr>
          <w:rFonts w:eastAsia="仿宋_GB2312"/>
          <w:sz w:val="24"/>
        </w:rPr>
      </w:pPr>
      <w:r>
        <w:rPr>
          <w:rFonts w:eastAsia="仿宋_GB2312"/>
          <w:sz w:val="24"/>
        </w:rPr>
        <w:t>(2)、社会性突发环境事件在上级部门的指挥下，已达到结束应急工作的条件，周边地区及人员事故危险已解除，上级部门决定应急工作结束。</w:t>
      </w:r>
    </w:p>
    <w:p>
      <w:pPr>
        <w:autoSpaceDE w:val="0"/>
        <w:autoSpaceDN w:val="0"/>
        <w:adjustRightInd w:val="0"/>
        <w:snapToGrid w:val="0"/>
        <w:spacing w:before="120" w:beforeLines="50" w:line="360" w:lineRule="auto"/>
        <w:ind w:firstLine="480" w:firstLineChars="200"/>
        <w:jc w:val="left"/>
        <w:rPr>
          <w:rFonts w:eastAsia="仿宋_GB2312"/>
          <w:sz w:val="24"/>
        </w:rPr>
        <w:sectPr>
          <w:pgSz w:w="11906" w:h="16838"/>
          <w:pgMar w:top="1440" w:right="1797" w:bottom="1440" w:left="1797" w:header="851" w:footer="992" w:gutter="0"/>
          <w:pgNumType w:fmt="decimal"/>
          <w:cols w:space="720" w:num="1"/>
          <w:docGrid w:linePitch="312" w:charSpace="0"/>
        </w:sectPr>
      </w:pPr>
      <w:r>
        <w:rPr>
          <w:rFonts w:hint="eastAsia" w:ascii="宋体" w:hAnsi="宋体" w:cs="宋体"/>
          <w:sz w:val="24"/>
        </w:rPr>
        <w:t>⑶</w:t>
      </w:r>
      <w:r>
        <w:rPr>
          <w:rFonts w:eastAsia="仿宋_GB2312"/>
          <w:sz w:val="24"/>
        </w:rPr>
        <w:t>、由应急指挥长授权专人通知相关部门、周边地区及人员事故危险已解除，应急结束。</w:t>
      </w:r>
    </w:p>
    <w:p>
      <w:pPr>
        <w:spacing w:before="360" w:beforeLines="150" w:after="240" w:afterLines="100" w:line="360" w:lineRule="auto"/>
        <w:jc w:val="center"/>
        <w:outlineLvl w:val="0"/>
        <w:rPr>
          <w:b/>
          <w:sz w:val="36"/>
          <w:szCs w:val="36"/>
        </w:rPr>
      </w:pPr>
      <w:bookmarkStart w:id="98" w:name="_Toc22750"/>
      <w:r>
        <w:rPr>
          <w:rFonts w:hint="eastAsia"/>
          <w:b/>
          <w:sz w:val="36"/>
          <w:szCs w:val="36"/>
        </w:rPr>
        <w:t>7</w:t>
      </w:r>
      <w:r>
        <w:rPr>
          <w:b/>
          <w:sz w:val="36"/>
          <w:szCs w:val="36"/>
        </w:rPr>
        <w:t xml:space="preserve"> </w:t>
      </w:r>
      <w:r>
        <w:rPr>
          <w:rFonts w:hint="eastAsia"/>
          <w:b/>
          <w:sz w:val="36"/>
          <w:szCs w:val="36"/>
        </w:rPr>
        <w:t>善后处置</w:t>
      </w:r>
      <w:bookmarkEnd w:id="98"/>
    </w:p>
    <w:p>
      <w:pPr>
        <w:autoSpaceDE w:val="0"/>
        <w:autoSpaceDN w:val="0"/>
        <w:adjustRightInd w:val="0"/>
        <w:snapToGrid w:val="0"/>
        <w:spacing w:before="120" w:beforeLines="50" w:line="360" w:lineRule="auto"/>
        <w:ind w:firstLine="480" w:firstLineChars="200"/>
        <w:jc w:val="left"/>
        <w:rPr>
          <w:rFonts w:eastAsia="仿宋_GB2312"/>
          <w:sz w:val="24"/>
        </w:rPr>
      </w:pPr>
      <w:r>
        <w:rPr>
          <w:rFonts w:eastAsia="仿宋_GB2312"/>
          <w:sz w:val="24"/>
        </w:rPr>
        <w:t>应急行动结束后，企业要做好突发环境事件的善后工作主要包括：现场洗消处理、人员安置及损失赔偿、设备维修、生态环境恢复、经验教训总结及应急方案改进等内容。</w:t>
      </w:r>
    </w:p>
    <w:p>
      <w:pPr>
        <w:spacing w:before="120" w:beforeLines="50" w:line="360" w:lineRule="auto"/>
        <w:outlineLvl w:val="1"/>
        <w:rPr>
          <w:b/>
          <w:sz w:val="30"/>
          <w:szCs w:val="30"/>
        </w:rPr>
      </w:pPr>
      <w:bookmarkStart w:id="99" w:name="_Toc28743"/>
      <w:r>
        <w:rPr>
          <w:rFonts w:hint="eastAsia"/>
          <w:b/>
          <w:sz w:val="30"/>
          <w:szCs w:val="30"/>
        </w:rPr>
        <w:t>7</w:t>
      </w:r>
      <w:r>
        <w:rPr>
          <w:b/>
          <w:sz w:val="30"/>
          <w:szCs w:val="30"/>
        </w:rPr>
        <w:t>.1</w:t>
      </w:r>
      <w:r>
        <w:rPr>
          <w:rFonts w:hint="eastAsia"/>
          <w:b/>
          <w:sz w:val="30"/>
          <w:szCs w:val="30"/>
        </w:rPr>
        <w:t>事故现场的清理</w:t>
      </w:r>
      <w:bookmarkEnd w:id="99"/>
    </w:p>
    <w:p>
      <w:pPr>
        <w:autoSpaceDE w:val="0"/>
        <w:autoSpaceDN w:val="0"/>
        <w:adjustRightInd w:val="0"/>
        <w:snapToGrid w:val="0"/>
        <w:spacing w:before="120" w:beforeLines="50" w:line="360" w:lineRule="auto"/>
        <w:ind w:firstLine="480" w:firstLineChars="200"/>
        <w:jc w:val="left"/>
        <w:rPr>
          <w:rFonts w:eastAsia="仿宋_GB2312"/>
          <w:sz w:val="24"/>
        </w:rPr>
      </w:pPr>
      <w:r>
        <w:rPr>
          <w:rFonts w:eastAsia="仿宋_GB2312"/>
          <w:sz w:val="24"/>
        </w:rPr>
        <w:t>根据突发环境事件的污染物物理化学性质和受污染的具体情况，采用化学消毒法和物理消毒法处理，或对污染区暂时封闭等，待环境检测合格后再行启用。</w:t>
      </w:r>
    </w:p>
    <w:p>
      <w:pPr>
        <w:spacing w:before="120" w:beforeLines="50" w:line="360" w:lineRule="auto"/>
        <w:jc w:val="left"/>
        <w:outlineLvl w:val="1"/>
        <w:rPr>
          <w:b/>
          <w:sz w:val="30"/>
          <w:szCs w:val="30"/>
        </w:rPr>
      </w:pPr>
      <w:bookmarkStart w:id="100" w:name="_Toc9826"/>
      <w:r>
        <w:rPr>
          <w:rFonts w:hint="eastAsia"/>
          <w:b/>
          <w:sz w:val="30"/>
          <w:szCs w:val="30"/>
        </w:rPr>
        <w:t>7.2人员安置及损失赔偿</w:t>
      </w:r>
      <w:bookmarkEnd w:id="100"/>
    </w:p>
    <w:p>
      <w:pPr>
        <w:spacing w:before="120" w:beforeLines="50" w:line="360" w:lineRule="auto"/>
        <w:ind w:firstLine="480" w:firstLineChars="200"/>
        <w:rPr>
          <w:rFonts w:eastAsia="仿宋_GB2312"/>
          <w:sz w:val="24"/>
        </w:rPr>
      </w:pPr>
      <w:r>
        <w:rPr>
          <w:rFonts w:eastAsia="仿宋_GB2312"/>
          <w:sz w:val="24"/>
        </w:rPr>
        <w:t>事故造成人员伤亡、环境污染、周边社区生产生活影响的，应急领导小组办公室按照国家有关规定为员工或企业办理理赔相关事宜，修复生态环境，做好突发环境污染事故的善后处置工作，保证各社区和周边社会稳定，尽快恢复正常秩序。</w:t>
      </w:r>
    </w:p>
    <w:p>
      <w:pPr>
        <w:spacing w:before="120" w:beforeLines="50" w:line="360" w:lineRule="auto"/>
        <w:jc w:val="left"/>
        <w:outlineLvl w:val="1"/>
        <w:rPr>
          <w:b/>
          <w:sz w:val="30"/>
          <w:szCs w:val="30"/>
        </w:rPr>
      </w:pPr>
      <w:bookmarkStart w:id="101" w:name="_Toc5634"/>
      <w:r>
        <w:rPr>
          <w:rFonts w:hint="eastAsia"/>
          <w:b/>
          <w:sz w:val="30"/>
          <w:szCs w:val="30"/>
        </w:rPr>
        <w:t>7.3设备维修</w:t>
      </w:r>
      <w:bookmarkEnd w:id="101"/>
    </w:p>
    <w:p>
      <w:pPr>
        <w:spacing w:before="120" w:beforeLines="50" w:line="360" w:lineRule="auto"/>
        <w:ind w:firstLine="480" w:firstLineChars="200"/>
        <w:rPr>
          <w:rFonts w:eastAsia="仿宋_GB2312"/>
          <w:sz w:val="24"/>
        </w:rPr>
      </w:pPr>
      <w:r>
        <w:rPr>
          <w:rFonts w:eastAsia="仿宋_GB2312"/>
          <w:sz w:val="24"/>
        </w:rPr>
        <w:t>应急领导小组根据现场各种设备受损的情况，列出修复计划，修理受损的设备，公司不能自己修复的设备，委托有关专业单位进行修理，恢复正常工作。</w:t>
      </w:r>
    </w:p>
    <w:p>
      <w:pPr>
        <w:spacing w:before="120" w:beforeLines="50" w:line="360" w:lineRule="auto"/>
        <w:jc w:val="left"/>
        <w:outlineLvl w:val="1"/>
        <w:rPr>
          <w:b/>
          <w:sz w:val="30"/>
          <w:szCs w:val="30"/>
        </w:rPr>
      </w:pPr>
      <w:bookmarkStart w:id="102" w:name="_Toc15485"/>
      <w:r>
        <w:rPr>
          <w:rFonts w:hint="eastAsia"/>
          <w:b/>
          <w:sz w:val="30"/>
          <w:szCs w:val="30"/>
        </w:rPr>
        <w:t>7.4事故</w:t>
      </w:r>
      <w:r>
        <w:fldChar w:fldCharType="begin"/>
      </w:r>
      <w:r>
        <w:instrText xml:space="preserve"> HYPERLINK "http://baike.baidu.com/view/164088.htm" \t "_blank" </w:instrText>
      </w:r>
      <w:r>
        <w:fldChar w:fldCharType="separate"/>
      </w:r>
      <w:r>
        <w:rPr>
          <w:rFonts w:hint="eastAsia"/>
          <w:b/>
          <w:sz w:val="30"/>
          <w:szCs w:val="30"/>
        </w:rPr>
        <w:t>调查报告</w:t>
      </w:r>
      <w:r>
        <w:rPr>
          <w:rFonts w:hint="eastAsia"/>
          <w:b/>
          <w:sz w:val="30"/>
          <w:szCs w:val="30"/>
        </w:rPr>
        <w:fldChar w:fldCharType="end"/>
      </w:r>
      <w:r>
        <w:rPr>
          <w:rFonts w:hint="eastAsia"/>
          <w:b/>
          <w:sz w:val="30"/>
          <w:szCs w:val="30"/>
        </w:rPr>
        <w:t>和经验教训总结及改进建议</w:t>
      </w:r>
      <w:bookmarkEnd w:id="102"/>
    </w:p>
    <w:p>
      <w:pPr>
        <w:spacing w:before="120" w:beforeLines="50" w:line="360" w:lineRule="auto"/>
        <w:ind w:firstLine="480" w:firstLineChars="200"/>
        <w:rPr>
          <w:rFonts w:eastAsia="仿宋_GB2312"/>
          <w:sz w:val="24"/>
        </w:rPr>
      </w:pPr>
      <w:r>
        <w:rPr>
          <w:rFonts w:eastAsia="仿宋_GB2312"/>
          <w:sz w:val="24"/>
        </w:rPr>
        <w:t>应急响应结束后，公司应急领导小组应认真分析事故原因，制定防范措施，防止类似突发环境污染事故发生。</w:t>
      </w:r>
    </w:p>
    <w:p>
      <w:pPr>
        <w:spacing w:before="120" w:beforeLines="50" w:line="360" w:lineRule="auto"/>
        <w:ind w:firstLine="480" w:firstLineChars="200"/>
        <w:rPr>
          <w:rFonts w:eastAsia="仿宋_GB2312"/>
          <w:sz w:val="24"/>
        </w:rPr>
      </w:pPr>
      <w:r>
        <w:rPr>
          <w:rFonts w:eastAsia="仿宋_GB2312"/>
          <w:sz w:val="24"/>
        </w:rPr>
        <w:t>事故善后处置工作结束后，应急领导小组组织专家和参加应急的相关人员，对事故的发生，抢险、救援过程进行调查与总结，对应急行动的程序、步骤、措施、人力、物力等是否满足应急工作的需要进行评估，形成报告，及时修订应急预案。</w:t>
      </w:r>
    </w:p>
    <w:p>
      <w:pPr>
        <w:spacing w:before="120" w:beforeLines="50" w:line="360" w:lineRule="auto"/>
        <w:ind w:firstLine="480" w:firstLineChars="200"/>
        <w:rPr>
          <w:rFonts w:eastAsia="仿宋_GB2312"/>
          <w:sz w:val="24"/>
        </w:rPr>
        <w:sectPr>
          <w:pgSz w:w="11906" w:h="16838"/>
          <w:pgMar w:top="1440" w:right="1797" w:bottom="1440" w:left="1797" w:header="851" w:footer="992" w:gutter="0"/>
          <w:pgNumType w:fmt="decimal"/>
          <w:cols w:space="720" w:num="1"/>
          <w:docGrid w:linePitch="312" w:charSpace="0"/>
        </w:sectPr>
      </w:pPr>
    </w:p>
    <w:p>
      <w:pPr>
        <w:spacing w:before="360" w:beforeLines="150" w:after="240" w:afterLines="100" w:line="360" w:lineRule="auto"/>
        <w:jc w:val="center"/>
        <w:outlineLvl w:val="0"/>
        <w:rPr>
          <w:b/>
          <w:sz w:val="36"/>
          <w:szCs w:val="36"/>
        </w:rPr>
      </w:pPr>
      <w:bookmarkStart w:id="103" w:name="_Toc10085"/>
      <w:r>
        <w:rPr>
          <w:rFonts w:hint="eastAsia"/>
          <w:b/>
          <w:sz w:val="36"/>
          <w:szCs w:val="36"/>
        </w:rPr>
        <w:t>8</w:t>
      </w:r>
      <w:r>
        <w:rPr>
          <w:b/>
          <w:sz w:val="36"/>
          <w:szCs w:val="36"/>
        </w:rPr>
        <w:t xml:space="preserve"> 保障措施</w:t>
      </w:r>
      <w:bookmarkEnd w:id="103"/>
    </w:p>
    <w:p>
      <w:pPr>
        <w:spacing w:before="120" w:beforeLines="50" w:line="360" w:lineRule="auto"/>
        <w:outlineLvl w:val="1"/>
        <w:rPr>
          <w:b/>
          <w:sz w:val="30"/>
          <w:szCs w:val="30"/>
        </w:rPr>
      </w:pPr>
      <w:bookmarkStart w:id="104" w:name="_Toc20560"/>
      <w:r>
        <w:rPr>
          <w:rFonts w:hint="eastAsia"/>
          <w:b/>
          <w:sz w:val="30"/>
          <w:szCs w:val="30"/>
        </w:rPr>
        <w:t>8</w:t>
      </w:r>
      <w:r>
        <w:rPr>
          <w:b/>
          <w:sz w:val="30"/>
          <w:szCs w:val="30"/>
        </w:rPr>
        <w:t>.1预案执行保障</w:t>
      </w:r>
      <w:bookmarkEnd w:id="104"/>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⑴</w:t>
      </w:r>
      <w:r>
        <w:rPr>
          <w:rFonts w:eastAsia="仿宋_GB2312"/>
          <w:sz w:val="24"/>
        </w:rPr>
        <w:t>、普及应急知识，增强应急能力</w:t>
      </w:r>
    </w:p>
    <w:p>
      <w:pPr>
        <w:autoSpaceDE w:val="0"/>
        <w:autoSpaceDN w:val="0"/>
        <w:adjustRightInd w:val="0"/>
        <w:snapToGrid w:val="0"/>
        <w:spacing w:before="120" w:beforeLines="50" w:line="360" w:lineRule="auto"/>
        <w:ind w:firstLine="480" w:firstLineChars="200"/>
        <w:jc w:val="left"/>
        <w:rPr>
          <w:rFonts w:eastAsia="仿宋_GB2312"/>
          <w:sz w:val="24"/>
        </w:rPr>
      </w:pPr>
      <w:r>
        <w:rPr>
          <w:rFonts w:eastAsia="仿宋_GB2312"/>
          <w:sz w:val="24"/>
        </w:rPr>
        <w:t>加强环保知识和突发环境事件应急知识的宣传教育，有针对性地开展环境污染事故应急演练，增强广大干部群众的环保意识和突发环境事件的应急能力，确保突发环境事件发生后响应迅速、应急救助手段及时和有效。</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ascii="宋体" w:hAnsi="宋体" w:cs="宋体"/>
          <w:sz w:val="24"/>
        </w:rPr>
        <w:t>⑵</w:t>
      </w:r>
      <w:r>
        <w:rPr>
          <w:rFonts w:eastAsia="仿宋_GB2312"/>
          <w:sz w:val="24"/>
        </w:rPr>
        <w:t>、确保相关人员及时到位</w:t>
      </w:r>
    </w:p>
    <w:p>
      <w:pPr>
        <w:autoSpaceDE w:val="0"/>
        <w:autoSpaceDN w:val="0"/>
        <w:adjustRightInd w:val="0"/>
        <w:snapToGrid w:val="0"/>
        <w:spacing w:before="120" w:beforeLines="50" w:line="360" w:lineRule="auto"/>
        <w:ind w:firstLine="480" w:firstLineChars="200"/>
        <w:jc w:val="left"/>
        <w:rPr>
          <w:rFonts w:eastAsia="仿宋_GB2312"/>
          <w:sz w:val="24"/>
        </w:rPr>
      </w:pPr>
      <w:r>
        <w:rPr>
          <w:rFonts w:eastAsia="仿宋_GB2312"/>
          <w:sz w:val="24"/>
        </w:rPr>
        <w:t>突发环境事件的发生，具有突然性，有关人员必须常备不懈。应急领导小组办公室能及时接警和联系应急领导小组及各应急救援小组负责人，并根据应急预案采取有效措施。</w:t>
      </w:r>
    </w:p>
    <w:p>
      <w:pPr>
        <w:autoSpaceDE w:val="0"/>
        <w:autoSpaceDN w:val="0"/>
        <w:adjustRightInd w:val="0"/>
        <w:snapToGrid w:val="0"/>
        <w:spacing w:before="120" w:beforeLines="50" w:line="360" w:lineRule="auto"/>
        <w:ind w:firstLine="480" w:firstLineChars="200"/>
        <w:jc w:val="left"/>
        <w:rPr>
          <w:rFonts w:eastAsia="仿宋_GB2312"/>
          <w:sz w:val="24"/>
        </w:rPr>
      </w:pPr>
      <w:r>
        <w:rPr>
          <w:rFonts w:hint="eastAsia" w:eastAsia="仿宋_GB2312"/>
          <w:sz w:val="24"/>
        </w:rPr>
        <w:t>应急领导</w:t>
      </w:r>
      <w:r>
        <w:rPr>
          <w:rFonts w:eastAsia="仿宋_GB2312"/>
          <w:sz w:val="24"/>
        </w:rPr>
        <w:t>小组及各应急救援小组成员在接到通知后，要立即赶赴指定地点，在正职未到达之前，由副职先按环境污染事故应急处理预案和抢救方案积极行动，以防事态扩大。</w:t>
      </w:r>
    </w:p>
    <w:p>
      <w:pPr>
        <w:spacing w:before="120" w:beforeLines="50" w:line="360" w:lineRule="auto"/>
        <w:outlineLvl w:val="1"/>
        <w:rPr>
          <w:b/>
          <w:sz w:val="30"/>
          <w:szCs w:val="30"/>
        </w:rPr>
      </w:pPr>
      <w:bookmarkStart w:id="105" w:name="_Toc19092"/>
      <w:r>
        <w:rPr>
          <w:rFonts w:hint="eastAsia"/>
          <w:b/>
          <w:sz w:val="30"/>
          <w:szCs w:val="30"/>
        </w:rPr>
        <w:t>8</w:t>
      </w:r>
      <w:r>
        <w:rPr>
          <w:b/>
          <w:sz w:val="30"/>
          <w:szCs w:val="30"/>
        </w:rPr>
        <w:t>.2通信与信息保障</w:t>
      </w:r>
      <w:bookmarkEnd w:id="105"/>
    </w:p>
    <w:p>
      <w:pPr>
        <w:spacing w:before="120" w:beforeLines="50" w:line="360" w:lineRule="auto"/>
        <w:ind w:firstLine="480" w:firstLineChars="200"/>
        <w:rPr>
          <w:rFonts w:eastAsia="仿宋_GB2312"/>
          <w:sz w:val="24"/>
        </w:rPr>
      </w:pPr>
      <w:r>
        <w:rPr>
          <w:rFonts w:eastAsia="仿宋_GB2312"/>
          <w:sz w:val="24"/>
        </w:rPr>
        <w:t>加强应急领导小组办公人员的培训及装备的升级换代，24小时保持公司应急通讯与信息的渠道畅通。各企业都必须装有通往指挥部及办公室的电话，要保证畅通无阻。</w:t>
      </w:r>
    </w:p>
    <w:p>
      <w:pPr>
        <w:spacing w:before="120" w:beforeLines="50" w:line="360" w:lineRule="auto"/>
        <w:ind w:firstLine="480" w:firstLineChars="200"/>
        <w:rPr>
          <w:rFonts w:eastAsia="仿宋_GB2312"/>
          <w:sz w:val="24"/>
        </w:rPr>
      </w:pPr>
      <w:r>
        <w:rPr>
          <w:rFonts w:eastAsia="仿宋_GB2312"/>
          <w:sz w:val="24"/>
        </w:rPr>
        <w:t>公司应急领导小组办公室要公布应急汇报电话，并根据职务及任职人员的变动情况及时更新联系方式，同时将联系方式发放到公司所属各部门。</w:t>
      </w:r>
    </w:p>
    <w:p>
      <w:pPr>
        <w:spacing w:before="120" w:beforeLines="50" w:line="360" w:lineRule="auto"/>
        <w:outlineLvl w:val="1"/>
        <w:rPr>
          <w:b/>
          <w:sz w:val="30"/>
          <w:szCs w:val="30"/>
        </w:rPr>
      </w:pPr>
      <w:bookmarkStart w:id="106" w:name="_Toc9962"/>
      <w:r>
        <w:rPr>
          <w:rFonts w:hint="eastAsia"/>
          <w:b/>
          <w:sz w:val="30"/>
          <w:szCs w:val="30"/>
        </w:rPr>
        <w:t>8</w:t>
      </w:r>
      <w:r>
        <w:rPr>
          <w:b/>
          <w:sz w:val="30"/>
          <w:szCs w:val="30"/>
        </w:rPr>
        <w:t>.3应急队伍保障</w:t>
      </w:r>
      <w:bookmarkEnd w:id="106"/>
    </w:p>
    <w:p>
      <w:pPr>
        <w:spacing w:before="120" w:beforeLines="50" w:line="360" w:lineRule="auto"/>
        <w:ind w:firstLine="480" w:firstLineChars="200"/>
        <w:rPr>
          <w:rFonts w:eastAsia="仿宋_GB2312"/>
          <w:sz w:val="24"/>
        </w:rPr>
      </w:pPr>
      <w:r>
        <w:rPr>
          <w:rFonts w:eastAsia="仿宋_GB2312"/>
          <w:sz w:val="24"/>
        </w:rPr>
        <w:t>公司应急队伍要加强应急队伍的培训和演练，培养应急队伍的快速反应能力和专业技术技能，保证在应急情况下能够及时赶到事故现场，组织抢救，完成指挥部交给的抢救任务。</w:t>
      </w:r>
    </w:p>
    <w:p>
      <w:pPr>
        <w:spacing w:before="120" w:beforeLines="50" w:line="360" w:lineRule="auto"/>
        <w:ind w:firstLine="480" w:firstLineChars="200"/>
        <w:rPr>
          <w:rFonts w:eastAsia="仿宋_GB2312"/>
          <w:sz w:val="24"/>
        </w:rPr>
      </w:pPr>
      <w:r>
        <w:rPr>
          <w:rFonts w:eastAsia="仿宋_GB2312"/>
          <w:sz w:val="24"/>
        </w:rPr>
        <w:t> 公司成立了突发环境事件应急领导小组，</w:t>
      </w:r>
      <w:r>
        <w:rPr>
          <w:rFonts w:hint="eastAsia" w:eastAsia="仿宋_GB2312"/>
          <w:sz w:val="24"/>
        </w:rPr>
        <w:t>设立4个应急小组，分别为综合协调组、现场处置组、应急监测组、后勤保障组，明确了各应急小组的职责分工。</w:t>
      </w:r>
    </w:p>
    <w:p>
      <w:pPr>
        <w:spacing w:before="120" w:beforeLines="50" w:line="360" w:lineRule="auto"/>
        <w:outlineLvl w:val="1"/>
        <w:rPr>
          <w:b/>
          <w:sz w:val="30"/>
          <w:szCs w:val="30"/>
        </w:rPr>
      </w:pPr>
      <w:bookmarkStart w:id="107" w:name="_Toc29171"/>
      <w:r>
        <w:rPr>
          <w:rFonts w:hint="eastAsia"/>
          <w:b/>
          <w:sz w:val="30"/>
          <w:szCs w:val="30"/>
        </w:rPr>
        <w:t>8</w:t>
      </w:r>
      <w:r>
        <w:rPr>
          <w:b/>
          <w:sz w:val="30"/>
          <w:szCs w:val="30"/>
        </w:rPr>
        <w:t>.4应急物资装备保障</w:t>
      </w:r>
      <w:bookmarkEnd w:id="107"/>
    </w:p>
    <w:p>
      <w:pPr>
        <w:spacing w:before="120" w:beforeLines="50" w:line="360" w:lineRule="auto"/>
        <w:ind w:firstLine="480" w:firstLineChars="200"/>
        <w:rPr>
          <w:rFonts w:eastAsia="仿宋_GB2312"/>
          <w:sz w:val="24"/>
        </w:rPr>
      </w:pPr>
      <w:r>
        <w:rPr>
          <w:rFonts w:eastAsia="仿宋_GB2312"/>
          <w:sz w:val="24"/>
        </w:rPr>
        <w:t>公司指挥部办公室要制定突发环境事件应急专用物资管理制度，保证在环境污染事故应急过程中有充足的材料和设备。各企业抢救物资、技术装备要按规定配齐配足，加强检查和管理，及时维护和更换，确保所有应急设备处于完好可用状态。</w:t>
      </w:r>
    </w:p>
    <w:p>
      <w:pPr>
        <w:spacing w:before="120" w:beforeLines="50" w:line="360" w:lineRule="auto"/>
        <w:ind w:firstLine="480" w:firstLineChars="200"/>
        <w:rPr>
          <w:rFonts w:eastAsia="仿宋_GB2312"/>
          <w:sz w:val="24"/>
        </w:rPr>
      </w:pPr>
      <w:r>
        <w:rPr>
          <w:rFonts w:eastAsia="仿宋_GB2312"/>
          <w:sz w:val="24"/>
        </w:rPr>
        <w:t>在接到援救电话后，保管人员要迅速按公司应急领导小组要求将所需的物资、设备等，按指定时间送到指定地点。</w:t>
      </w:r>
    </w:p>
    <w:p>
      <w:pPr>
        <w:spacing w:before="120" w:beforeLines="50" w:line="360" w:lineRule="auto"/>
        <w:outlineLvl w:val="1"/>
        <w:rPr>
          <w:b/>
          <w:sz w:val="30"/>
          <w:szCs w:val="30"/>
        </w:rPr>
      </w:pPr>
      <w:bookmarkStart w:id="108" w:name="_Toc27753"/>
      <w:r>
        <w:rPr>
          <w:rFonts w:hint="eastAsia"/>
          <w:b/>
          <w:sz w:val="30"/>
          <w:szCs w:val="30"/>
        </w:rPr>
        <w:t>8</w:t>
      </w:r>
      <w:r>
        <w:rPr>
          <w:b/>
          <w:sz w:val="30"/>
          <w:szCs w:val="30"/>
        </w:rPr>
        <w:t>.5经费保障</w:t>
      </w:r>
      <w:bookmarkEnd w:id="108"/>
    </w:p>
    <w:p>
      <w:pPr>
        <w:spacing w:before="120" w:beforeLines="50" w:line="360" w:lineRule="auto"/>
        <w:ind w:firstLine="480" w:firstLineChars="200"/>
        <w:rPr>
          <w:rFonts w:eastAsia="仿宋_GB2312"/>
          <w:sz w:val="24"/>
        </w:rPr>
      </w:pPr>
      <w:r>
        <w:rPr>
          <w:rFonts w:eastAsia="仿宋_GB2312"/>
          <w:sz w:val="24"/>
        </w:rPr>
        <w:t>办公室要做好突发环境污染事故专项费用计划，财务室要建立专项应急科目，保证应急管理、运行和应急中各项活动的开支，保证公司能够配备必要的应急物资和装备。</w:t>
      </w:r>
    </w:p>
    <w:p>
      <w:pPr>
        <w:spacing w:before="120" w:beforeLines="50" w:line="360" w:lineRule="auto"/>
        <w:ind w:firstLine="480" w:firstLineChars="200"/>
        <w:rPr>
          <w:rFonts w:eastAsia="仿宋_GB2312"/>
          <w:sz w:val="24"/>
        </w:rPr>
      </w:pPr>
      <w:r>
        <w:rPr>
          <w:rFonts w:eastAsia="仿宋_GB2312"/>
          <w:sz w:val="24"/>
        </w:rPr>
        <w:t>财务部必须要保证在公司发生突发环境污染事故时有足够的应急处置资金；一旦发生突发环境事件，事故应急经费不受预算限制，确保应急经费及时到位。</w:t>
      </w:r>
    </w:p>
    <w:p>
      <w:pPr>
        <w:spacing w:before="120" w:beforeLines="50" w:line="360" w:lineRule="auto"/>
        <w:outlineLvl w:val="1"/>
        <w:rPr>
          <w:b/>
          <w:sz w:val="30"/>
          <w:szCs w:val="30"/>
        </w:rPr>
      </w:pPr>
      <w:bookmarkStart w:id="109" w:name="_Toc14156"/>
      <w:r>
        <w:rPr>
          <w:rFonts w:hint="eastAsia"/>
          <w:b/>
          <w:sz w:val="30"/>
          <w:szCs w:val="30"/>
        </w:rPr>
        <w:t>8</w:t>
      </w:r>
      <w:r>
        <w:rPr>
          <w:b/>
          <w:sz w:val="30"/>
          <w:szCs w:val="30"/>
        </w:rPr>
        <w:t>.6交通运输保障</w:t>
      </w:r>
      <w:bookmarkEnd w:id="109"/>
    </w:p>
    <w:p>
      <w:pPr>
        <w:spacing w:before="120" w:beforeLines="50" w:line="360" w:lineRule="auto"/>
        <w:ind w:firstLine="480" w:firstLineChars="200"/>
        <w:rPr>
          <w:rFonts w:eastAsia="仿宋_GB2312"/>
          <w:sz w:val="24"/>
        </w:rPr>
      </w:pPr>
      <w:r>
        <w:rPr>
          <w:rFonts w:eastAsia="仿宋_GB2312"/>
          <w:sz w:val="24"/>
        </w:rPr>
        <w:t>应急领导小组办公室负责指挥</w:t>
      </w:r>
      <w:r>
        <w:rPr>
          <w:rFonts w:hint="eastAsia" w:eastAsia="仿宋_GB2312"/>
          <w:sz w:val="24"/>
          <w:lang w:eastAsia="zh-CN"/>
        </w:rPr>
        <w:t>翁源县中源发展有限公司</w:t>
      </w:r>
      <w:r>
        <w:rPr>
          <w:rFonts w:eastAsia="仿宋_GB2312"/>
          <w:sz w:val="24"/>
        </w:rPr>
        <w:t>各种车辆调配、使用，物资、货运车队以及各部门车辆必须无条件服务指挥。如因自身车辆不够使用，可请示当地政府，由当地政府强制征用，确保救灾物资、器材和人员运送及时到位，满足应急处置工作需要。</w:t>
      </w:r>
    </w:p>
    <w:p>
      <w:pPr>
        <w:spacing w:before="120" w:beforeLines="50" w:line="360" w:lineRule="auto"/>
        <w:outlineLvl w:val="1"/>
        <w:rPr>
          <w:b/>
          <w:sz w:val="30"/>
          <w:szCs w:val="30"/>
        </w:rPr>
      </w:pPr>
      <w:bookmarkStart w:id="110" w:name="_Toc261"/>
      <w:r>
        <w:rPr>
          <w:rFonts w:hint="eastAsia"/>
          <w:b/>
          <w:sz w:val="30"/>
          <w:szCs w:val="30"/>
        </w:rPr>
        <w:t>8</w:t>
      </w:r>
      <w:r>
        <w:rPr>
          <w:b/>
          <w:sz w:val="30"/>
          <w:szCs w:val="30"/>
        </w:rPr>
        <w:t>.7 治安保障</w:t>
      </w:r>
      <w:bookmarkEnd w:id="110"/>
    </w:p>
    <w:p>
      <w:pPr>
        <w:spacing w:before="120" w:beforeLines="50" w:line="360" w:lineRule="auto"/>
        <w:ind w:firstLine="480" w:firstLineChars="200"/>
        <w:rPr>
          <w:rFonts w:eastAsia="仿宋_GB2312"/>
          <w:sz w:val="24"/>
        </w:rPr>
      </w:pPr>
      <w:r>
        <w:rPr>
          <w:rFonts w:eastAsia="仿宋_GB2312"/>
          <w:sz w:val="24"/>
        </w:rPr>
        <w:t>应急领导小组要制定治安管制和交通管制措施，对进入事故现场的人员和车辆实行管制</w:t>
      </w:r>
      <w:r>
        <w:rPr>
          <w:rFonts w:hint="eastAsia" w:eastAsia="仿宋_GB2312"/>
          <w:sz w:val="24"/>
        </w:rPr>
        <w:t>（</w:t>
      </w:r>
      <w:r>
        <w:rPr>
          <w:rFonts w:eastAsia="仿宋_GB2312"/>
          <w:sz w:val="24"/>
        </w:rPr>
        <w:t>必要时抢救人员佩戴统一明显标志，抢险车辆张贴特殊证照</w:t>
      </w:r>
      <w:r>
        <w:rPr>
          <w:rFonts w:hint="eastAsia" w:eastAsia="仿宋_GB2312"/>
          <w:sz w:val="24"/>
        </w:rPr>
        <w:t>）</w:t>
      </w:r>
      <w:r>
        <w:rPr>
          <w:rFonts w:eastAsia="仿宋_GB2312"/>
          <w:sz w:val="24"/>
        </w:rPr>
        <w:t>，维持治安秩序。</w:t>
      </w:r>
    </w:p>
    <w:p>
      <w:pPr>
        <w:spacing w:before="120" w:beforeLines="50" w:line="360" w:lineRule="auto"/>
        <w:outlineLvl w:val="1"/>
        <w:rPr>
          <w:b/>
          <w:sz w:val="30"/>
          <w:szCs w:val="30"/>
        </w:rPr>
      </w:pPr>
      <w:bookmarkStart w:id="111" w:name="_Toc22819"/>
      <w:r>
        <w:rPr>
          <w:rFonts w:hint="eastAsia"/>
          <w:b/>
          <w:sz w:val="30"/>
          <w:szCs w:val="30"/>
        </w:rPr>
        <w:t>8</w:t>
      </w:r>
      <w:r>
        <w:rPr>
          <w:b/>
          <w:sz w:val="30"/>
          <w:szCs w:val="30"/>
        </w:rPr>
        <w:t>.8技术保障</w:t>
      </w:r>
      <w:bookmarkEnd w:id="111"/>
    </w:p>
    <w:p>
      <w:pPr>
        <w:spacing w:before="120" w:beforeLines="50" w:line="360" w:lineRule="auto"/>
        <w:ind w:firstLine="480" w:firstLineChars="200"/>
        <w:rPr>
          <w:rFonts w:eastAsia="仿宋_GB2312"/>
          <w:sz w:val="24"/>
        </w:rPr>
      </w:pPr>
      <w:r>
        <w:rPr>
          <w:rFonts w:eastAsia="仿宋_GB2312"/>
          <w:sz w:val="24"/>
        </w:rPr>
        <w:t>各部门应在平时加强技术储备与保障管理工作，建立通信保障应急管理机构与专家的日常联系和信息沟通机制，在决策重大通信保障和通信恢复方案过程中认真听取专家意见和建议。</w:t>
      </w:r>
    </w:p>
    <w:p>
      <w:pPr>
        <w:spacing w:before="120" w:beforeLines="50" w:line="360" w:lineRule="auto"/>
        <w:outlineLvl w:val="1"/>
        <w:rPr>
          <w:b/>
          <w:sz w:val="30"/>
          <w:szCs w:val="30"/>
        </w:rPr>
      </w:pPr>
      <w:bookmarkStart w:id="112" w:name="_Toc21406"/>
      <w:r>
        <w:rPr>
          <w:rFonts w:hint="eastAsia"/>
          <w:b/>
          <w:sz w:val="30"/>
          <w:szCs w:val="30"/>
        </w:rPr>
        <w:t>8</w:t>
      </w:r>
      <w:r>
        <w:rPr>
          <w:b/>
          <w:sz w:val="30"/>
          <w:szCs w:val="30"/>
        </w:rPr>
        <w:t>.9医疗保障</w:t>
      </w:r>
      <w:bookmarkEnd w:id="112"/>
    </w:p>
    <w:p>
      <w:pPr>
        <w:spacing w:before="120" w:beforeLines="50" w:line="360" w:lineRule="auto"/>
        <w:ind w:firstLine="480" w:firstLineChars="200"/>
        <w:rPr>
          <w:rFonts w:eastAsia="仿宋_GB2312"/>
          <w:sz w:val="24"/>
        </w:rPr>
      </w:pPr>
      <w:r>
        <w:rPr>
          <w:rFonts w:eastAsia="仿宋_GB2312"/>
          <w:sz w:val="24"/>
        </w:rPr>
        <w:t>应急领导小组办公室要制定应急医疗保障预案，保证在各种应急情况下能及时有效地初步救治各种受伤人员。发生人员受伤时，及时送至医院救治；配备医疗急救用品，如纱布、药品、氧气罩等。</w:t>
      </w:r>
    </w:p>
    <w:p>
      <w:pPr>
        <w:spacing w:before="120" w:beforeLines="50" w:line="360" w:lineRule="auto"/>
        <w:rPr>
          <w:b/>
          <w:sz w:val="30"/>
          <w:szCs w:val="30"/>
        </w:rPr>
      </w:pPr>
      <w:r>
        <w:rPr>
          <w:rFonts w:hint="eastAsia"/>
          <w:b/>
          <w:sz w:val="30"/>
          <w:szCs w:val="30"/>
        </w:rPr>
        <w:t>8</w:t>
      </w:r>
      <w:r>
        <w:rPr>
          <w:b/>
          <w:sz w:val="30"/>
          <w:szCs w:val="30"/>
        </w:rPr>
        <w:t>.10供水供电保障</w:t>
      </w:r>
    </w:p>
    <w:p>
      <w:pPr>
        <w:spacing w:before="120" w:beforeLines="50" w:line="360" w:lineRule="auto"/>
        <w:ind w:firstLine="480" w:firstLineChars="200"/>
        <w:rPr>
          <w:rFonts w:eastAsia="仿宋_GB2312"/>
          <w:sz w:val="24"/>
        </w:rPr>
        <w:sectPr>
          <w:pgSz w:w="11906" w:h="16838"/>
          <w:pgMar w:top="1440" w:right="1797" w:bottom="1440" w:left="1797" w:header="851" w:footer="992" w:gutter="0"/>
          <w:pgNumType w:fmt="decimal"/>
          <w:cols w:space="720" w:num="1"/>
          <w:docGrid w:linePitch="312" w:charSpace="0"/>
        </w:sectPr>
      </w:pPr>
      <w:r>
        <w:rPr>
          <w:rFonts w:hint="eastAsia" w:eastAsia="仿宋_GB2312"/>
          <w:sz w:val="24"/>
        </w:rPr>
        <w:t>后勤保障</w:t>
      </w:r>
      <w:r>
        <w:rPr>
          <w:rFonts w:eastAsia="仿宋_GB2312"/>
          <w:sz w:val="24"/>
        </w:rPr>
        <w:t>组同时负责保障事故状态下的供水与临时送电、断电作业。</w:t>
      </w:r>
    </w:p>
    <w:p>
      <w:pPr>
        <w:spacing w:before="360" w:beforeLines="150" w:after="240" w:afterLines="100" w:line="360" w:lineRule="auto"/>
        <w:jc w:val="center"/>
        <w:outlineLvl w:val="0"/>
        <w:rPr>
          <w:b/>
          <w:sz w:val="36"/>
          <w:szCs w:val="36"/>
        </w:rPr>
      </w:pPr>
      <w:bookmarkStart w:id="113" w:name="_Toc13212"/>
      <w:r>
        <w:rPr>
          <w:rFonts w:hint="eastAsia"/>
          <w:b/>
          <w:sz w:val="36"/>
          <w:szCs w:val="36"/>
        </w:rPr>
        <w:t>9</w:t>
      </w:r>
      <w:r>
        <w:rPr>
          <w:b/>
          <w:sz w:val="36"/>
          <w:szCs w:val="36"/>
        </w:rPr>
        <w:t xml:space="preserve"> 预案管理</w:t>
      </w:r>
      <w:bookmarkEnd w:id="113"/>
    </w:p>
    <w:p>
      <w:pPr>
        <w:spacing w:before="120" w:beforeLines="50" w:line="360" w:lineRule="auto"/>
        <w:outlineLvl w:val="1"/>
        <w:rPr>
          <w:b/>
          <w:sz w:val="30"/>
          <w:szCs w:val="30"/>
        </w:rPr>
      </w:pPr>
      <w:bookmarkStart w:id="114" w:name="_Toc23939"/>
      <w:r>
        <w:rPr>
          <w:rFonts w:hint="eastAsia"/>
          <w:b/>
          <w:sz w:val="30"/>
          <w:szCs w:val="30"/>
        </w:rPr>
        <w:t>9</w:t>
      </w:r>
      <w:r>
        <w:rPr>
          <w:b/>
          <w:sz w:val="30"/>
          <w:szCs w:val="30"/>
        </w:rPr>
        <w:t>.1</w:t>
      </w:r>
      <w:r>
        <w:rPr>
          <w:rFonts w:hint="eastAsia"/>
          <w:b/>
          <w:sz w:val="30"/>
          <w:szCs w:val="30"/>
        </w:rPr>
        <w:t>预案培训</w:t>
      </w:r>
      <w:bookmarkEnd w:id="114"/>
    </w:p>
    <w:p>
      <w:pPr>
        <w:spacing w:before="120" w:beforeLines="50" w:line="360" w:lineRule="auto"/>
        <w:ind w:firstLine="480" w:firstLineChars="200"/>
        <w:rPr>
          <w:rFonts w:eastAsia="仿宋_GB2312"/>
          <w:b/>
          <w:sz w:val="24"/>
        </w:rPr>
      </w:pPr>
      <w:r>
        <w:rPr>
          <w:rFonts w:eastAsia="仿宋_GB2312"/>
          <w:sz w:val="24"/>
        </w:rPr>
        <w:t>公司负责组织突发环境事件应急预案的宣传、贯彻、学习、演练。突发环境事件应急预案每年必须组织一次应急演练，应急预案的演练由应急</w:t>
      </w:r>
      <w:r>
        <w:rPr>
          <w:rFonts w:hint="eastAsia" w:eastAsia="仿宋_GB2312"/>
          <w:sz w:val="24"/>
        </w:rPr>
        <w:t>领导</w:t>
      </w:r>
      <w:r>
        <w:rPr>
          <w:rFonts w:eastAsia="仿宋_GB2312"/>
          <w:sz w:val="24"/>
        </w:rPr>
        <w:t>小组领导，应急领导小组办公室具体负责实施。</w:t>
      </w:r>
    </w:p>
    <w:p>
      <w:pPr>
        <w:spacing w:before="120" w:beforeLines="50" w:line="360" w:lineRule="auto"/>
        <w:outlineLvl w:val="2"/>
        <w:rPr>
          <w:b/>
          <w:sz w:val="28"/>
          <w:szCs w:val="28"/>
        </w:rPr>
      </w:pPr>
      <w:bookmarkStart w:id="115" w:name="_Toc6560"/>
      <w:r>
        <w:rPr>
          <w:rFonts w:hint="eastAsia"/>
          <w:b/>
          <w:sz w:val="28"/>
          <w:szCs w:val="28"/>
        </w:rPr>
        <w:t>9</w:t>
      </w:r>
      <w:r>
        <w:rPr>
          <w:b/>
          <w:sz w:val="28"/>
          <w:szCs w:val="28"/>
        </w:rPr>
        <w:t>.1.1员工培训</w:t>
      </w:r>
      <w:bookmarkEnd w:id="115"/>
    </w:p>
    <w:p>
      <w:pPr>
        <w:spacing w:before="120" w:beforeLines="50" w:line="360" w:lineRule="auto"/>
        <w:ind w:firstLine="480" w:firstLineChars="200"/>
        <w:rPr>
          <w:rFonts w:eastAsia="仿宋_GB2312"/>
          <w:sz w:val="24"/>
        </w:rPr>
      </w:pPr>
      <w:r>
        <w:rPr>
          <w:rFonts w:hint="eastAsia" w:ascii="宋体" w:hAnsi="宋体" w:cs="宋体"/>
          <w:sz w:val="24"/>
        </w:rPr>
        <w:t>⑴</w:t>
      </w:r>
      <w:r>
        <w:rPr>
          <w:rFonts w:eastAsia="仿宋_GB2312"/>
          <w:sz w:val="24"/>
        </w:rPr>
        <w:t>通过讲座、讨论和学习相关文件、资料和公司突发环境事件应急预案，提高各企业负责人和员工环保意识和应急能力，学会危险识别、熟悉报警、防护、应急处置等方法。</w:t>
      </w:r>
    </w:p>
    <w:p>
      <w:pPr>
        <w:spacing w:before="120" w:beforeLines="50" w:line="360" w:lineRule="auto"/>
        <w:ind w:firstLine="480" w:firstLineChars="200"/>
        <w:rPr>
          <w:rFonts w:eastAsia="仿宋_GB2312"/>
          <w:sz w:val="24"/>
        </w:rPr>
      </w:pPr>
      <w:r>
        <w:rPr>
          <w:rFonts w:hint="eastAsia" w:ascii="宋体" w:hAnsi="宋体" w:cs="宋体"/>
          <w:sz w:val="24"/>
        </w:rPr>
        <w:t>⑵</w:t>
      </w:r>
      <w:r>
        <w:rPr>
          <w:rFonts w:eastAsia="仿宋_GB2312"/>
          <w:sz w:val="24"/>
        </w:rPr>
        <w:t>在环境风险源显眼位置张贴突发环境事件处置流程图、人员疏散路线图，使全体员工都知道并能自觉遵守。</w:t>
      </w:r>
    </w:p>
    <w:p>
      <w:pPr>
        <w:spacing w:before="120" w:beforeLines="50" w:line="360" w:lineRule="auto"/>
        <w:outlineLvl w:val="2"/>
        <w:rPr>
          <w:b/>
          <w:sz w:val="28"/>
          <w:szCs w:val="28"/>
        </w:rPr>
      </w:pPr>
      <w:bookmarkStart w:id="116" w:name="_Toc12672"/>
      <w:r>
        <w:rPr>
          <w:rFonts w:hint="eastAsia"/>
          <w:b/>
          <w:sz w:val="28"/>
          <w:szCs w:val="28"/>
        </w:rPr>
        <w:t>9</w:t>
      </w:r>
      <w:r>
        <w:rPr>
          <w:b/>
          <w:sz w:val="28"/>
          <w:szCs w:val="28"/>
        </w:rPr>
        <w:t>.1.2环境应急人员培训</w:t>
      </w:r>
      <w:bookmarkEnd w:id="116"/>
    </w:p>
    <w:p>
      <w:pPr>
        <w:spacing w:before="120" w:beforeLines="50" w:line="360" w:lineRule="auto"/>
        <w:ind w:firstLine="480" w:firstLineChars="200"/>
        <w:rPr>
          <w:rFonts w:eastAsia="仿宋_GB2312"/>
          <w:sz w:val="24"/>
        </w:rPr>
      </w:pPr>
      <w:r>
        <w:rPr>
          <w:rFonts w:eastAsia="仿宋_GB2312"/>
          <w:sz w:val="24"/>
        </w:rPr>
        <w:t>(1)应急人员应熟悉应急预案的实施程序、内容和方式；</w:t>
      </w:r>
    </w:p>
    <w:p>
      <w:pPr>
        <w:spacing w:before="120" w:beforeLines="50" w:line="360" w:lineRule="auto"/>
        <w:ind w:firstLine="480" w:firstLineChars="200"/>
        <w:rPr>
          <w:rFonts w:eastAsia="仿宋_GB2312"/>
          <w:sz w:val="24"/>
        </w:rPr>
      </w:pPr>
      <w:r>
        <w:rPr>
          <w:rFonts w:eastAsia="仿宋_GB2312"/>
          <w:sz w:val="24"/>
        </w:rPr>
        <w:t>(2)掌握各救援组承担任务的专业知识；</w:t>
      </w:r>
    </w:p>
    <w:p>
      <w:pPr>
        <w:spacing w:before="120" w:beforeLines="50" w:line="360" w:lineRule="auto"/>
        <w:ind w:firstLine="480" w:firstLineChars="200"/>
        <w:rPr>
          <w:rFonts w:eastAsia="仿宋_GB2312"/>
          <w:sz w:val="24"/>
        </w:rPr>
      </w:pPr>
      <w:r>
        <w:rPr>
          <w:rFonts w:eastAsia="仿宋_GB2312"/>
          <w:sz w:val="24"/>
        </w:rPr>
        <w:t>(3)各种应急设备的使用方法；</w:t>
      </w:r>
    </w:p>
    <w:p>
      <w:pPr>
        <w:spacing w:before="120" w:beforeLines="50" w:line="360" w:lineRule="auto"/>
        <w:ind w:firstLine="480" w:firstLineChars="200"/>
        <w:rPr>
          <w:rFonts w:eastAsia="仿宋_GB2312"/>
          <w:sz w:val="24"/>
        </w:rPr>
      </w:pPr>
      <w:r>
        <w:rPr>
          <w:rFonts w:eastAsia="仿宋_GB2312"/>
          <w:sz w:val="24"/>
        </w:rPr>
        <w:t>(4)防护用品的使用；</w:t>
      </w:r>
    </w:p>
    <w:p>
      <w:pPr>
        <w:spacing w:before="120" w:beforeLines="50" w:line="360" w:lineRule="auto"/>
        <w:ind w:firstLine="480" w:firstLineChars="200"/>
        <w:rPr>
          <w:rFonts w:eastAsia="仿宋_GB2312"/>
          <w:sz w:val="24"/>
        </w:rPr>
      </w:pPr>
      <w:r>
        <w:rPr>
          <w:rFonts w:eastAsia="仿宋_GB2312"/>
          <w:sz w:val="24"/>
        </w:rPr>
        <w:t>(5)熟悉突发环境事件应急措施；</w:t>
      </w:r>
    </w:p>
    <w:p>
      <w:pPr>
        <w:spacing w:before="120" w:beforeLines="50" w:line="360" w:lineRule="auto"/>
        <w:rPr>
          <w:rFonts w:eastAsia="仿宋_GB2312"/>
          <w:sz w:val="24"/>
        </w:rPr>
      </w:pPr>
      <w:r>
        <w:rPr>
          <w:rFonts w:eastAsia="仿宋_GB2312"/>
          <w:sz w:val="24"/>
        </w:rPr>
        <w:t>(6)救援中自救和互救的基本知识；</w:t>
      </w:r>
    </w:p>
    <w:p>
      <w:pPr>
        <w:spacing w:before="120" w:beforeLines="50" w:line="360" w:lineRule="auto"/>
        <w:outlineLvl w:val="1"/>
        <w:rPr>
          <w:b/>
          <w:sz w:val="30"/>
          <w:szCs w:val="30"/>
        </w:rPr>
      </w:pPr>
      <w:bookmarkStart w:id="117" w:name="_Toc22568"/>
      <w:r>
        <w:rPr>
          <w:rFonts w:hint="eastAsia"/>
          <w:b/>
          <w:sz w:val="30"/>
          <w:szCs w:val="30"/>
        </w:rPr>
        <w:t>9</w:t>
      </w:r>
      <w:r>
        <w:rPr>
          <w:b/>
          <w:sz w:val="30"/>
          <w:szCs w:val="30"/>
        </w:rPr>
        <w:t>.</w:t>
      </w:r>
      <w:r>
        <w:rPr>
          <w:rFonts w:hint="eastAsia"/>
          <w:b/>
          <w:sz w:val="30"/>
          <w:szCs w:val="30"/>
        </w:rPr>
        <w:t>2预案演练</w:t>
      </w:r>
      <w:bookmarkEnd w:id="117"/>
    </w:p>
    <w:p>
      <w:pPr>
        <w:spacing w:before="120" w:beforeLines="50" w:line="360" w:lineRule="auto"/>
        <w:ind w:firstLine="480" w:firstLineChars="200"/>
        <w:rPr>
          <w:rFonts w:eastAsia="仿宋_GB2312"/>
          <w:sz w:val="24"/>
        </w:rPr>
      </w:pPr>
      <w:r>
        <w:rPr>
          <w:rFonts w:eastAsia="仿宋_GB2312"/>
          <w:sz w:val="24"/>
        </w:rPr>
        <w:t>公司每年由应急领导小组组织一次应急预案全体应急演练。演练前应通知韶关市</w:t>
      </w:r>
      <w:r>
        <w:rPr>
          <w:rFonts w:hint="eastAsia" w:eastAsia="仿宋_GB2312"/>
          <w:sz w:val="24"/>
        </w:rPr>
        <w:t>生态环境</w:t>
      </w:r>
      <w:r>
        <w:rPr>
          <w:rFonts w:eastAsia="仿宋_GB2312"/>
          <w:sz w:val="24"/>
        </w:rPr>
        <w:t>局</w:t>
      </w:r>
      <w:r>
        <w:rPr>
          <w:rFonts w:hint="eastAsia" w:eastAsia="仿宋_GB2312"/>
          <w:sz w:val="24"/>
        </w:rPr>
        <w:t>翁源分局</w:t>
      </w:r>
      <w:r>
        <w:rPr>
          <w:rFonts w:eastAsia="仿宋_GB2312"/>
          <w:sz w:val="24"/>
        </w:rPr>
        <w:t>和周边居民，必要时与新闻媒体沟通，以避免造成不必要的影响。</w:t>
      </w:r>
    </w:p>
    <w:p>
      <w:pPr>
        <w:pStyle w:val="2"/>
        <w:rPr>
          <w:rFonts w:eastAsia="仿宋_GB2312"/>
        </w:rPr>
      </w:pPr>
    </w:p>
    <w:p>
      <w:pPr>
        <w:pStyle w:val="2"/>
        <w:rPr>
          <w:rFonts w:eastAsia="仿宋_GB2312"/>
        </w:rPr>
      </w:pPr>
    </w:p>
    <w:p>
      <w:pPr>
        <w:spacing w:before="120" w:beforeLines="50" w:line="360" w:lineRule="auto"/>
        <w:ind w:firstLine="480" w:firstLineChars="200"/>
        <w:rPr>
          <w:rFonts w:eastAsia="仿宋_GB2312"/>
          <w:sz w:val="24"/>
        </w:rPr>
      </w:pPr>
      <w:r>
        <w:rPr>
          <w:rFonts w:hint="eastAsia" w:eastAsia="仿宋_GB2312"/>
          <w:sz w:val="24"/>
        </w:rPr>
        <w:t>（1）</w:t>
      </w:r>
      <w:r>
        <w:rPr>
          <w:rFonts w:eastAsia="仿宋_GB2312"/>
          <w:sz w:val="24"/>
        </w:rPr>
        <w:t>目的</w:t>
      </w:r>
    </w:p>
    <w:p>
      <w:pPr>
        <w:spacing w:before="120" w:beforeLines="50" w:line="360" w:lineRule="auto"/>
        <w:ind w:firstLine="480" w:firstLineChars="200"/>
        <w:rPr>
          <w:rFonts w:eastAsia="仿宋_GB2312"/>
          <w:sz w:val="24"/>
        </w:rPr>
      </w:pPr>
      <w:r>
        <w:rPr>
          <w:rFonts w:hint="eastAsia" w:eastAsia="仿宋_GB2312"/>
          <w:sz w:val="24"/>
        </w:rPr>
        <w:t>应急</w:t>
      </w:r>
      <w:r>
        <w:rPr>
          <w:rFonts w:eastAsia="仿宋_GB2312"/>
          <w:sz w:val="24"/>
        </w:rPr>
        <w:t>领导小组从实际出发，针对危险目标可能发生的事故，每年至少组织一次模拟演习。由公司突发环境事件应急领导小组组织进行，全厂人员参加。通过应急演练机制，把指挥机构和救援队伍训练成一支思想好、技术精、作风硬的指挥班子和抢救队伍。一旦发生事故，指挥机构能正确指挥，各救援队伍能根据各自任务及时有效地排除险情、控制并消灭事故、抢救伤员，做好应急工作。</w:t>
      </w:r>
    </w:p>
    <w:p>
      <w:pPr>
        <w:spacing w:before="120" w:beforeLines="50" w:line="360" w:lineRule="auto"/>
        <w:ind w:firstLine="480" w:firstLineChars="200"/>
        <w:rPr>
          <w:rFonts w:eastAsia="仿宋_GB2312"/>
          <w:sz w:val="24"/>
        </w:rPr>
      </w:pPr>
      <w:r>
        <w:rPr>
          <w:rFonts w:hint="eastAsia" w:eastAsia="仿宋_GB2312"/>
          <w:sz w:val="24"/>
        </w:rPr>
        <w:t>（2）</w:t>
      </w:r>
      <w:r>
        <w:rPr>
          <w:rFonts w:eastAsia="仿宋_GB2312"/>
          <w:sz w:val="24"/>
        </w:rPr>
        <w:t>作用</w:t>
      </w:r>
    </w:p>
    <w:p>
      <w:pPr>
        <w:spacing w:before="120" w:beforeLines="50" w:line="360" w:lineRule="auto"/>
        <w:ind w:firstLine="480" w:firstLineChars="200"/>
        <w:rPr>
          <w:rFonts w:eastAsia="仿宋_GB2312"/>
          <w:sz w:val="24"/>
        </w:rPr>
      </w:pPr>
      <w:r>
        <w:rPr>
          <w:rFonts w:eastAsia="仿宋_GB2312"/>
          <w:sz w:val="24"/>
        </w:rPr>
        <w:t>定期进行事故应急预案演练，并要根据演习中发现的问题，重点从以下方面对事故应急预案进行检查、修订和完善:</w:t>
      </w:r>
    </w:p>
    <w:p>
      <w:pPr>
        <w:spacing w:before="120" w:beforeLines="50" w:line="360" w:lineRule="auto"/>
        <w:ind w:firstLine="480" w:firstLineChars="200"/>
        <w:rPr>
          <w:rFonts w:eastAsia="仿宋_GB2312"/>
          <w:sz w:val="24"/>
        </w:rPr>
      </w:pPr>
      <w:r>
        <w:rPr>
          <w:rFonts w:hint="eastAsia" w:ascii="宋体" w:hAnsi="宋体" w:cs="宋体"/>
          <w:sz w:val="24"/>
        </w:rPr>
        <w:t>①</w:t>
      </w:r>
      <w:r>
        <w:rPr>
          <w:rFonts w:eastAsia="仿宋_GB2312"/>
          <w:sz w:val="24"/>
        </w:rPr>
        <w:t>确保事故期间报警通讯系统运作畅通；</w:t>
      </w:r>
    </w:p>
    <w:p>
      <w:pPr>
        <w:spacing w:before="120" w:beforeLines="50" w:line="360" w:lineRule="auto"/>
        <w:ind w:firstLine="480" w:firstLineChars="200"/>
        <w:rPr>
          <w:rFonts w:eastAsia="仿宋_GB2312"/>
          <w:sz w:val="24"/>
        </w:rPr>
      </w:pPr>
      <w:r>
        <w:rPr>
          <w:rFonts w:hint="eastAsia" w:ascii="宋体" w:hAnsi="宋体" w:cs="宋体"/>
          <w:sz w:val="24"/>
        </w:rPr>
        <w:t>②</w:t>
      </w:r>
      <w:r>
        <w:rPr>
          <w:rFonts w:eastAsia="仿宋_GB2312"/>
          <w:sz w:val="24"/>
        </w:rPr>
        <w:t>人员能以最快速度撤离危险区；</w:t>
      </w:r>
    </w:p>
    <w:p>
      <w:pPr>
        <w:spacing w:before="120" w:beforeLines="50" w:line="360" w:lineRule="auto"/>
        <w:ind w:firstLine="480" w:firstLineChars="200"/>
        <w:rPr>
          <w:rFonts w:eastAsia="仿宋_GB2312"/>
          <w:sz w:val="24"/>
        </w:rPr>
      </w:pPr>
      <w:r>
        <w:rPr>
          <w:rFonts w:hint="eastAsia" w:ascii="宋体" w:hAnsi="宋体" w:cs="宋体"/>
          <w:sz w:val="24"/>
        </w:rPr>
        <w:t>③</w:t>
      </w:r>
      <w:r>
        <w:rPr>
          <w:rFonts w:eastAsia="仿宋_GB2312"/>
          <w:sz w:val="24"/>
        </w:rPr>
        <w:t>应急人员能以最快速度赶赴现场参加抢险救灾；</w:t>
      </w:r>
    </w:p>
    <w:p>
      <w:pPr>
        <w:spacing w:before="120" w:beforeLines="50" w:line="360" w:lineRule="auto"/>
        <w:ind w:firstLine="480" w:firstLineChars="200"/>
        <w:rPr>
          <w:rFonts w:eastAsia="仿宋_GB2312"/>
          <w:sz w:val="24"/>
        </w:rPr>
      </w:pPr>
      <w:r>
        <w:rPr>
          <w:rFonts w:hint="eastAsia" w:ascii="宋体" w:hAnsi="宋体" w:cs="宋体"/>
          <w:sz w:val="24"/>
        </w:rPr>
        <w:t>④</w:t>
      </w:r>
      <w:r>
        <w:rPr>
          <w:rFonts w:eastAsia="仿宋_GB2312"/>
          <w:sz w:val="24"/>
        </w:rPr>
        <w:t>检测预案应急措施能否有效控制环境污染事故进一步扩大；</w:t>
      </w:r>
    </w:p>
    <w:p>
      <w:pPr>
        <w:spacing w:before="120" w:beforeLines="50" w:line="360" w:lineRule="auto"/>
        <w:ind w:firstLine="480" w:firstLineChars="200"/>
        <w:rPr>
          <w:rFonts w:eastAsia="仿宋_GB2312"/>
          <w:sz w:val="24"/>
        </w:rPr>
      </w:pPr>
      <w:r>
        <w:rPr>
          <w:rFonts w:hint="eastAsia" w:ascii="宋体" w:hAnsi="宋体" w:cs="宋体"/>
          <w:sz w:val="24"/>
        </w:rPr>
        <w:t>⑤</w:t>
      </w:r>
      <w:r>
        <w:rPr>
          <w:rFonts w:eastAsia="仿宋_GB2312"/>
          <w:sz w:val="24"/>
        </w:rPr>
        <w:t>确保应急人员熟悉职责与任务。</w:t>
      </w:r>
    </w:p>
    <w:p>
      <w:pPr>
        <w:spacing w:before="120" w:beforeLines="50" w:line="360" w:lineRule="auto"/>
        <w:ind w:firstLine="480" w:firstLineChars="200"/>
        <w:rPr>
          <w:rFonts w:eastAsia="仿宋_GB2312"/>
          <w:sz w:val="24"/>
        </w:rPr>
      </w:pPr>
      <w:r>
        <w:rPr>
          <w:rFonts w:eastAsia="仿宋_GB2312"/>
          <w:sz w:val="24"/>
        </w:rPr>
        <w:t>(3)演练内容</w:t>
      </w:r>
    </w:p>
    <w:p>
      <w:pPr>
        <w:spacing w:before="120" w:beforeLines="50" w:line="360" w:lineRule="auto"/>
        <w:ind w:firstLine="480" w:firstLineChars="200"/>
        <w:rPr>
          <w:rFonts w:eastAsia="仿宋_GB2312"/>
          <w:sz w:val="24"/>
        </w:rPr>
      </w:pPr>
      <w:r>
        <w:rPr>
          <w:rFonts w:eastAsia="仿宋_GB2312"/>
          <w:sz w:val="24"/>
        </w:rPr>
        <w:t>演练和测试公司突发环境事故应急预案的总体内容:</w:t>
      </w:r>
    </w:p>
    <w:p>
      <w:pPr>
        <w:spacing w:before="120" w:beforeLines="50" w:line="360" w:lineRule="auto"/>
        <w:ind w:firstLine="480" w:firstLineChars="200"/>
        <w:rPr>
          <w:rFonts w:eastAsia="仿宋_GB2312"/>
          <w:sz w:val="24"/>
        </w:rPr>
      </w:pPr>
      <w:r>
        <w:rPr>
          <w:rFonts w:hint="eastAsia" w:ascii="宋体" w:hAnsi="宋体" w:cs="宋体"/>
          <w:sz w:val="24"/>
        </w:rPr>
        <w:t>①</w:t>
      </w:r>
      <w:r>
        <w:rPr>
          <w:rFonts w:eastAsia="仿宋_GB2312"/>
          <w:sz w:val="24"/>
        </w:rPr>
        <w:t>通讯联络：</w:t>
      </w:r>
    </w:p>
    <w:p>
      <w:pPr>
        <w:spacing w:before="120" w:beforeLines="50" w:line="360" w:lineRule="auto"/>
        <w:ind w:firstLine="480" w:firstLineChars="200"/>
        <w:rPr>
          <w:rFonts w:eastAsia="仿宋_GB2312"/>
          <w:sz w:val="24"/>
        </w:rPr>
      </w:pPr>
      <w:r>
        <w:rPr>
          <w:rFonts w:eastAsia="仿宋_GB2312"/>
          <w:sz w:val="24"/>
        </w:rPr>
        <w:t>向外部机构迅速通报，如县、市主管部门、当地支援机构的通讯联络；测试各通讯器材的运行状况和响应时间。</w:t>
      </w:r>
    </w:p>
    <w:p>
      <w:pPr>
        <w:spacing w:before="120" w:beforeLines="50" w:line="360" w:lineRule="auto"/>
        <w:ind w:firstLine="480" w:firstLineChars="200"/>
        <w:rPr>
          <w:rFonts w:eastAsia="仿宋_GB2312"/>
          <w:sz w:val="24"/>
        </w:rPr>
      </w:pPr>
      <w:r>
        <w:rPr>
          <w:rFonts w:hint="eastAsia" w:ascii="宋体" w:hAnsi="宋体" w:cs="宋体"/>
          <w:sz w:val="24"/>
        </w:rPr>
        <w:t>②</w:t>
      </w:r>
      <w:r>
        <w:rPr>
          <w:rFonts w:eastAsia="仿宋_GB2312"/>
          <w:sz w:val="24"/>
        </w:rPr>
        <w:t>应急预案的响应：</w:t>
      </w:r>
    </w:p>
    <w:p>
      <w:pPr>
        <w:spacing w:before="120" w:beforeLines="50" w:line="360" w:lineRule="auto"/>
        <w:ind w:firstLine="480" w:firstLineChars="200"/>
        <w:rPr>
          <w:rFonts w:eastAsia="仿宋_GB2312"/>
          <w:sz w:val="24"/>
        </w:rPr>
      </w:pPr>
      <w:r>
        <w:rPr>
          <w:rFonts w:eastAsia="仿宋_GB2312"/>
          <w:sz w:val="24"/>
        </w:rPr>
        <w:t>模拟报警、应警及预案启动、训练包括应急处置措施的实施、人员疏散、抢险救援等各项内容；检测各种应急设施的启动、应急小组任务的执行、相关应急设备的功能、实施程序的内容和响应能力、执行分配任务的人员的应急能力等情况。</w:t>
      </w:r>
    </w:p>
    <w:p>
      <w:pPr>
        <w:spacing w:before="120" w:beforeLines="50" w:line="360" w:lineRule="auto"/>
        <w:ind w:firstLine="480" w:firstLineChars="200"/>
        <w:rPr>
          <w:rFonts w:eastAsia="仿宋_GB2312"/>
          <w:sz w:val="24"/>
        </w:rPr>
      </w:pPr>
      <w:r>
        <w:rPr>
          <w:rFonts w:hint="eastAsia" w:ascii="宋体" w:hAnsi="宋体" w:cs="宋体"/>
          <w:sz w:val="24"/>
        </w:rPr>
        <w:t>③</w:t>
      </w:r>
      <w:r>
        <w:rPr>
          <w:rFonts w:eastAsia="仿宋_GB2312"/>
          <w:sz w:val="24"/>
        </w:rPr>
        <w:t>事后处置：</w:t>
      </w:r>
    </w:p>
    <w:p>
      <w:pPr>
        <w:spacing w:before="120" w:beforeLines="50" w:line="360" w:lineRule="auto"/>
        <w:ind w:firstLine="480" w:firstLineChars="200"/>
        <w:rPr>
          <w:rFonts w:eastAsia="仿宋_GB2312"/>
          <w:sz w:val="24"/>
        </w:rPr>
      </w:pPr>
      <w:r>
        <w:rPr>
          <w:rFonts w:eastAsia="仿宋_GB2312"/>
          <w:sz w:val="24"/>
        </w:rPr>
        <w:t>模拟事后处理程序进行演练，组织有关人员评价演练情况，评价事故后果、对演练过程中发现的问题进行研究，及时处理预防措施中发现的漏洞，完善应急预案。</w:t>
      </w:r>
    </w:p>
    <w:p>
      <w:pPr>
        <w:spacing w:before="120" w:beforeLines="50" w:line="360" w:lineRule="auto"/>
        <w:ind w:firstLine="480" w:firstLineChars="200"/>
        <w:rPr>
          <w:rFonts w:eastAsia="仿宋_GB2312"/>
          <w:sz w:val="24"/>
        </w:rPr>
      </w:pPr>
      <w:r>
        <w:rPr>
          <w:rFonts w:eastAsia="仿宋_GB2312"/>
          <w:sz w:val="24"/>
        </w:rPr>
        <w:t>演练全过程应有完整的记录，并登记备案。</w:t>
      </w:r>
    </w:p>
    <w:p>
      <w:pPr>
        <w:spacing w:before="120" w:beforeLines="50" w:line="360" w:lineRule="auto"/>
        <w:outlineLvl w:val="1"/>
        <w:rPr>
          <w:b/>
          <w:sz w:val="30"/>
          <w:szCs w:val="30"/>
        </w:rPr>
      </w:pPr>
      <w:bookmarkStart w:id="118" w:name="_Toc24712"/>
      <w:r>
        <w:rPr>
          <w:rFonts w:hint="eastAsia"/>
          <w:b/>
          <w:sz w:val="30"/>
          <w:szCs w:val="30"/>
        </w:rPr>
        <w:t>9</w:t>
      </w:r>
      <w:r>
        <w:rPr>
          <w:b/>
          <w:sz w:val="30"/>
          <w:szCs w:val="30"/>
        </w:rPr>
        <w:t>.</w:t>
      </w:r>
      <w:r>
        <w:rPr>
          <w:rFonts w:hint="eastAsia"/>
          <w:b/>
          <w:sz w:val="30"/>
          <w:szCs w:val="30"/>
        </w:rPr>
        <w:t>3应急预案演练暴露问题及解决措施</w:t>
      </w:r>
      <w:bookmarkEnd w:id="118"/>
    </w:p>
    <w:p>
      <w:pPr>
        <w:pStyle w:val="2"/>
        <w:spacing w:line="360" w:lineRule="auto"/>
        <w:ind w:firstLine="480"/>
        <w:rPr>
          <w:rFonts w:eastAsia="仿宋_GB2312"/>
        </w:rPr>
      </w:pPr>
      <w:r>
        <w:rPr>
          <w:rFonts w:hint="eastAsia" w:ascii="Times New Roman" w:eastAsia="仿宋_GB2312" w:cs="Times New Roman"/>
          <w:color w:val="auto"/>
          <w:kern w:val="2"/>
        </w:rPr>
        <w:t>公司定期进行事故应急预案演练，并及时发现演练过程中存在的问题，在本次预案修订中根据问题清单提出解决措施，详见表9.3</w:t>
      </w:r>
      <w:r>
        <w:rPr>
          <w:rFonts w:ascii="Times New Roman" w:eastAsia="仿宋_GB2312" w:cs="Times New Roman"/>
          <w:color w:val="auto"/>
          <w:kern w:val="2"/>
        </w:rPr>
        <w:t>-1</w:t>
      </w:r>
      <w:r>
        <w:rPr>
          <w:rFonts w:hint="eastAsia" w:ascii="Times New Roman" w:eastAsia="仿宋_GB2312" w:cs="Times New Roman"/>
          <w:color w:val="auto"/>
          <w:kern w:val="2"/>
        </w:rPr>
        <w:t>。</w:t>
      </w:r>
    </w:p>
    <w:p>
      <w:pPr>
        <w:spacing w:before="120" w:beforeLines="50" w:line="360" w:lineRule="auto"/>
        <w:ind w:firstLine="422"/>
        <w:jc w:val="center"/>
        <w:rPr>
          <w:rFonts w:eastAsia="仿宋_GB2312"/>
          <w:b/>
          <w:szCs w:val="21"/>
        </w:rPr>
      </w:pPr>
      <w:r>
        <w:rPr>
          <w:rFonts w:hint="eastAsia" w:eastAsia="仿宋_GB2312"/>
          <w:b/>
          <w:szCs w:val="21"/>
        </w:rPr>
        <w:t>表9.3-1应急预案演练暴漏问题及解决措施一览表</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4584"/>
        <w:gridCol w:w="2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vAlign w:val="center"/>
          </w:tcPr>
          <w:p>
            <w:pPr>
              <w:spacing w:before="120" w:beforeLines="50"/>
              <w:jc w:val="center"/>
              <w:rPr>
                <w:b/>
                <w:bCs/>
                <w:szCs w:val="21"/>
              </w:rPr>
            </w:pPr>
            <w:r>
              <w:rPr>
                <w:b/>
                <w:bCs/>
                <w:szCs w:val="21"/>
              </w:rPr>
              <w:t>序号</w:t>
            </w:r>
          </w:p>
        </w:tc>
        <w:tc>
          <w:tcPr>
            <w:tcW w:w="4584" w:type="dxa"/>
            <w:vAlign w:val="center"/>
          </w:tcPr>
          <w:p>
            <w:pPr>
              <w:spacing w:before="120" w:beforeLines="50"/>
              <w:jc w:val="center"/>
              <w:rPr>
                <w:b/>
                <w:bCs/>
                <w:szCs w:val="21"/>
              </w:rPr>
            </w:pPr>
            <w:r>
              <w:rPr>
                <w:b/>
                <w:bCs/>
                <w:szCs w:val="21"/>
              </w:rPr>
              <w:t>演练过程存在问题</w:t>
            </w:r>
          </w:p>
        </w:tc>
        <w:tc>
          <w:tcPr>
            <w:tcW w:w="2843" w:type="dxa"/>
            <w:vAlign w:val="center"/>
          </w:tcPr>
          <w:p>
            <w:pPr>
              <w:spacing w:before="120" w:beforeLines="50"/>
              <w:jc w:val="center"/>
              <w:rPr>
                <w:b/>
                <w:bCs/>
                <w:szCs w:val="21"/>
              </w:rPr>
            </w:pPr>
            <w:r>
              <w:rPr>
                <w:b/>
                <w:bCs/>
                <w:szCs w:val="21"/>
              </w:rPr>
              <w:t>解决措施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vAlign w:val="center"/>
          </w:tcPr>
          <w:p>
            <w:pPr>
              <w:spacing w:before="120" w:beforeLines="50"/>
              <w:jc w:val="center"/>
              <w:rPr>
                <w:szCs w:val="21"/>
              </w:rPr>
            </w:pPr>
            <w:r>
              <w:rPr>
                <w:szCs w:val="21"/>
              </w:rPr>
              <w:t>1</w:t>
            </w:r>
          </w:p>
        </w:tc>
        <w:tc>
          <w:tcPr>
            <w:tcW w:w="4584" w:type="dxa"/>
            <w:vAlign w:val="center"/>
          </w:tcPr>
          <w:p>
            <w:pPr>
              <w:spacing w:before="120" w:beforeLines="50"/>
              <w:jc w:val="center"/>
              <w:rPr>
                <w:szCs w:val="21"/>
              </w:rPr>
            </w:pPr>
            <w:r>
              <w:rPr>
                <w:rFonts w:hint="eastAsia"/>
                <w:szCs w:val="21"/>
              </w:rPr>
              <w:t>因公司人员流动及岗位调动，应急救援指挥部人员信息未及时更新导致演练过程中部分人员联系不上</w:t>
            </w:r>
          </w:p>
        </w:tc>
        <w:tc>
          <w:tcPr>
            <w:tcW w:w="2843" w:type="dxa"/>
            <w:vAlign w:val="center"/>
          </w:tcPr>
          <w:p>
            <w:pPr>
              <w:spacing w:before="120" w:beforeLines="50"/>
              <w:jc w:val="center"/>
              <w:rPr>
                <w:szCs w:val="21"/>
              </w:rPr>
            </w:pPr>
            <w:r>
              <w:rPr>
                <w:rFonts w:hint="eastAsia"/>
                <w:szCs w:val="21"/>
              </w:rPr>
              <w:t>根据人员流动及岗位调动信息，及时更新应急救援指挥部人员名单及联系方式，并将更新信息通知全厂员工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vAlign w:val="center"/>
          </w:tcPr>
          <w:p>
            <w:pPr>
              <w:spacing w:before="120" w:beforeLines="50"/>
              <w:jc w:val="center"/>
              <w:rPr>
                <w:szCs w:val="21"/>
              </w:rPr>
            </w:pPr>
            <w:r>
              <w:rPr>
                <w:szCs w:val="21"/>
              </w:rPr>
              <w:t>2</w:t>
            </w:r>
          </w:p>
        </w:tc>
        <w:tc>
          <w:tcPr>
            <w:tcW w:w="4584" w:type="dxa"/>
            <w:vAlign w:val="center"/>
          </w:tcPr>
          <w:p>
            <w:pPr>
              <w:spacing w:before="120" w:beforeLines="50"/>
              <w:jc w:val="center"/>
              <w:rPr>
                <w:szCs w:val="21"/>
              </w:rPr>
            </w:pPr>
            <w:r>
              <w:rPr>
                <w:rFonts w:hint="eastAsia"/>
                <w:szCs w:val="21"/>
              </w:rPr>
              <w:t>对突发环境事件信息上报流程不熟悉</w:t>
            </w:r>
          </w:p>
        </w:tc>
        <w:tc>
          <w:tcPr>
            <w:tcW w:w="2843" w:type="dxa"/>
            <w:vAlign w:val="center"/>
          </w:tcPr>
          <w:p>
            <w:pPr>
              <w:spacing w:before="120" w:beforeLines="50"/>
              <w:jc w:val="center"/>
              <w:rPr>
                <w:szCs w:val="21"/>
              </w:rPr>
            </w:pPr>
            <w:r>
              <w:rPr>
                <w:rFonts w:hint="eastAsia"/>
                <w:szCs w:val="21"/>
              </w:rPr>
              <w:t>组织培训，让每个员工了解信息上报流程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vAlign w:val="center"/>
          </w:tcPr>
          <w:p>
            <w:pPr>
              <w:spacing w:before="120" w:beforeLines="50"/>
              <w:jc w:val="center"/>
              <w:rPr>
                <w:szCs w:val="21"/>
              </w:rPr>
            </w:pPr>
            <w:r>
              <w:rPr>
                <w:szCs w:val="21"/>
              </w:rPr>
              <w:t>3</w:t>
            </w:r>
          </w:p>
        </w:tc>
        <w:tc>
          <w:tcPr>
            <w:tcW w:w="4584" w:type="dxa"/>
            <w:vAlign w:val="center"/>
          </w:tcPr>
          <w:p>
            <w:pPr>
              <w:spacing w:before="120" w:beforeLines="50"/>
              <w:jc w:val="center"/>
              <w:rPr>
                <w:szCs w:val="21"/>
              </w:rPr>
            </w:pPr>
            <w:r>
              <w:rPr>
                <w:rFonts w:hint="eastAsia"/>
                <w:szCs w:val="21"/>
              </w:rPr>
              <w:t>部分应急救援小组人员不熟悉自己的职责与任务</w:t>
            </w:r>
          </w:p>
        </w:tc>
        <w:tc>
          <w:tcPr>
            <w:tcW w:w="2843" w:type="dxa"/>
            <w:vAlign w:val="center"/>
          </w:tcPr>
          <w:p>
            <w:pPr>
              <w:spacing w:before="120" w:beforeLines="50"/>
              <w:jc w:val="center"/>
              <w:rPr>
                <w:szCs w:val="21"/>
              </w:rPr>
            </w:pPr>
            <w:r>
              <w:rPr>
                <w:rFonts w:hint="eastAsia"/>
                <w:szCs w:val="21"/>
              </w:rPr>
              <w:t>组织培训，让员工熟悉自己的职责与任务</w:t>
            </w:r>
          </w:p>
        </w:tc>
      </w:tr>
    </w:tbl>
    <w:p>
      <w:pPr>
        <w:spacing w:before="240" w:beforeLines="100" w:line="360" w:lineRule="auto"/>
        <w:outlineLvl w:val="1"/>
        <w:rPr>
          <w:b/>
          <w:sz w:val="30"/>
          <w:szCs w:val="30"/>
        </w:rPr>
      </w:pPr>
      <w:bookmarkStart w:id="119" w:name="_Toc15569"/>
      <w:r>
        <w:rPr>
          <w:rFonts w:hint="eastAsia"/>
          <w:b/>
          <w:sz w:val="30"/>
          <w:szCs w:val="30"/>
        </w:rPr>
        <w:t>9</w:t>
      </w:r>
      <w:r>
        <w:rPr>
          <w:b/>
          <w:sz w:val="30"/>
          <w:szCs w:val="30"/>
        </w:rPr>
        <w:t>.</w:t>
      </w:r>
      <w:r>
        <w:rPr>
          <w:rFonts w:hint="eastAsia"/>
          <w:b/>
          <w:sz w:val="30"/>
          <w:szCs w:val="30"/>
        </w:rPr>
        <w:t>4</w:t>
      </w:r>
      <w:r>
        <w:rPr>
          <w:b/>
          <w:sz w:val="30"/>
          <w:szCs w:val="30"/>
        </w:rPr>
        <w:t>预案</w:t>
      </w:r>
      <w:r>
        <w:rPr>
          <w:rFonts w:hint="eastAsia"/>
          <w:b/>
          <w:sz w:val="30"/>
          <w:szCs w:val="30"/>
        </w:rPr>
        <w:t>修订</w:t>
      </w:r>
      <w:bookmarkEnd w:id="119"/>
    </w:p>
    <w:p>
      <w:pPr>
        <w:spacing w:before="120" w:beforeLines="50" w:line="360" w:lineRule="auto"/>
        <w:ind w:firstLine="480" w:firstLineChars="200"/>
        <w:rPr>
          <w:rFonts w:eastAsia="仿宋_GB2312"/>
          <w:sz w:val="24"/>
        </w:rPr>
      </w:pPr>
      <w:r>
        <w:rPr>
          <w:rFonts w:eastAsia="仿宋_GB2312"/>
          <w:sz w:val="24"/>
        </w:rPr>
        <w:t>突发环境事件应急领导小组负责本应急预案的管理与更新，每三年组织修订一次，如发生下列情况之一，及时修订。</w:t>
      </w:r>
    </w:p>
    <w:p>
      <w:pPr>
        <w:spacing w:before="120" w:beforeLines="50" w:line="360" w:lineRule="auto"/>
        <w:ind w:firstLine="480" w:firstLineChars="200"/>
        <w:rPr>
          <w:rFonts w:eastAsia="仿宋_GB2312"/>
          <w:sz w:val="24"/>
        </w:rPr>
      </w:pPr>
      <w:r>
        <w:rPr>
          <w:rFonts w:eastAsia="仿宋_GB2312"/>
          <w:sz w:val="24"/>
        </w:rPr>
        <w:t>1)公司组织机构发生变化；</w:t>
      </w:r>
    </w:p>
    <w:p>
      <w:pPr>
        <w:spacing w:before="120" w:beforeLines="50" w:line="360" w:lineRule="auto"/>
        <w:ind w:firstLine="480" w:firstLineChars="200"/>
        <w:rPr>
          <w:rFonts w:eastAsia="仿宋_GB2312"/>
          <w:sz w:val="24"/>
        </w:rPr>
      </w:pPr>
      <w:r>
        <w:rPr>
          <w:rFonts w:eastAsia="仿宋_GB2312"/>
          <w:sz w:val="24"/>
        </w:rPr>
        <w:t>2)公司规划发生变化；</w:t>
      </w:r>
    </w:p>
    <w:p>
      <w:pPr>
        <w:spacing w:before="120" w:beforeLines="50" w:line="360" w:lineRule="auto"/>
        <w:ind w:firstLine="480" w:firstLineChars="200"/>
        <w:rPr>
          <w:rFonts w:eastAsia="仿宋_GB2312"/>
          <w:sz w:val="24"/>
        </w:rPr>
      </w:pPr>
      <w:r>
        <w:rPr>
          <w:rFonts w:eastAsia="仿宋_GB2312"/>
          <w:sz w:val="24"/>
        </w:rPr>
        <w:t>3)公司四周环境发生变化；</w:t>
      </w:r>
    </w:p>
    <w:p>
      <w:pPr>
        <w:spacing w:before="120" w:beforeLines="50" w:line="360" w:lineRule="auto"/>
        <w:ind w:firstLine="480" w:firstLineChars="200"/>
        <w:rPr>
          <w:rFonts w:eastAsia="仿宋_GB2312"/>
          <w:sz w:val="24"/>
        </w:rPr>
      </w:pPr>
      <w:r>
        <w:rPr>
          <w:rFonts w:eastAsia="仿宋_GB2312"/>
          <w:sz w:val="24"/>
        </w:rPr>
        <w:t>4)应急组织指挥体系或者职责已经调整；</w:t>
      </w:r>
    </w:p>
    <w:p>
      <w:pPr>
        <w:spacing w:before="120" w:beforeLines="50" w:line="360" w:lineRule="auto"/>
        <w:ind w:firstLine="480" w:firstLineChars="200"/>
        <w:rPr>
          <w:rFonts w:eastAsia="仿宋_GB2312"/>
          <w:sz w:val="24"/>
        </w:rPr>
      </w:pPr>
      <w:r>
        <w:rPr>
          <w:rFonts w:eastAsia="仿宋_GB2312"/>
          <w:sz w:val="24"/>
        </w:rPr>
        <w:t>5)依据的法律、法规、规章和标准发生变化；</w:t>
      </w:r>
    </w:p>
    <w:p>
      <w:pPr>
        <w:spacing w:before="120" w:beforeLines="50" w:line="360" w:lineRule="auto"/>
        <w:ind w:firstLine="480" w:firstLineChars="200"/>
        <w:rPr>
          <w:rFonts w:eastAsia="仿宋_GB2312"/>
          <w:sz w:val="24"/>
        </w:rPr>
      </w:pPr>
      <w:r>
        <w:rPr>
          <w:rFonts w:eastAsia="仿宋_GB2312"/>
          <w:sz w:val="24"/>
        </w:rPr>
        <w:t>6)应急预案演练评估报告要求修订；</w:t>
      </w:r>
    </w:p>
    <w:p>
      <w:pPr>
        <w:spacing w:before="120" w:beforeLines="50" w:line="360" w:lineRule="auto"/>
        <w:ind w:firstLine="480" w:firstLineChars="200"/>
        <w:rPr>
          <w:rFonts w:eastAsia="仿宋_GB2312"/>
          <w:sz w:val="24"/>
        </w:rPr>
      </w:pPr>
      <w:r>
        <w:rPr>
          <w:rFonts w:eastAsia="仿宋_GB2312"/>
          <w:sz w:val="24"/>
        </w:rPr>
        <w:t>7)环境污染事故应急行动结束后，应急领导小组对应急行动进行评审，要求对应急预案进行修订；</w:t>
      </w:r>
    </w:p>
    <w:p>
      <w:pPr>
        <w:spacing w:before="120" w:beforeLines="50" w:line="360" w:lineRule="auto"/>
        <w:ind w:firstLine="480" w:firstLineChars="200"/>
        <w:rPr>
          <w:rFonts w:eastAsia="仿宋_GB2312"/>
          <w:sz w:val="24"/>
        </w:rPr>
        <w:sectPr>
          <w:pgSz w:w="11906" w:h="16838"/>
          <w:pgMar w:top="1440" w:right="1797" w:bottom="1440" w:left="1797" w:header="851" w:footer="992" w:gutter="0"/>
          <w:pgNumType w:fmt="decimal"/>
          <w:cols w:space="720" w:num="1"/>
          <w:docGrid w:linePitch="312" w:charSpace="0"/>
        </w:sectPr>
      </w:pPr>
      <w:r>
        <w:rPr>
          <w:rFonts w:eastAsia="仿宋_GB2312"/>
          <w:sz w:val="24"/>
        </w:rPr>
        <w:t xml:space="preserve">8)应急预案管理部门要求修订。   </w:t>
      </w:r>
    </w:p>
    <w:p>
      <w:pPr>
        <w:spacing w:before="360" w:beforeLines="150" w:after="240" w:afterLines="100" w:line="360" w:lineRule="auto"/>
        <w:jc w:val="center"/>
        <w:outlineLvl w:val="0"/>
        <w:rPr>
          <w:b/>
          <w:sz w:val="36"/>
          <w:szCs w:val="36"/>
        </w:rPr>
      </w:pPr>
      <w:bookmarkStart w:id="120" w:name="_Toc18539"/>
      <w:r>
        <w:rPr>
          <w:b/>
          <w:sz w:val="36"/>
          <w:szCs w:val="36"/>
        </w:rPr>
        <w:t>1</w:t>
      </w:r>
      <w:r>
        <w:rPr>
          <w:rFonts w:hint="eastAsia"/>
          <w:b/>
          <w:sz w:val="36"/>
          <w:szCs w:val="36"/>
        </w:rPr>
        <w:t>0</w:t>
      </w:r>
      <w:r>
        <w:rPr>
          <w:b/>
          <w:sz w:val="36"/>
          <w:szCs w:val="36"/>
        </w:rPr>
        <w:t xml:space="preserve"> </w:t>
      </w:r>
      <w:r>
        <w:rPr>
          <w:rFonts w:hint="eastAsia"/>
          <w:b/>
          <w:sz w:val="36"/>
          <w:szCs w:val="36"/>
        </w:rPr>
        <w:t>附则</w:t>
      </w:r>
      <w:bookmarkEnd w:id="120"/>
    </w:p>
    <w:p>
      <w:pPr>
        <w:spacing w:before="120" w:beforeLines="50" w:line="360" w:lineRule="auto"/>
        <w:outlineLvl w:val="1"/>
        <w:rPr>
          <w:b/>
          <w:sz w:val="28"/>
          <w:szCs w:val="28"/>
        </w:rPr>
      </w:pPr>
      <w:bookmarkStart w:id="121" w:name="_Toc555"/>
      <w:r>
        <w:rPr>
          <w:b/>
          <w:sz w:val="28"/>
          <w:szCs w:val="28"/>
        </w:rPr>
        <w:t>1</w:t>
      </w:r>
      <w:r>
        <w:rPr>
          <w:rFonts w:hint="eastAsia"/>
          <w:b/>
          <w:sz w:val="28"/>
          <w:szCs w:val="28"/>
        </w:rPr>
        <w:t>0</w:t>
      </w:r>
      <w:r>
        <w:rPr>
          <w:b/>
          <w:sz w:val="28"/>
          <w:szCs w:val="28"/>
        </w:rPr>
        <w:t>.</w:t>
      </w:r>
      <w:r>
        <w:rPr>
          <w:rFonts w:hint="eastAsia"/>
          <w:b/>
          <w:sz w:val="28"/>
          <w:szCs w:val="28"/>
        </w:rPr>
        <w:t>1预案签署和解释</w:t>
      </w:r>
      <w:bookmarkEnd w:id="121"/>
    </w:p>
    <w:p>
      <w:pPr>
        <w:spacing w:before="120" w:beforeLines="50" w:line="360" w:lineRule="auto"/>
        <w:ind w:firstLine="480" w:firstLineChars="200"/>
        <w:rPr>
          <w:rFonts w:eastAsia="仿宋_GB2312"/>
        </w:rPr>
      </w:pPr>
      <w:r>
        <w:rPr>
          <w:rFonts w:hint="eastAsia" w:eastAsia="仿宋_GB2312"/>
          <w:sz w:val="24"/>
        </w:rPr>
        <w:t>应急预案经评估合格后，按照相关规定在韶关市生态环境局</w:t>
      </w:r>
      <w:r>
        <w:rPr>
          <w:rFonts w:hint="eastAsia" w:eastAsia="仿宋_GB2312"/>
          <w:sz w:val="24"/>
          <w:lang w:eastAsia="zh-CN"/>
        </w:rPr>
        <w:t>翁源分局</w:t>
      </w:r>
      <w:r>
        <w:rPr>
          <w:rFonts w:hint="eastAsia" w:eastAsia="仿宋_GB2312"/>
          <w:sz w:val="24"/>
        </w:rPr>
        <w:t>备案。</w:t>
      </w:r>
    </w:p>
    <w:p>
      <w:pPr>
        <w:spacing w:before="120" w:beforeLines="50" w:line="360" w:lineRule="auto"/>
        <w:ind w:firstLine="480" w:firstLineChars="200"/>
        <w:rPr>
          <w:rFonts w:eastAsia="仿宋_GB2312"/>
          <w:sz w:val="24"/>
        </w:rPr>
      </w:pPr>
      <w:r>
        <w:rPr>
          <w:rFonts w:eastAsia="仿宋_GB2312"/>
          <w:sz w:val="24"/>
        </w:rPr>
        <w:t>本预案由</w:t>
      </w:r>
      <w:r>
        <w:rPr>
          <w:rFonts w:hint="eastAsia" w:eastAsia="仿宋_GB2312"/>
          <w:sz w:val="24"/>
          <w:lang w:eastAsia="zh-CN"/>
        </w:rPr>
        <w:t>翁源县中源发展有限公司</w:t>
      </w:r>
      <w:r>
        <w:rPr>
          <w:rFonts w:eastAsia="仿宋_GB2312"/>
          <w:sz w:val="24"/>
        </w:rPr>
        <w:t>按照有关规定组织制定并负责解释。</w:t>
      </w:r>
    </w:p>
    <w:p>
      <w:pPr>
        <w:spacing w:before="120" w:beforeLines="50" w:line="360" w:lineRule="auto"/>
        <w:outlineLvl w:val="1"/>
        <w:rPr>
          <w:b/>
          <w:sz w:val="28"/>
          <w:szCs w:val="28"/>
        </w:rPr>
      </w:pPr>
      <w:bookmarkStart w:id="122" w:name="_Toc17783"/>
      <w:r>
        <w:rPr>
          <w:b/>
          <w:sz w:val="28"/>
          <w:szCs w:val="28"/>
        </w:rPr>
        <w:t>1</w:t>
      </w:r>
      <w:r>
        <w:rPr>
          <w:rFonts w:hint="eastAsia"/>
          <w:b/>
          <w:sz w:val="28"/>
          <w:szCs w:val="28"/>
        </w:rPr>
        <w:t>0</w:t>
      </w:r>
      <w:r>
        <w:rPr>
          <w:b/>
          <w:sz w:val="28"/>
          <w:szCs w:val="28"/>
        </w:rPr>
        <w:t>.</w:t>
      </w:r>
      <w:r>
        <w:rPr>
          <w:rFonts w:hint="eastAsia"/>
          <w:b/>
          <w:sz w:val="28"/>
          <w:szCs w:val="28"/>
        </w:rPr>
        <w:t>2应急预案实施</w:t>
      </w:r>
      <w:bookmarkEnd w:id="122"/>
    </w:p>
    <w:p>
      <w:pPr>
        <w:spacing w:before="120" w:beforeLines="50" w:line="360" w:lineRule="auto"/>
        <w:ind w:firstLine="480" w:firstLineChars="200"/>
        <w:rPr>
          <w:rFonts w:eastAsia="仿宋_GB2312"/>
          <w:sz w:val="24"/>
        </w:rPr>
      </w:pPr>
      <w:r>
        <w:rPr>
          <w:rFonts w:eastAsia="仿宋_GB2312"/>
          <w:sz w:val="24"/>
        </w:rPr>
        <w:t>本预案自公司负责人批准后，立即生效并实施。</w:t>
      </w:r>
    </w:p>
    <w:p>
      <w:pPr>
        <w:spacing w:before="120" w:beforeLines="50" w:line="360" w:lineRule="auto"/>
        <w:ind w:firstLine="480" w:firstLineChars="200"/>
        <w:rPr>
          <w:rFonts w:eastAsia="仿宋_GB2312"/>
          <w:sz w:val="24"/>
        </w:rPr>
      </w:pPr>
    </w:p>
    <w:p>
      <w:pPr>
        <w:spacing w:before="120" w:beforeLines="50" w:line="360" w:lineRule="auto"/>
        <w:ind w:firstLine="480" w:firstLineChars="200"/>
        <w:rPr>
          <w:rFonts w:eastAsia="仿宋_GB2312"/>
          <w:sz w:val="24"/>
        </w:rPr>
      </w:pPr>
    </w:p>
    <w:p>
      <w:pPr>
        <w:spacing w:before="120" w:beforeLines="50" w:line="360" w:lineRule="auto"/>
        <w:ind w:firstLine="480" w:firstLineChars="200"/>
        <w:rPr>
          <w:rFonts w:eastAsia="仿宋_GB2312"/>
          <w:sz w:val="24"/>
        </w:rPr>
        <w:sectPr>
          <w:pgSz w:w="11906" w:h="16838"/>
          <w:pgMar w:top="1440" w:right="1797" w:bottom="1440" w:left="1797" w:header="851" w:footer="992" w:gutter="0"/>
          <w:pgNumType w:fmt="decimal"/>
          <w:cols w:space="720" w:num="1"/>
          <w:docGrid w:linePitch="312" w:charSpace="0"/>
        </w:sectPr>
      </w:pPr>
    </w:p>
    <w:p>
      <w:pPr>
        <w:spacing w:before="360" w:beforeLines="150" w:after="240" w:afterLines="100" w:line="360" w:lineRule="auto"/>
        <w:jc w:val="center"/>
        <w:outlineLvl w:val="0"/>
        <w:rPr>
          <w:b/>
          <w:sz w:val="36"/>
          <w:szCs w:val="36"/>
        </w:rPr>
      </w:pPr>
      <w:bookmarkStart w:id="123" w:name="_Toc22365"/>
      <w:r>
        <w:rPr>
          <w:b/>
          <w:sz w:val="36"/>
          <w:szCs w:val="36"/>
        </w:rPr>
        <w:t>1</w:t>
      </w:r>
      <w:r>
        <w:rPr>
          <w:rFonts w:hint="eastAsia"/>
          <w:b/>
          <w:sz w:val="36"/>
          <w:szCs w:val="36"/>
        </w:rPr>
        <w:t>1</w:t>
      </w:r>
      <w:r>
        <w:rPr>
          <w:b/>
          <w:sz w:val="36"/>
          <w:szCs w:val="36"/>
        </w:rPr>
        <w:t xml:space="preserve"> 术语和定义</w:t>
      </w:r>
      <w:bookmarkEnd w:id="123"/>
    </w:p>
    <w:p>
      <w:pPr>
        <w:spacing w:before="120" w:beforeLines="50" w:line="360" w:lineRule="auto"/>
        <w:ind w:firstLine="480" w:firstLineChars="200"/>
        <w:rPr>
          <w:rFonts w:eastAsia="仿宋_GB2312"/>
          <w:sz w:val="24"/>
        </w:rPr>
      </w:pPr>
      <w:r>
        <w:rPr>
          <w:rFonts w:eastAsia="仿宋_GB2312"/>
          <w:sz w:val="24"/>
        </w:rPr>
        <w:t>(1)突发环境事件</w:t>
      </w:r>
    </w:p>
    <w:p>
      <w:pPr>
        <w:spacing w:before="120" w:beforeLines="50" w:line="360" w:lineRule="auto"/>
        <w:ind w:firstLine="480" w:firstLineChars="200"/>
        <w:rPr>
          <w:rFonts w:eastAsia="仿宋_GB2312"/>
          <w:sz w:val="24"/>
        </w:rPr>
      </w:pPr>
      <w:r>
        <w:rPr>
          <w:rFonts w:eastAsia="仿宋_GB2312"/>
          <w:sz w:val="24"/>
        </w:rPr>
        <w:t>指突然发生，造成或者可能造成重大人员伤亡、重大财产损失和对全国或者某一地区的经济社会稳定、政治安定构成重大威胁和损害，有重大社会影响的涉及公共安全的环境事故。</w:t>
      </w:r>
    </w:p>
    <w:p>
      <w:pPr>
        <w:spacing w:before="120" w:beforeLines="50" w:line="360" w:lineRule="auto"/>
        <w:ind w:firstLine="480" w:firstLineChars="200"/>
        <w:rPr>
          <w:rFonts w:eastAsia="仿宋_GB2312"/>
          <w:sz w:val="24"/>
        </w:rPr>
      </w:pPr>
      <w:r>
        <w:rPr>
          <w:rFonts w:eastAsia="仿宋_GB2312"/>
          <w:sz w:val="24"/>
        </w:rPr>
        <w:t>(2)应急预案</w:t>
      </w:r>
    </w:p>
    <w:p>
      <w:pPr>
        <w:spacing w:before="120" w:beforeLines="50" w:line="360" w:lineRule="auto"/>
        <w:ind w:firstLine="480" w:firstLineChars="200"/>
        <w:rPr>
          <w:rFonts w:eastAsia="仿宋_GB2312"/>
          <w:sz w:val="24"/>
        </w:rPr>
      </w:pPr>
      <w:r>
        <w:rPr>
          <w:rFonts w:eastAsia="仿宋_GB2312"/>
          <w:sz w:val="24"/>
        </w:rPr>
        <w:t>指针对可能发生的突发公共事件，为迅速、有序地开展应急行动，而预先制定的行动计划或方案。</w:t>
      </w:r>
    </w:p>
    <w:p>
      <w:pPr>
        <w:spacing w:before="120" w:beforeLines="50" w:line="360" w:lineRule="auto"/>
        <w:ind w:firstLine="480" w:firstLineChars="200"/>
        <w:rPr>
          <w:rFonts w:eastAsia="仿宋_GB2312"/>
          <w:sz w:val="24"/>
        </w:rPr>
      </w:pPr>
      <w:r>
        <w:rPr>
          <w:rFonts w:eastAsia="仿宋_GB2312"/>
          <w:sz w:val="24"/>
        </w:rPr>
        <w:t>(3)危险源</w:t>
      </w:r>
    </w:p>
    <w:p>
      <w:pPr>
        <w:spacing w:before="120" w:beforeLines="50" w:line="360" w:lineRule="auto"/>
        <w:ind w:firstLine="480" w:firstLineChars="200"/>
        <w:rPr>
          <w:rFonts w:eastAsia="仿宋_GB2312"/>
          <w:sz w:val="24"/>
        </w:rPr>
      </w:pPr>
      <w:r>
        <w:rPr>
          <w:rFonts w:eastAsia="仿宋_GB2312"/>
          <w:sz w:val="24"/>
        </w:rPr>
        <w:t>可能导致伤害或疾病、财产损失、生态环境污染或这些情况组合的根源或状态。</w:t>
      </w:r>
    </w:p>
    <w:p>
      <w:pPr>
        <w:spacing w:before="120" w:beforeLines="50" w:line="360" w:lineRule="auto"/>
        <w:ind w:firstLine="480" w:firstLineChars="200"/>
        <w:rPr>
          <w:rFonts w:eastAsia="仿宋_GB2312"/>
          <w:sz w:val="24"/>
        </w:rPr>
      </w:pPr>
      <w:r>
        <w:rPr>
          <w:rFonts w:eastAsia="仿宋_GB2312"/>
          <w:sz w:val="24"/>
        </w:rPr>
        <w:t>(4)危险源辨识</w:t>
      </w:r>
    </w:p>
    <w:p>
      <w:pPr>
        <w:spacing w:before="120" w:beforeLines="50" w:line="360" w:lineRule="auto"/>
        <w:ind w:firstLine="480" w:firstLineChars="200"/>
        <w:rPr>
          <w:rFonts w:eastAsia="仿宋_GB2312"/>
          <w:sz w:val="24"/>
        </w:rPr>
      </w:pPr>
      <w:r>
        <w:rPr>
          <w:rFonts w:eastAsia="仿宋_GB2312"/>
          <w:sz w:val="24"/>
        </w:rPr>
        <w:t>识别危险源的存在并确定其特性的过程。</w:t>
      </w:r>
    </w:p>
    <w:p>
      <w:pPr>
        <w:spacing w:before="120" w:beforeLines="50" w:line="360" w:lineRule="auto"/>
        <w:ind w:firstLine="480" w:firstLineChars="200"/>
        <w:rPr>
          <w:rFonts w:eastAsia="仿宋_GB2312"/>
          <w:sz w:val="24"/>
        </w:rPr>
      </w:pPr>
      <w:r>
        <w:rPr>
          <w:rFonts w:eastAsia="仿宋_GB2312"/>
          <w:sz w:val="24"/>
        </w:rPr>
        <w:t>(5)重大危险源</w:t>
      </w:r>
    </w:p>
    <w:p>
      <w:pPr>
        <w:spacing w:before="120" w:beforeLines="50" w:line="360" w:lineRule="auto"/>
        <w:ind w:firstLine="480" w:firstLineChars="200"/>
        <w:rPr>
          <w:rFonts w:eastAsia="仿宋_GB2312"/>
          <w:sz w:val="24"/>
        </w:rPr>
      </w:pPr>
      <w:r>
        <w:rPr>
          <w:rFonts w:eastAsia="仿宋_GB2312"/>
          <w:sz w:val="24"/>
        </w:rPr>
        <w:t>指长期地或临时地生产、搬运、使用或者储存危险物品，且危险物品的数量等于或者超过临界量的单元</w:t>
      </w:r>
      <w:r>
        <w:rPr>
          <w:rFonts w:hint="eastAsia" w:eastAsia="仿宋_GB2312"/>
          <w:sz w:val="24"/>
        </w:rPr>
        <w:t>（</w:t>
      </w:r>
      <w:r>
        <w:rPr>
          <w:rFonts w:eastAsia="仿宋_GB2312"/>
          <w:sz w:val="24"/>
        </w:rPr>
        <w:t>包括场所和设施</w:t>
      </w:r>
      <w:r>
        <w:rPr>
          <w:rFonts w:hint="eastAsia" w:eastAsia="仿宋_GB2312"/>
          <w:sz w:val="24"/>
        </w:rPr>
        <w:t>）</w:t>
      </w:r>
      <w:r>
        <w:rPr>
          <w:rFonts w:eastAsia="仿宋_GB2312"/>
          <w:sz w:val="24"/>
        </w:rPr>
        <w:t>。</w:t>
      </w:r>
    </w:p>
    <w:p>
      <w:pPr>
        <w:spacing w:before="120" w:beforeLines="50" w:line="360" w:lineRule="auto"/>
        <w:ind w:firstLine="480" w:firstLineChars="200"/>
        <w:rPr>
          <w:rFonts w:eastAsia="仿宋_GB2312"/>
          <w:sz w:val="24"/>
        </w:rPr>
      </w:pPr>
      <w:r>
        <w:rPr>
          <w:rFonts w:eastAsia="仿宋_GB2312"/>
          <w:sz w:val="24"/>
        </w:rPr>
        <w:t>(6)风险</w:t>
      </w:r>
    </w:p>
    <w:p>
      <w:pPr>
        <w:spacing w:before="120" w:beforeLines="50" w:line="360" w:lineRule="auto"/>
        <w:ind w:firstLine="480" w:firstLineChars="200"/>
        <w:rPr>
          <w:rFonts w:eastAsia="仿宋_GB2312"/>
          <w:sz w:val="24"/>
        </w:rPr>
      </w:pPr>
      <w:r>
        <w:rPr>
          <w:rFonts w:eastAsia="仿宋_GB2312"/>
          <w:sz w:val="24"/>
        </w:rPr>
        <w:t>某一特定危险情况发生的可能性和后果的组合。</w:t>
      </w:r>
    </w:p>
    <w:p>
      <w:pPr>
        <w:spacing w:before="120" w:beforeLines="50" w:line="360" w:lineRule="auto"/>
        <w:ind w:firstLine="480" w:firstLineChars="200"/>
        <w:rPr>
          <w:rFonts w:eastAsia="仿宋_GB2312"/>
          <w:sz w:val="24"/>
        </w:rPr>
      </w:pPr>
      <w:r>
        <w:rPr>
          <w:rFonts w:eastAsia="仿宋_GB2312"/>
          <w:sz w:val="24"/>
        </w:rPr>
        <w:t>(7)环境应急</w:t>
      </w:r>
    </w:p>
    <w:p>
      <w:pPr>
        <w:spacing w:before="120" w:beforeLines="50" w:line="360" w:lineRule="auto"/>
        <w:ind w:firstLine="480" w:firstLineChars="200"/>
        <w:rPr>
          <w:rFonts w:eastAsia="仿宋_GB2312"/>
          <w:sz w:val="24"/>
        </w:rPr>
      </w:pPr>
      <w:r>
        <w:rPr>
          <w:rFonts w:eastAsia="仿宋_GB2312"/>
          <w:sz w:val="24"/>
        </w:rPr>
        <w:t>针对可能或已发生的突发性环境污染事故需要立即采取某些超出正常工作程序的行动，以避免事件发生或减轻事件后果的状态，也称为紧急状态，同时也泛指立即采取超出正常工作程序的行动。</w:t>
      </w:r>
    </w:p>
    <w:p>
      <w:pPr>
        <w:spacing w:before="120" w:beforeLines="50" w:line="360" w:lineRule="auto"/>
        <w:ind w:firstLine="480" w:firstLineChars="200"/>
        <w:rPr>
          <w:rFonts w:eastAsia="仿宋_GB2312"/>
          <w:sz w:val="24"/>
        </w:rPr>
      </w:pPr>
      <w:r>
        <w:rPr>
          <w:rFonts w:eastAsia="仿宋_GB2312"/>
          <w:sz w:val="24"/>
        </w:rPr>
        <w:t>(8)应急响应</w:t>
      </w:r>
    </w:p>
    <w:p>
      <w:pPr>
        <w:spacing w:before="120" w:beforeLines="50" w:line="360" w:lineRule="auto"/>
        <w:ind w:firstLine="480" w:firstLineChars="200"/>
        <w:rPr>
          <w:rFonts w:eastAsia="仿宋_GB2312"/>
          <w:sz w:val="24"/>
        </w:rPr>
      </w:pPr>
      <w:r>
        <w:rPr>
          <w:rFonts w:eastAsia="仿宋_GB2312"/>
          <w:sz w:val="24"/>
        </w:rPr>
        <w:t xml:space="preserve">指事故发生后，立即采取的应急措施或救援行动。  </w:t>
      </w:r>
    </w:p>
    <w:p>
      <w:pPr>
        <w:spacing w:before="120" w:beforeLines="50" w:line="360" w:lineRule="auto"/>
        <w:ind w:firstLine="480" w:firstLineChars="200"/>
        <w:rPr>
          <w:rFonts w:eastAsia="仿宋_GB2312"/>
          <w:sz w:val="24"/>
        </w:rPr>
      </w:pPr>
      <w:r>
        <w:rPr>
          <w:rFonts w:eastAsia="仿宋_GB2312"/>
          <w:sz w:val="24"/>
        </w:rPr>
        <w:t>(9)应急救援</w:t>
      </w:r>
    </w:p>
    <w:p>
      <w:pPr>
        <w:spacing w:before="120" w:beforeLines="50" w:line="360" w:lineRule="auto"/>
        <w:ind w:firstLine="480" w:firstLineChars="200"/>
        <w:rPr>
          <w:rFonts w:eastAsia="仿宋_GB2312"/>
          <w:sz w:val="24"/>
        </w:rPr>
      </w:pPr>
      <w:r>
        <w:rPr>
          <w:rFonts w:eastAsia="仿宋_GB2312"/>
          <w:sz w:val="24"/>
        </w:rPr>
        <w:t xml:space="preserve">    指在发生事故时，采取消除、减少事故危害和防止事故扩大或恶化，最大限度降低事故造成的损失或危害的措施。</w:t>
      </w:r>
    </w:p>
    <w:p>
      <w:pPr>
        <w:spacing w:before="120" w:beforeLines="50" w:line="360" w:lineRule="auto"/>
        <w:ind w:firstLine="480" w:firstLineChars="200"/>
        <w:rPr>
          <w:rFonts w:eastAsia="仿宋_GB2312"/>
          <w:sz w:val="24"/>
        </w:rPr>
      </w:pPr>
      <w:r>
        <w:rPr>
          <w:rFonts w:eastAsia="仿宋_GB2312"/>
          <w:sz w:val="24"/>
        </w:rPr>
        <w:t>(10)应急领导小组</w:t>
      </w:r>
    </w:p>
    <w:p>
      <w:pPr>
        <w:spacing w:before="120" w:beforeLines="50" w:line="360" w:lineRule="auto"/>
        <w:ind w:firstLine="960" w:firstLineChars="400"/>
        <w:rPr>
          <w:rFonts w:eastAsia="仿宋_GB2312"/>
          <w:sz w:val="24"/>
        </w:rPr>
      </w:pPr>
      <w:r>
        <w:rPr>
          <w:rFonts w:eastAsia="仿宋_GB2312"/>
          <w:sz w:val="24"/>
        </w:rPr>
        <w:t>应急反应组织管理、指挥应急反应行动的主要场所。</w:t>
      </w:r>
    </w:p>
    <w:p>
      <w:pPr>
        <w:spacing w:before="120" w:beforeLines="50" w:line="360" w:lineRule="auto"/>
        <w:ind w:firstLine="480" w:firstLineChars="200"/>
        <w:rPr>
          <w:rFonts w:eastAsia="仿宋_GB2312"/>
          <w:sz w:val="24"/>
        </w:rPr>
      </w:pPr>
      <w:r>
        <w:rPr>
          <w:rFonts w:eastAsia="仿宋_GB2312"/>
          <w:sz w:val="24"/>
        </w:rPr>
        <w:t>(11)应急总指挥</w:t>
      </w:r>
    </w:p>
    <w:p>
      <w:pPr>
        <w:spacing w:before="120" w:beforeLines="50" w:line="360" w:lineRule="auto"/>
        <w:ind w:firstLine="480" w:firstLineChars="200"/>
        <w:rPr>
          <w:rFonts w:eastAsia="仿宋_GB2312"/>
          <w:sz w:val="24"/>
        </w:rPr>
      </w:pPr>
      <w:r>
        <w:rPr>
          <w:rFonts w:eastAsia="仿宋_GB2312"/>
          <w:sz w:val="24"/>
        </w:rPr>
        <w:t xml:space="preserve">    在紧急情况下负责组织实施应急反应预案的人。</w:t>
      </w:r>
    </w:p>
    <w:p>
      <w:pPr>
        <w:spacing w:before="120" w:beforeLines="50" w:line="360" w:lineRule="auto"/>
        <w:ind w:firstLine="480" w:firstLineChars="200"/>
        <w:rPr>
          <w:rFonts w:eastAsia="仿宋_GB2312"/>
          <w:sz w:val="24"/>
        </w:rPr>
      </w:pPr>
      <w:r>
        <w:rPr>
          <w:rFonts w:eastAsia="仿宋_GB2312"/>
          <w:sz w:val="24"/>
        </w:rPr>
        <w:t>(12)后期处置</w:t>
      </w:r>
    </w:p>
    <w:p>
      <w:pPr>
        <w:spacing w:before="120" w:beforeLines="50" w:line="360" w:lineRule="auto"/>
        <w:ind w:firstLine="480" w:firstLineChars="200"/>
        <w:rPr>
          <w:rFonts w:eastAsia="仿宋_GB2312"/>
          <w:sz w:val="24"/>
        </w:rPr>
        <w:sectPr>
          <w:pgSz w:w="11906" w:h="16838"/>
          <w:pgMar w:top="1440" w:right="1797" w:bottom="1440" w:left="1797" w:header="851" w:footer="992" w:gutter="0"/>
          <w:pgNumType w:fmt="decimal"/>
          <w:cols w:space="720" w:num="1"/>
          <w:docGrid w:linePitch="312" w:charSpace="0"/>
        </w:sectPr>
      </w:pPr>
      <w:r>
        <w:rPr>
          <w:rFonts w:eastAsia="仿宋_GB2312"/>
          <w:sz w:val="24"/>
        </w:rPr>
        <w:t>突发环境事件得到基本控制后，为使生产、工作、生活、社会次序和生态环境所采取的一系列善后处理行动。</w:t>
      </w:r>
    </w:p>
    <w:p>
      <w:pPr>
        <w:spacing w:before="120" w:beforeLines="50" w:line="360" w:lineRule="auto"/>
        <w:jc w:val="center"/>
        <w:outlineLvl w:val="1"/>
        <w:rPr>
          <w:rFonts w:ascii="宋体" w:hAnsi="宋体"/>
          <w:b/>
          <w:bCs/>
          <w:sz w:val="36"/>
          <w:szCs w:val="36"/>
        </w:rPr>
      </w:pPr>
      <w:bookmarkStart w:id="124" w:name="_Toc17917"/>
      <w:r>
        <w:rPr>
          <w:rFonts w:hint="eastAsia"/>
          <w:b/>
          <w:bCs/>
          <w:sz w:val="36"/>
          <w:szCs w:val="36"/>
        </w:rPr>
        <w:t>应急处置卡片</w:t>
      </w:r>
      <w:bookmarkEnd w:id="124"/>
    </w:p>
    <w:p>
      <w:pPr>
        <w:spacing w:before="120" w:beforeLines="50" w:line="360" w:lineRule="auto"/>
        <w:outlineLvl w:val="1"/>
        <w:rPr>
          <w:rFonts w:ascii="宋体" w:hAnsi="宋体"/>
          <w:b/>
          <w:sz w:val="30"/>
          <w:szCs w:val="30"/>
        </w:rPr>
      </w:pPr>
      <w:bookmarkStart w:id="125" w:name="_Toc9750"/>
      <w:r>
        <w:rPr>
          <w:rFonts w:ascii="宋体" w:hAnsi="宋体"/>
          <w:b/>
          <w:sz w:val="30"/>
          <w:szCs w:val="30"/>
        </w:rPr>
        <w:t>1 突发环境事件应急处置卡片</w:t>
      </w:r>
      <w:bookmarkEnd w:id="125"/>
    </w:p>
    <w:p>
      <w:pPr>
        <w:spacing w:before="120" w:beforeLines="50" w:line="360" w:lineRule="auto"/>
        <w:jc w:val="center"/>
        <w:rPr>
          <w:b/>
          <w:szCs w:val="21"/>
        </w:rPr>
      </w:pPr>
      <w:r>
        <w:rPr>
          <w:b/>
          <w:szCs w:val="21"/>
        </w:rPr>
        <w:t>表1  火灾、爆炸应急处置卡片（二级响应）</w:t>
      </w:r>
    </w:p>
    <w:tbl>
      <w:tblPr>
        <w:tblStyle w:val="32"/>
        <w:tblW w:w="84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8"/>
        <w:gridCol w:w="3993"/>
        <w:gridCol w:w="1479"/>
        <w:gridCol w:w="1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114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处置程序</w:t>
            </w:r>
          </w:p>
        </w:tc>
        <w:tc>
          <w:tcPr>
            <w:tcW w:w="399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应急处置措施</w:t>
            </w:r>
          </w:p>
        </w:tc>
        <w:tc>
          <w:tcPr>
            <w:tcW w:w="147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责任岗位</w:t>
            </w:r>
          </w:p>
        </w:tc>
        <w:tc>
          <w:tcPr>
            <w:tcW w:w="181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可利用应急资源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114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事故情景</w:t>
            </w:r>
          </w:p>
        </w:tc>
        <w:tc>
          <w:tcPr>
            <w:tcW w:w="399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仓库、各车间发生大规模的火灾事故</w:t>
            </w:r>
          </w:p>
        </w:tc>
        <w:tc>
          <w:tcPr>
            <w:tcW w:w="147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c>
          <w:tcPr>
            <w:tcW w:w="181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消防给水水泵</w:t>
            </w:r>
            <w:r>
              <w:rPr>
                <w:rFonts w:hint="eastAsia" w:ascii="Times New Roman" w:cs="Times New Roman"/>
                <w:color w:val="auto"/>
                <w:sz w:val="21"/>
                <w:szCs w:val="21"/>
                <w:lang w:eastAsia="zh-CN"/>
              </w:rPr>
              <w:t>、</w:t>
            </w:r>
            <w:r>
              <w:rPr>
                <w:rFonts w:hint="eastAsia" w:ascii="Times New Roman" w:cs="Times New Roman"/>
                <w:color w:val="auto"/>
                <w:sz w:val="21"/>
                <w:szCs w:val="21"/>
                <w:lang w:val="en-US" w:eastAsia="zh-CN"/>
              </w:rPr>
              <w:t>灭火器</w:t>
            </w:r>
            <w:r>
              <w:rPr>
                <w:rFonts w:ascii="Times New Roman" w:cs="Times New Roman"/>
                <w:color w:val="auto"/>
                <w:sz w:val="21"/>
                <w:szCs w:val="21"/>
              </w:rPr>
              <w:t>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1" w:hRule="atLeast"/>
        </w:trPr>
        <w:tc>
          <w:tcPr>
            <w:tcW w:w="114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报警及预案启动</w:t>
            </w:r>
          </w:p>
        </w:tc>
        <w:tc>
          <w:tcPr>
            <w:tcW w:w="3993" w:type="dxa"/>
            <w:shd w:val="clear" w:color="auto" w:fill="auto"/>
            <w:vAlign w:val="center"/>
          </w:tcPr>
          <w:p>
            <w:pPr>
              <w:pStyle w:val="2"/>
              <w:numPr>
                <w:ilvl w:val="0"/>
                <w:numId w:val="10"/>
              </w:numPr>
              <w:jc w:val="both"/>
              <w:rPr>
                <w:rFonts w:ascii="Times New Roman" w:cs="Times New Roman"/>
                <w:color w:val="auto"/>
                <w:sz w:val="21"/>
                <w:szCs w:val="21"/>
              </w:rPr>
            </w:pPr>
            <w:r>
              <w:rPr>
                <w:rFonts w:ascii="Times New Roman" w:cs="Times New Roman"/>
                <w:color w:val="auto"/>
                <w:sz w:val="21"/>
                <w:szCs w:val="21"/>
              </w:rPr>
              <w:t>启动厂区级应急预案；</w:t>
            </w:r>
          </w:p>
          <w:p>
            <w:pPr>
              <w:pStyle w:val="2"/>
              <w:numPr>
                <w:ilvl w:val="0"/>
                <w:numId w:val="10"/>
              </w:numPr>
              <w:jc w:val="both"/>
              <w:rPr>
                <w:rFonts w:ascii="Times New Roman" w:cs="Times New Roman"/>
                <w:color w:val="auto"/>
                <w:sz w:val="21"/>
                <w:szCs w:val="21"/>
              </w:rPr>
            </w:pPr>
            <w:r>
              <w:rPr>
                <w:rFonts w:ascii="Times New Roman" w:cs="Times New Roman"/>
                <w:color w:val="auto"/>
                <w:sz w:val="21"/>
                <w:szCs w:val="21"/>
              </w:rPr>
              <w:t>通知各应急救援小组；</w:t>
            </w:r>
          </w:p>
          <w:p>
            <w:pPr>
              <w:pStyle w:val="2"/>
              <w:numPr>
                <w:ilvl w:val="0"/>
                <w:numId w:val="10"/>
              </w:numPr>
              <w:jc w:val="both"/>
              <w:rPr>
                <w:rFonts w:ascii="Times New Roman" w:cs="Times New Roman"/>
                <w:color w:val="auto"/>
                <w:sz w:val="21"/>
                <w:szCs w:val="21"/>
              </w:rPr>
            </w:pPr>
            <w:r>
              <w:rPr>
                <w:rFonts w:ascii="Times New Roman" w:cs="Times New Roman"/>
                <w:color w:val="auto"/>
                <w:sz w:val="21"/>
                <w:szCs w:val="21"/>
              </w:rPr>
              <w:t>拨打110</w:t>
            </w:r>
            <w:r>
              <w:rPr>
                <w:rFonts w:hint="eastAsia" w:ascii="Times New Roman" w:cs="Times New Roman"/>
                <w:color w:val="auto"/>
                <w:sz w:val="21"/>
                <w:szCs w:val="21"/>
              </w:rPr>
              <w:t>，</w:t>
            </w:r>
            <w:r>
              <w:rPr>
                <w:rFonts w:ascii="Times New Roman" w:cs="Times New Roman"/>
                <w:color w:val="auto"/>
                <w:sz w:val="21"/>
                <w:szCs w:val="21"/>
              </w:rPr>
              <w:t>120</w:t>
            </w:r>
            <w:r>
              <w:rPr>
                <w:rFonts w:hint="eastAsia" w:ascii="Times New Roman" w:cs="Times New Roman"/>
                <w:color w:val="auto"/>
                <w:sz w:val="21"/>
                <w:szCs w:val="21"/>
              </w:rPr>
              <w:t>，</w:t>
            </w:r>
            <w:r>
              <w:rPr>
                <w:rFonts w:ascii="Times New Roman" w:cs="Times New Roman"/>
                <w:color w:val="auto"/>
                <w:sz w:val="21"/>
                <w:szCs w:val="21"/>
              </w:rPr>
              <w:t>119；</w:t>
            </w:r>
          </w:p>
        </w:tc>
        <w:tc>
          <w:tcPr>
            <w:tcW w:w="147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应急领导小组</w:t>
            </w:r>
          </w:p>
        </w:tc>
        <w:tc>
          <w:tcPr>
            <w:tcW w:w="181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各应急救援小组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114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断源</w:t>
            </w:r>
          </w:p>
        </w:tc>
        <w:tc>
          <w:tcPr>
            <w:tcW w:w="3993" w:type="dxa"/>
            <w:shd w:val="clear" w:color="auto" w:fill="auto"/>
            <w:vAlign w:val="center"/>
          </w:tcPr>
          <w:p>
            <w:pPr>
              <w:pStyle w:val="2"/>
              <w:numPr>
                <w:ilvl w:val="0"/>
                <w:numId w:val="11"/>
              </w:numPr>
              <w:jc w:val="both"/>
              <w:rPr>
                <w:rFonts w:ascii="Times New Roman" w:cs="Times New Roman"/>
                <w:color w:val="auto"/>
                <w:sz w:val="21"/>
                <w:szCs w:val="21"/>
              </w:rPr>
            </w:pPr>
            <w:r>
              <w:rPr>
                <w:rFonts w:ascii="Times New Roman" w:cs="Times New Roman"/>
                <w:color w:val="auto"/>
                <w:sz w:val="21"/>
                <w:szCs w:val="21"/>
              </w:rPr>
              <w:t>切断火灾爆炸所在构筑物电源；</w:t>
            </w:r>
          </w:p>
          <w:p>
            <w:pPr>
              <w:pStyle w:val="2"/>
              <w:numPr>
                <w:ilvl w:val="0"/>
                <w:numId w:val="11"/>
              </w:numPr>
              <w:jc w:val="both"/>
              <w:rPr>
                <w:rFonts w:ascii="Times New Roman" w:cs="Times New Roman"/>
                <w:color w:val="auto"/>
                <w:sz w:val="21"/>
                <w:szCs w:val="21"/>
              </w:rPr>
            </w:pPr>
            <w:r>
              <w:rPr>
                <w:rFonts w:ascii="Times New Roman" w:cs="Times New Roman"/>
                <w:color w:val="auto"/>
                <w:sz w:val="21"/>
                <w:szCs w:val="21"/>
              </w:rPr>
              <w:t>转移或保护现场附近易燃易爆物质。</w:t>
            </w:r>
          </w:p>
        </w:tc>
        <w:tc>
          <w:tcPr>
            <w:tcW w:w="147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p>
            <w:pPr>
              <w:pStyle w:val="2"/>
              <w:jc w:val="center"/>
              <w:rPr>
                <w:rFonts w:ascii="Times New Roman" w:cs="Times New Roman"/>
                <w:color w:val="auto"/>
                <w:sz w:val="21"/>
                <w:szCs w:val="21"/>
              </w:rPr>
            </w:pPr>
            <w:r>
              <w:rPr>
                <w:rFonts w:ascii="Times New Roman" w:cs="Times New Roman"/>
                <w:color w:val="auto"/>
                <w:sz w:val="21"/>
                <w:szCs w:val="21"/>
              </w:rPr>
              <w:t>后勤保障组</w:t>
            </w:r>
          </w:p>
        </w:tc>
        <w:tc>
          <w:tcPr>
            <w:tcW w:w="181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消防给水水泵</w:t>
            </w:r>
            <w:r>
              <w:rPr>
                <w:rFonts w:ascii="Times New Roman" w:cs="Times New Roman"/>
                <w:color w:val="auto"/>
                <w:sz w:val="21"/>
                <w:szCs w:val="21"/>
                <w:lang w:bidi="ar"/>
              </w:rPr>
              <w:t>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114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截污</w:t>
            </w:r>
          </w:p>
        </w:tc>
        <w:tc>
          <w:tcPr>
            <w:tcW w:w="3993"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关闭雨水排放口截止阀门，将消防废水排入雨水沟引入</w:t>
            </w:r>
            <w:r>
              <w:rPr>
                <w:rFonts w:hint="eastAsia" w:ascii="Times New Roman" w:cs="Times New Roman"/>
                <w:color w:val="auto"/>
                <w:sz w:val="21"/>
                <w:szCs w:val="21"/>
                <w:lang w:val="en-US" w:eastAsia="zh-CN"/>
              </w:rPr>
              <w:t>沉淀池及</w:t>
            </w:r>
            <w:r>
              <w:rPr>
                <w:rFonts w:ascii="Times New Roman" w:cs="Times New Roman"/>
                <w:color w:val="auto"/>
                <w:sz w:val="21"/>
                <w:szCs w:val="21"/>
              </w:rPr>
              <w:t>事故应急池</w:t>
            </w:r>
          </w:p>
        </w:tc>
        <w:tc>
          <w:tcPr>
            <w:tcW w:w="1479"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应急</w:t>
            </w:r>
            <w:r>
              <w:rPr>
                <w:rFonts w:ascii="Times New Roman" w:cs="Times New Roman"/>
                <w:color w:val="auto"/>
                <w:sz w:val="21"/>
                <w:szCs w:val="21"/>
              </w:rPr>
              <w:t>监测组</w:t>
            </w:r>
          </w:p>
        </w:tc>
        <w:tc>
          <w:tcPr>
            <w:tcW w:w="1814"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lang w:val="en-US" w:eastAsia="zh-CN"/>
              </w:rPr>
              <w:t>雨水排放口阀门、沉淀池、事故应急池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5" w:hRule="atLeast"/>
        </w:trPr>
        <w:tc>
          <w:tcPr>
            <w:tcW w:w="114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消污</w:t>
            </w:r>
          </w:p>
        </w:tc>
        <w:tc>
          <w:tcPr>
            <w:tcW w:w="3993" w:type="dxa"/>
            <w:shd w:val="clear" w:color="auto" w:fill="auto"/>
            <w:vAlign w:val="center"/>
          </w:tcPr>
          <w:p>
            <w:pPr>
              <w:pStyle w:val="2"/>
              <w:tabs>
                <w:tab w:val="left" w:pos="312"/>
              </w:tabs>
              <w:jc w:val="both"/>
              <w:rPr>
                <w:rFonts w:hint="eastAsia" w:ascii="Times New Roman" w:eastAsia="宋体" w:cs="Times New Roman"/>
                <w:color w:val="auto"/>
                <w:sz w:val="21"/>
                <w:szCs w:val="21"/>
                <w:lang w:eastAsia="zh-CN"/>
              </w:rPr>
            </w:pPr>
            <w:r>
              <w:rPr>
                <w:rFonts w:ascii="Times New Roman" w:cs="Times New Roman"/>
                <w:color w:val="auto"/>
                <w:sz w:val="21"/>
                <w:szCs w:val="21"/>
              </w:rPr>
              <w:t>将事故应急池中的消防废水引入</w:t>
            </w:r>
            <w:r>
              <w:rPr>
                <w:rFonts w:hint="eastAsia" w:ascii="Times New Roman" w:cs="Times New Roman"/>
                <w:color w:val="auto"/>
                <w:sz w:val="21"/>
                <w:szCs w:val="21"/>
              </w:rPr>
              <w:t>污水处理站</w:t>
            </w:r>
            <w:r>
              <w:rPr>
                <w:rFonts w:ascii="Times New Roman" w:cs="Times New Roman"/>
                <w:color w:val="auto"/>
                <w:sz w:val="21"/>
                <w:szCs w:val="21"/>
              </w:rPr>
              <w:t>处理</w:t>
            </w:r>
            <w:r>
              <w:rPr>
                <w:rFonts w:hint="eastAsia" w:ascii="Times New Roman" w:cs="Times New Roman"/>
                <w:color w:val="auto"/>
                <w:sz w:val="21"/>
                <w:szCs w:val="21"/>
                <w:lang w:eastAsia="zh-CN"/>
              </w:rPr>
              <w:t>，消防废水量多需分批引入污水处理站，避免大量废水进入污水处理站，影响污水处理站正常运行</w:t>
            </w:r>
          </w:p>
        </w:tc>
        <w:tc>
          <w:tcPr>
            <w:tcW w:w="1479"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应急</w:t>
            </w:r>
            <w:r>
              <w:rPr>
                <w:rFonts w:ascii="Times New Roman" w:cs="Times New Roman"/>
                <w:color w:val="auto"/>
                <w:sz w:val="21"/>
                <w:szCs w:val="21"/>
              </w:rPr>
              <w:t>监测组</w:t>
            </w:r>
          </w:p>
        </w:tc>
        <w:tc>
          <w:tcPr>
            <w:tcW w:w="1814" w:type="dxa"/>
            <w:shd w:val="clear" w:color="auto" w:fill="auto"/>
            <w:vAlign w:val="center"/>
          </w:tcPr>
          <w:p>
            <w:pPr>
              <w:pStyle w:val="2"/>
              <w:jc w:val="center"/>
              <w:rPr>
                <w:rFonts w:hint="default" w:ascii="Times New Roman" w:eastAsia="宋体" w:cs="Times New Roman"/>
                <w:color w:val="auto"/>
                <w:sz w:val="21"/>
                <w:szCs w:val="21"/>
                <w:lang w:val="en-US" w:eastAsia="zh-CN"/>
              </w:rPr>
            </w:pPr>
            <w:r>
              <w:rPr>
                <w:rFonts w:hint="eastAsia" w:ascii="Times New Roman" w:cs="Times New Roman"/>
                <w:color w:val="auto"/>
                <w:sz w:val="21"/>
                <w:szCs w:val="21"/>
                <w:lang w:val="en-US" w:eastAsia="zh-CN"/>
              </w:rPr>
              <w:t>沉淀池、</w:t>
            </w:r>
            <w:r>
              <w:rPr>
                <w:rFonts w:ascii="Times New Roman" w:cs="Times New Roman"/>
                <w:color w:val="auto"/>
                <w:sz w:val="21"/>
                <w:szCs w:val="21"/>
              </w:rPr>
              <w:t>事故应急池</w:t>
            </w:r>
            <w:r>
              <w:rPr>
                <w:rFonts w:hint="eastAsia" w:ascii="Times New Roman" w:cs="Times New Roman"/>
                <w:color w:val="auto"/>
                <w:sz w:val="21"/>
                <w:szCs w:val="21"/>
                <w:lang w:eastAsia="zh-CN"/>
              </w:rPr>
              <w:t>、</w:t>
            </w:r>
            <w:r>
              <w:rPr>
                <w:rFonts w:hint="eastAsia" w:ascii="Times New Roman" w:cs="Times New Roman"/>
                <w:color w:val="auto"/>
                <w:sz w:val="21"/>
                <w:szCs w:val="21"/>
                <w:lang w:val="en-US" w:eastAsia="zh-CN"/>
              </w:rPr>
              <w:t>抽水泵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7" w:hRule="atLeast"/>
        </w:trPr>
        <w:tc>
          <w:tcPr>
            <w:tcW w:w="114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监测</w:t>
            </w:r>
          </w:p>
        </w:tc>
        <w:tc>
          <w:tcPr>
            <w:tcW w:w="3993"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根据已制定好的应急监测方案，聘请第三方检测单位进行检测；</w:t>
            </w:r>
          </w:p>
          <w:p>
            <w:pPr>
              <w:pStyle w:val="2"/>
              <w:rPr>
                <w:rFonts w:ascii="Times New Roman" w:cs="Times New Roman"/>
                <w:color w:val="auto"/>
                <w:sz w:val="21"/>
                <w:szCs w:val="21"/>
                <w:lang w:bidi="ar"/>
              </w:rPr>
            </w:pPr>
            <w:r>
              <w:rPr>
                <w:rFonts w:ascii="Times New Roman" w:cs="Times New Roman"/>
                <w:color w:val="auto"/>
                <w:sz w:val="21"/>
                <w:szCs w:val="21"/>
              </w:rPr>
              <w:t>监测因子：</w:t>
            </w:r>
            <w:r>
              <w:rPr>
                <w:rFonts w:ascii="Times New Roman" w:cs="Times New Roman"/>
                <w:color w:val="auto"/>
                <w:sz w:val="21"/>
                <w:szCs w:val="18"/>
              </w:rPr>
              <w:t>SO</w:t>
            </w:r>
            <w:r>
              <w:rPr>
                <w:rFonts w:ascii="Times New Roman" w:cs="Times New Roman"/>
                <w:color w:val="auto"/>
                <w:sz w:val="21"/>
                <w:szCs w:val="18"/>
                <w:vertAlign w:val="subscript"/>
              </w:rPr>
              <w:t>2</w:t>
            </w:r>
            <w:r>
              <w:rPr>
                <w:rFonts w:hint="eastAsia" w:ascii="Times New Roman" w:cs="Times New Roman"/>
                <w:color w:val="auto"/>
                <w:sz w:val="21"/>
                <w:szCs w:val="18"/>
              </w:rPr>
              <w:t>、</w:t>
            </w:r>
            <w:r>
              <w:rPr>
                <w:rFonts w:ascii="Times New Roman" w:cs="Times New Roman"/>
                <w:color w:val="auto"/>
                <w:sz w:val="21"/>
                <w:szCs w:val="18"/>
              </w:rPr>
              <w:t>NO</w:t>
            </w:r>
            <w:r>
              <w:rPr>
                <w:rFonts w:hint="eastAsia" w:ascii="Times New Roman" w:cs="Times New Roman"/>
                <w:color w:val="auto"/>
                <w:sz w:val="21"/>
                <w:szCs w:val="18"/>
                <w:vertAlign w:val="subscript"/>
                <w:lang w:val="en-US" w:eastAsia="zh-CN"/>
              </w:rPr>
              <w:t>x</w:t>
            </w:r>
            <w:r>
              <w:rPr>
                <w:rFonts w:hint="eastAsia" w:ascii="Times New Roman" w:cs="Times New Roman"/>
                <w:color w:val="auto"/>
                <w:sz w:val="21"/>
                <w:szCs w:val="18"/>
              </w:rPr>
              <w:t>、颗粒物</w:t>
            </w:r>
            <w:r>
              <w:rPr>
                <w:rFonts w:ascii="Times New Roman" w:cs="Times New Roman"/>
                <w:color w:val="auto"/>
                <w:sz w:val="21"/>
                <w:szCs w:val="18"/>
              </w:rPr>
              <w:t>等</w:t>
            </w:r>
            <w:r>
              <w:rPr>
                <w:rFonts w:ascii="Times New Roman" w:cs="Times New Roman"/>
                <w:color w:val="auto"/>
                <w:sz w:val="21"/>
                <w:szCs w:val="21"/>
                <w:lang w:bidi="ar"/>
              </w:rPr>
              <w:t>（根据着火物质考虑）；</w:t>
            </w:r>
          </w:p>
          <w:p>
            <w:pPr>
              <w:pStyle w:val="2"/>
              <w:jc w:val="both"/>
              <w:rPr>
                <w:rFonts w:ascii="Times New Roman" w:cs="Times New Roman"/>
                <w:color w:val="auto"/>
                <w:sz w:val="21"/>
                <w:szCs w:val="21"/>
                <w:lang w:bidi="ar"/>
              </w:rPr>
            </w:pPr>
            <w:r>
              <w:rPr>
                <w:rFonts w:ascii="Times New Roman" w:cs="Times New Roman"/>
                <w:color w:val="auto"/>
                <w:sz w:val="21"/>
                <w:szCs w:val="21"/>
                <w:lang w:bidi="ar"/>
              </w:rPr>
              <w:t>频次：一般情况1次/2h， 随事故影响减弱， 适当减少监测频次；</w:t>
            </w:r>
          </w:p>
          <w:p>
            <w:pPr>
              <w:pStyle w:val="2"/>
              <w:jc w:val="both"/>
              <w:rPr>
                <w:rFonts w:ascii="Times New Roman" w:cs="Times New Roman"/>
                <w:color w:val="auto"/>
                <w:sz w:val="21"/>
                <w:szCs w:val="18"/>
              </w:rPr>
            </w:pPr>
            <w:r>
              <w:rPr>
                <w:rFonts w:ascii="Times New Roman" w:cs="Times New Roman"/>
                <w:color w:val="auto"/>
                <w:sz w:val="21"/>
                <w:szCs w:val="21"/>
                <w:lang w:bidi="ar"/>
              </w:rPr>
              <w:t>监测点位：火灾/爆炸事故发生点最近厂边界或上风向对照点，事故泄漏点下风向厂边界、下风向最近敏感保护目标处各设置1个监测点</w:t>
            </w:r>
          </w:p>
        </w:tc>
        <w:tc>
          <w:tcPr>
            <w:tcW w:w="147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应急监测组</w:t>
            </w:r>
          </w:p>
        </w:tc>
        <w:tc>
          <w:tcPr>
            <w:tcW w:w="1814"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2" w:hRule="atLeast"/>
        </w:trPr>
        <w:tc>
          <w:tcPr>
            <w:tcW w:w="114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后期处置</w:t>
            </w:r>
          </w:p>
        </w:tc>
        <w:tc>
          <w:tcPr>
            <w:tcW w:w="3993" w:type="dxa"/>
            <w:shd w:val="clear" w:color="auto" w:fill="auto"/>
            <w:vAlign w:val="center"/>
          </w:tcPr>
          <w:p>
            <w:pPr>
              <w:widowControl/>
              <w:numPr>
                <w:ilvl w:val="0"/>
                <w:numId w:val="12"/>
              </w:numPr>
              <w:jc w:val="left"/>
              <w:rPr>
                <w:kern w:val="0"/>
                <w:szCs w:val="21"/>
              </w:rPr>
            </w:pPr>
            <w:r>
              <w:rPr>
                <w:kern w:val="0"/>
                <w:szCs w:val="21"/>
              </w:rPr>
              <w:t>负责善后处置工作，包括人员安置、补偿，征用物资补偿， 救援费用的支付，灾后重建，污染物收集、清理与处理等事项；</w:t>
            </w:r>
          </w:p>
          <w:p>
            <w:pPr>
              <w:widowControl/>
              <w:numPr>
                <w:ilvl w:val="0"/>
                <w:numId w:val="12"/>
              </w:numPr>
              <w:jc w:val="left"/>
              <w:rPr>
                <w:szCs w:val="21"/>
              </w:rPr>
            </w:pPr>
            <w:r>
              <w:rPr>
                <w:kern w:val="0"/>
                <w:szCs w:val="21"/>
              </w:rPr>
              <w:t>尽快消除事故后果和影响，安抚受害和受影响人员，尽快恢复正常秩序。</w:t>
            </w:r>
          </w:p>
        </w:tc>
        <w:tc>
          <w:tcPr>
            <w:tcW w:w="147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后勤保障组</w:t>
            </w:r>
          </w:p>
        </w:tc>
        <w:tc>
          <w:tcPr>
            <w:tcW w:w="181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8434" w:type="dxa"/>
            <w:gridSpan w:val="4"/>
            <w:shd w:val="clear" w:color="auto" w:fill="auto"/>
          </w:tcPr>
          <w:p>
            <w:pPr>
              <w:pStyle w:val="2"/>
              <w:spacing w:before="120" w:beforeLines="50" w:line="360" w:lineRule="auto"/>
              <w:jc w:val="both"/>
              <w:rPr>
                <w:rFonts w:ascii="Times New Roman" w:cs="Times New Roman"/>
                <w:color w:val="auto"/>
                <w:sz w:val="21"/>
                <w:szCs w:val="21"/>
              </w:rPr>
            </w:pPr>
            <w:r>
              <w:rPr>
                <w:rFonts w:ascii="Times New Roman" w:cs="Times New Roman"/>
                <w:color w:val="auto"/>
                <w:sz w:val="21"/>
                <w:szCs w:val="21"/>
              </w:rPr>
              <w:t>注意事项：穿戴防护手套、防护目镜、防护鞋、口罩等</w:t>
            </w:r>
          </w:p>
        </w:tc>
      </w:tr>
    </w:tbl>
    <w:p>
      <w:pPr>
        <w:spacing w:before="120" w:beforeLines="50" w:line="360" w:lineRule="auto"/>
        <w:jc w:val="center"/>
        <w:rPr>
          <w:b/>
          <w:szCs w:val="21"/>
        </w:rPr>
      </w:pPr>
    </w:p>
    <w:p>
      <w:pPr>
        <w:spacing w:before="120" w:beforeLines="50" w:line="360" w:lineRule="auto"/>
        <w:jc w:val="center"/>
        <w:rPr>
          <w:b/>
          <w:szCs w:val="21"/>
        </w:rPr>
      </w:pPr>
      <w:r>
        <w:rPr>
          <w:b/>
          <w:szCs w:val="21"/>
        </w:rPr>
        <w:t>表2  火灾应急处置卡片（三级响应）</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9"/>
        <w:gridCol w:w="3402"/>
        <w:gridCol w:w="2127"/>
        <w:gridCol w:w="17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123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处置程序</w:t>
            </w:r>
          </w:p>
        </w:tc>
        <w:tc>
          <w:tcPr>
            <w:tcW w:w="3402"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应急处置措施</w:t>
            </w:r>
          </w:p>
        </w:tc>
        <w:tc>
          <w:tcPr>
            <w:tcW w:w="2127"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责任岗位</w:t>
            </w:r>
          </w:p>
        </w:tc>
        <w:tc>
          <w:tcPr>
            <w:tcW w:w="17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可利用应急资源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jc w:val="center"/>
        </w:trPr>
        <w:tc>
          <w:tcPr>
            <w:tcW w:w="123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事故情景</w:t>
            </w:r>
          </w:p>
        </w:tc>
        <w:tc>
          <w:tcPr>
            <w:tcW w:w="3402" w:type="dxa"/>
            <w:shd w:val="clear" w:color="auto" w:fill="auto"/>
            <w:vAlign w:val="center"/>
          </w:tcPr>
          <w:p>
            <w:pPr>
              <w:pStyle w:val="2"/>
              <w:jc w:val="center"/>
              <w:rPr>
                <w:rFonts w:hint="default" w:ascii="Times New Roman" w:eastAsia="宋体" w:cs="Times New Roman"/>
                <w:color w:val="auto"/>
                <w:sz w:val="21"/>
                <w:szCs w:val="21"/>
                <w:lang w:val="en-US" w:eastAsia="zh-CN"/>
              </w:rPr>
            </w:pPr>
            <w:r>
              <w:rPr>
                <w:rFonts w:ascii="Times New Roman" w:cs="Times New Roman"/>
                <w:color w:val="auto"/>
                <w:sz w:val="21"/>
                <w:szCs w:val="21"/>
              </w:rPr>
              <w:t>车间、仓库发生小规模火灾事故</w:t>
            </w:r>
          </w:p>
        </w:tc>
        <w:tc>
          <w:tcPr>
            <w:tcW w:w="2127"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c>
          <w:tcPr>
            <w:tcW w:w="17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灭火器等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jc w:val="center"/>
        </w:trPr>
        <w:tc>
          <w:tcPr>
            <w:tcW w:w="123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报警及预案启动</w:t>
            </w:r>
          </w:p>
        </w:tc>
        <w:tc>
          <w:tcPr>
            <w:tcW w:w="3402" w:type="dxa"/>
            <w:shd w:val="clear" w:color="auto" w:fill="auto"/>
            <w:vAlign w:val="center"/>
          </w:tcPr>
          <w:p>
            <w:pPr>
              <w:pStyle w:val="2"/>
              <w:numPr>
                <w:ilvl w:val="0"/>
                <w:numId w:val="13"/>
              </w:numPr>
              <w:jc w:val="both"/>
              <w:rPr>
                <w:rFonts w:ascii="Times New Roman" w:cs="Times New Roman"/>
                <w:color w:val="auto"/>
                <w:sz w:val="21"/>
                <w:szCs w:val="21"/>
              </w:rPr>
            </w:pPr>
            <w:r>
              <w:rPr>
                <w:rFonts w:ascii="Times New Roman" w:cs="Times New Roman"/>
                <w:color w:val="auto"/>
                <w:sz w:val="21"/>
                <w:szCs w:val="21"/>
              </w:rPr>
              <w:t>启动车间级应急预案；</w:t>
            </w:r>
          </w:p>
          <w:p>
            <w:pPr>
              <w:pStyle w:val="2"/>
              <w:numPr>
                <w:ilvl w:val="0"/>
                <w:numId w:val="13"/>
              </w:numPr>
              <w:jc w:val="both"/>
              <w:rPr>
                <w:rFonts w:ascii="Times New Roman" w:cs="Times New Roman"/>
                <w:color w:val="auto"/>
                <w:sz w:val="21"/>
                <w:szCs w:val="21"/>
              </w:rPr>
            </w:pPr>
            <w:r>
              <w:rPr>
                <w:rFonts w:ascii="Times New Roman" w:cs="Times New Roman"/>
                <w:color w:val="auto"/>
                <w:sz w:val="21"/>
                <w:szCs w:val="21"/>
              </w:rPr>
              <w:t>现场人员根据培训的应急处置能力进行处置，通知现场处置组并同时向</w:t>
            </w:r>
            <w:r>
              <w:rPr>
                <w:rFonts w:hint="eastAsia" w:ascii="Times New Roman" w:cs="Times New Roman"/>
                <w:color w:val="auto"/>
                <w:sz w:val="21"/>
                <w:szCs w:val="21"/>
                <w:lang w:val="en-US" w:eastAsia="zh-CN"/>
              </w:rPr>
              <w:t>应急领导小组</w:t>
            </w:r>
            <w:r>
              <w:rPr>
                <w:rFonts w:ascii="Times New Roman" w:cs="Times New Roman"/>
                <w:color w:val="auto"/>
                <w:sz w:val="21"/>
                <w:szCs w:val="21"/>
              </w:rPr>
              <w:t>办公室汇报处置情况；</w:t>
            </w:r>
          </w:p>
        </w:tc>
        <w:tc>
          <w:tcPr>
            <w:tcW w:w="2127"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突发环境事件发生所在车间、仓库等现场人员/当班班长以上领导（含班长）</w:t>
            </w:r>
          </w:p>
        </w:tc>
        <w:tc>
          <w:tcPr>
            <w:tcW w:w="17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jc w:val="center"/>
        </w:trPr>
        <w:tc>
          <w:tcPr>
            <w:tcW w:w="123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断源</w:t>
            </w:r>
          </w:p>
        </w:tc>
        <w:tc>
          <w:tcPr>
            <w:tcW w:w="3402" w:type="dxa"/>
            <w:shd w:val="clear" w:color="auto" w:fill="auto"/>
            <w:vAlign w:val="center"/>
          </w:tcPr>
          <w:p>
            <w:pPr>
              <w:pStyle w:val="2"/>
              <w:tabs>
                <w:tab w:val="left" w:pos="312"/>
              </w:tabs>
              <w:jc w:val="both"/>
              <w:rPr>
                <w:rFonts w:ascii="Times New Roman" w:cs="Times New Roman"/>
                <w:color w:val="auto"/>
                <w:sz w:val="21"/>
                <w:szCs w:val="21"/>
              </w:rPr>
            </w:pPr>
            <w:r>
              <w:rPr>
                <w:rFonts w:ascii="Times New Roman" w:cs="Times New Roman"/>
                <w:color w:val="auto"/>
                <w:sz w:val="21"/>
                <w:szCs w:val="21"/>
              </w:rPr>
              <w:t>1.切断火炸所在构筑物电源；</w:t>
            </w:r>
          </w:p>
          <w:p>
            <w:pPr>
              <w:pStyle w:val="2"/>
              <w:tabs>
                <w:tab w:val="left" w:pos="312"/>
              </w:tabs>
              <w:jc w:val="both"/>
              <w:rPr>
                <w:rFonts w:ascii="Times New Roman" w:cs="Times New Roman"/>
                <w:color w:val="auto"/>
                <w:sz w:val="21"/>
                <w:szCs w:val="21"/>
              </w:rPr>
            </w:pPr>
            <w:r>
              <w:rPr>
                <w:rFonts w:ascii="Times New Roman" w:cs="Times New Roman"/>
                <w:color w:val="auto"/>
                <w:sz w:val="21"/>
                <w:szCs w:val="21"/>
              </w:rPr>
              <w:t>2.转移或保护现场附近易燃易爆物质。</w:t>
            </w:r>
          </w:p>
        </w:tc>
        <w:tc>
          <w:tcPr>
            <w:tcW w:w="2127"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现场人员</w:t>
            </w:r>
          </w:p>
          <w:p>
            <w:pPr>
              <w:pStyle w:val="2"/>
              <w:jc w:val="center"/>
              <w:rPr>
                <w:rFonts w:ascii="Times New Roman" w:cs="Times New Roman"/>
                <w:color w:val="auto"/>
                <w:sz w:val="21"/>
                <w:szCs w:val="21"/>
              </w:rPr>
            </w:pPr>
            <w:r>
              <w:rPr>
                <w:rFonts w:ascii="Times New Roman" w:cs="Times New Roman"/>
                <w:color w:val="auto"/>
                <w:sz w:val="21"/>
                <w:szCs w:val="21"/>
              </w:rPr>
              <w:t>现场处置组</w:t>
            </w:r>
          </w:p>
        </w:tc>
        <w:tc>
          <w:tcPr>
            <w:tcW w:w="17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lang w:bidi="ar"/>
              </w:rPr>
              <w:t>消防沙、消防水泵等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jc w:val="center"/>
        </w:trPr>
        <w:tc>
          <w:tcPr>
            <w:tcW w:w="123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截污</w:t>
            </w:r>
          </w:p>
        </w:tc>
        <w:tc>
          <w:tcPr>
            <w:tcW w:w="3402"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小规模火灾在可控范围内，不产生消防废水</w:t>
            </w:r>
          </w:p>
        </w:tc>
        <w:tc>
          <w:tcPr>
            <w:tcW w:w="2127"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现场人员</w:t>
            </w:r>
          </w:p>
          <w:p>
            <w:pPr>
              <w:pStyle w:val="2"/>
              <w:jc w:val="center"/>
              <w:rPr>
                <w:rFonts w:ascii="Times New Roman" w:cs="Times New Roman"/>
                <w:color w:val="auto"/>
                <w:sz w:val="21"/>
                <w:szCs w:val="21"/>
              </w:rPr>
            </w:pPr>
            <w:r>
              <w:rPr>
                <w:rFonts w:ascii="Times New Roman" w:cs="Times New Roman"/>
                <w:color w:val="auto"/>
                <w:sz w:val="21"/>
                <w:szCs w:val="21"/>
              </w:rPr>
              <w:t>现场处置组</w:t>
            </w:r>
          </w:p>
        </w:tc>
        <w:tc>
          <w:tcPr>
            <w:tcW w:w="17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jc w:val="center"/>
        </w:trPr>
        <w:tc>
          <w:tcPr>
            <w:tcW w:w="123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消污</w:t>
            </w:r>
          </w:p>
        </w:tc>
        <w:tc>
          <w:tcPr>
            <w:tcW w:w="3402" w:type="dxa"/>
            <w:shd w:val="clear" w:color="auto" w:fill="auto"/>
            <w:vAlign w:val="center"/>
          </w:tcPr>
          <w:p>
            <w:pPr>
              <w:pStyle w:val="2"/>
              <w:tabs>
                <w:tab w:val="left" w:pos="312"/>
              </w:tabs>
              <w:jc w:val="both"/>
              <w:rPr>
                <w:rFonts w:ascii="Times New Roman" w:cs="Times New Roman"/>
                <w:color w:val="auto"/>
                <w:sz w:val="21"/>
                <w:szCs w:val="21"/>
              </w:rPr>
            </w:pPr>
            <w:r>
              <w:rPr>
                <w:rFonts w:hint="eastAsia" w:ascii="Times New Roman" w:cs="Times New Roman"/>
                <w:color w:val="auto"/>
                <w:sz w:val="21"/>
                <w:szCs w:val="21"/>
                <w:lang w:val="en-US" w:eastAsia="zh-CN"/>
              </w:rPr>
              <w:t>打扫清理火灾现场</w:t>
            </w:r>
          </w:p>
        </w:tc>
        <w:tc>
          <w:tcPr>
            <w:tcW w:w="2127"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现场人员</w:t>
            </w:r>
          </w:p>
          <w:p>
            <w:pPr>
              <w:pStyle w:val="2"/>
              <w:jc w:val="center"/>
              <w:rPr>
                <w:rFonts w:ascii="Times New Roman" w:cs="Times New Roman"/>
                <w:color w:val="auto"/>
                <w:sz w:val="21"/>
                <w:szCs w:val="21"/>
              </w:rPr>
            </w:pPr>
            <w:r>
              <w:rPr>
                <w:rFonts w:ascii="Times New Roman" w:cs="Times New Roman"/>
                <w:color w:val="auto"/>
                <w:sz w:val="21"/>
                <w:szCs w:val="21"/>
              </w:rPr>
              <w:t>现场处置组</w:t>
            </w:r>
          </w:p>
        </w:tc>
        <w:tc>
          <w:tcPr>
            <w:tcW w:w="17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jc w:val="center"/>
        </w:trPr>
        <w:tc>
          <w:tcPr>
            <w:tcW w:w="123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监测</w:t>
            </w:r>
          </w:p>
        </w:tc>
        <w:tc>
          <w:tcPr>
            <w:tcW w:w="3402"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小规模火灾在可控范围内，影响范围小，无需进行监测</w:t>
            </w:r>
          </w:p>
        </w:tc>
        <w:tc>
          <w:tcPr>
            <w:tcW w:w="2127"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应急监测组</w:t>
            </w:r>
          </w:p>
        </w:tc>
        <w:tc>
          <w:tcPr>
            <w:tcW w:w="1754"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jc w:val="center"/>
        </w:trPr>
        <w:tc>
          <w:tcPr>
            <w:tcW w:w="123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后期处置</w:t>
            </w:r>
          </w:p>
        </w:tc>
        <w:tc>
          <w:tcPr>
            <w:tcW w:w="3402" w:type="dxa"/>
            <w:shd w:val="clear" w:color="auto" w:fill="auto"/>
            <w:vAlign w:val="center"/>
          </w:tcPr>
          <w:p>
            <w:pPr>
              <w:widowControl/>
              <w:jc w:val="left"/>
              <w:rPr>
                <w:szCs w:val="21"/>
              </w:rPr>
            </w:pPr>
            <w:r>
              <w:rPr>
                <w:kern w:val="0"/>
                <w:szCs w:val="21"/>
              </w:rPr>
              <w:t>处置结束后应排查隐患。</w:t>
            </w:r>
          </w:p>
        </w:tc>
        <w:tc>
          <w:tcPr>
            <w:tcW w:w="2127"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后勤保障组</w:t>
            </w:r>
          </w:p>
        </w:tc>
        <w:tc>
          <w:tcPr>
            <w:tcW w:w="17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522" w:type="dxa"/>
            <w:gridSpan w:val="4"/>
            <w:shd w:val="clear" w:color="auto" w:fill="auto"/>
          </w:tcPr>
          <w:p>
            <w:pPr>
              <w:pStyle w:val="2"/>
              <w:spacing w:before="240" w:beforeLines="100"/>
              <w:jc w:val="both"/>
              <w:rPr>
                <w:rFonts w:ascii="Times New Roman" w:cs="Times New Roman"/>
                <w:color w:val="auto"/>
                <w:sz w:val="21"/>
                <w:szCs w:val="21"/>
              </w:rPr>
            </w:pPr>
            <w:r>
              <w:rPr>
                <w:rFonts w:ascii="Times New Roman" w:cs="Times New Roman"/>
                <w:color w:val="auto"/>
                <w:sz w:val="21"/>
                <w:szCs w:val="21"/>
              </w:rPr>
              <w:t>注意事项：穿戴防护手套、防护目镜、防护鞋、口罩等</w:t>
            </w:r>
          </w:p>
        </w:tc>
      </w:tr>
    </w:tbl>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spacing w:before="120" w:beforeLines="50" w:line="360" w:lineRule="auto"/>
        <w:jc w:val="center"/>
        <w:rPr>
          <w:b/>
          <w:szCs w:val="21"/>
        </w:rPr>
      </w:pPr>
      <w:r>
        <w:rPr>
          <w:b/>
          <w:szCs w:val="21"/>
        </w:rPr>
        <w:t>表3  废气事故性排放应急处置卡片（二级响应）</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3"/>
        <w:gridCol w:w="3758"/>
        <w:gridCol w:w="1560"/>
        <w:gridCol w:w="17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处置程序</w:t>
            </w:r>
          </w:p>
        </w:tc>
        <w:tc>
          <w:tcPr>
            <w:tcW w:w="375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应急处置措施</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责任岗位</w:t>
            </w:r>
          </w:p>
        </w:tc>
        <w:tc>
          <w:tcPr>
            <w:tcW w:w="175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可利用应急资源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事故情景</w:t>
            </w:r>
          </w:p>
        </w:tc>
        <w:tc>
          <w:tcPr>
            <w:tcW w:w="375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废气事故性排放（管道破裂、风机</w:t>
            </w:r>
            <w:r>
              <w:rPr>
                <w:rFonts w:hint="eastAsia" w:ascii="Times New Roman" w:cs="Times New Roman"/>
                <w:color w:val="auto"/>
                <w:sz w:val="21"/>
                <w:szCs w:val="21"/>
              </w:rPr>
              <w:t>、</w:t>
            </w:r>
            <w:r>
              <w:rPr>
                <w:rFonts w:hint="eastAsia" w:ascii="Times New Roman" w:cs="Times New Roman"/>
                <w:color w:val="auto"/>
                <w:sz w:val="21"/>
                <w:szCs w:val="21"/>
                <w:lang w:val="en-US" w:eastAsia="zh-CN"/>
              </w:rPr>
              <w:t>布袋除尘器</w:t>
            </w:r>
            <w:r>
              <w:rPr>
                <w:rFonts w:ascii="Times New Roman" w:cs="Times New Roman"/>
                <w:color w:val="auto"/>
                <w:sz w:val="21"/>
                <w:szCs w:val="21"/>
              </w:rPr>
              <w:t>故障）</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c>
          <w:tcPr>
            <w:tcW w:w="1751"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备用</w:t>
            </w:r>
            <w:r>
              <w:rPr>
                <w:rFonts w:ascii="Times New Roman" w:cs="Times New Roman"/>
                <w:color w:val="auto"/>
                <w:sz w:val="21"/>
                <w:szCs w:val="21"/>
              </w:rPr>
              <w:t>设备</w:t>
            </w:r>
            <w:r>
              <w:rPr>
                <w:rFonts w:hint="eastAsia" w:ascii="Times New Roman" w:cs="Times New Roman"/>
                <w:color w:val="auto"/>
                <w:sz w:val="21"/>
                <w:szCs w:val="21"/>
              </w:rPr>
              <w:t>、应急管道、</w:t>
            </w:r>
            <w:r>
              <w:rPr>
                <w:rFonts w:ascii="Times New Roman" w:cs="Times New Roman"/>
                <w:color w:val="auto"/>
                <w:sz w:val="21"/>
                <w:szCs w:val="21"/>
              </w:rPr>
              <w:t>停产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报警及预案启动</w:t>
            </w:r>
          </w:p>
        </w:tc>
        <w:tc>
          <w:tcPr>
            <w:tcW w:w="375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启动厂区级应急预案</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应急领导小组</w:t>
            </w:r>
          </w:p>
        </w:tc>
        <w:tc>
          <w:tcPr>
            <w:tcW w:w="175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断源</w:t>
            </w:r>
          </w:p>
        </w:tc>
        <w:tc>
          <w:tcPr>
            <w:tcW w:w="3758" w:type="dxa"/>
            <w:shd w:val="clear" w:color="auto" w:fill="auto"/>
            <w:vAlign w:val="center"/>
          </w:tcPr>
          <w:p>
            <w:pPr>
              <w:pStyle w:val="2"/>
              <w:tabs>
                <w:tab w:val="left" w:pos="312"/>
              </w:tabs>
              <w:jc w:val="both"/>
              <w:rPr>
                <w:rFonts w:ascii="Times New Roman" w:cs="Times New Roman"/>
                <w:color w:val="auto"/>
                <w:sz w:val="21"/>
                <w:szCs w:val="21"/>
              </w:rPr>
            </w:pPr>
            <w:r>
              <w:rPr>
                <w:rFonts w:ascii="Times New Roman" w:cs="Times New Roman"/>
                <w:color w:val="auto"/>
                <w:sz w:val="21"/>
                <w:szCs w:val="21"/>
              </w:rPr>
              <w:t>事故发生所在车间停车，检查废气事故性排放的原因</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p>
            <w:pPr>
              <w:pStyle w:val="2"/>
              <w:jc w:val="center"/>
              <w:rPr>
                <w:rFonts w:ascii="Times New Roman" w:cs="Times New Roman"/>
                <w:color w:val="auto"/>
                <w:sz w:val="21"/>
                <w:szCs w:val="21"/>
              </w:rPr>
            </w:pPr>
            <w:r>
              <w:rPr>
                <w:rFonts w:ascii="Times New Roman" w:cs="Times New Roman"/>
                <w:color w:val="auto"/>
                <w:sz w:val="21"/>
                <w:szCs w:val="21"/>
              </w:rPr>
              <w:t>后勤保障组</w:t>
            </w:r>
          </w:p>
        </w:tc>
        <w:tc>
          <w:tcPr>
            <w:tcW w:w="175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4"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截污</w:t>
            </w:r>
          </w:p>
        </w:tc>
        <w:tc>
          <w:tcPr>
            <w:tcW w:w="375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c>
          <w:tcPr>
            <w:tcW w:w="175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2"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消污</w:t>
            </w:r>
          </w:p>
        </w:tc>
        <w:tc>
          <w:tcPr>
            <w:tcW w:w="3758" w:type="dxa"/>
            <w:shd w:val="clear" w:color="auto" w:fill="auto"/>
            <w:vAlign w:val="center"/>
          </w:tcPr>
          <w:p>
            <w:pPr>
              <w:pStyle w:val="2"/>
              <w:tabs>
                <w:tab w:val="left" w:pos="312"/>
              </w:tabs>
              <w:jc w:val="center"/>
              <w:rPr>
                <w:rFonts w:ascii="Times New Roman" w:cs="Times New Roman"/>
                <w:color w:val="auto"/>
                <w:sz w:val="21"/>
                <w:szCs w:val="21"/>
              </w:rPr>
            </w:pPr>
            <w:r>
              <w:rPr>
                <w:rFonts w:ascii="Times New Roman" w:cs="Times New Roman"/>
                <w:color w:val="auto"/>
                <w:sz w:val="21"/>
                <w:szCs w:val="21"/>
              </w:rPr>
              <w:t>/</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c>
          <w:tcPr>
            <w:tcW w:w="175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4"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监测</w:t>
            </w:r>
          </w:p>
        </w:tc>
        <w:tc>
          <w:tcPr>
            <w:tcW w:w="3758"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根据已经制定好的应急监测方案，聘请第三方检测单位进行检测；</w:t>
            </w:r>
          </w:p>
          <w:p>
            <w:pPr>
              <w:pStyle w:val="2"/>
              <w:rPr>
                <w:rFonts w:ascii="Times New Roman" w:cs="Times New Roman"/>
                <w:color w:val="auto"/>
                <w:sz w:val="21"/>
                <w:szCs w:val="21"/>
              </w:rPr>
            </w:pPr>
            <w:r>
              <w:rPr>
                <w:rFonts w:ascii="Times New Roman" w:cs="Times New Roman"/>
                <w:color w:val="auto"/>
                <w:sz w:val="21"/>
                <w:szCs w:val="21"/>
              </w:rPr>
              <w:t>监测因子：</w:t>
            </w:r>
            <w:r>
              <w:rPr>
                <w:rFonts w:hint="eastAsia" w:ascii="Times New Roman" w:cs="Times New Roman"/>
                <w:color w:val="auto"/>
                <w:sz w:val="21"/>
                <w:szCs w:val="21"/>
              </w:rPr>
              <w:t>颗粒物、二氧化硫、氮氧化物、氨气、氟化物、汞及其化合物</w:t>
            </w:r>
            <w:r>
              <w:rPr>
                <w:rFonts w:ascii="Times New Roman" w:cs="Times New Roman"/>
                <w:color w:val="auto"/>
                <w:sz w:val="21"/>
                <w:szCs w:val="21"/>
              </w:rPr>
              <w:t>；</w:t>
            </w:r>
          </w:p>
          <w:p>
            <w:pPr>
              <w:pStyle w:val="2"/>
              <w:jc w:val="both"/>
              <w:rPr>
                <w:rFonts w:ascii="Times New Roman" w:cs="Times New Roman"/>
                <w:color w:val="auto"/>
                <w:sz w:val="21"/>
                <w:szCs w:val="21"/>
              </w:rPr>
            </w:pPr>
            <w:r>
              <w:rPr>
                <w:rFonts w:ascii="Times New Roman" w:cs="Times New Roman"/>
                <w:color w:val="auto"/>
                <w:sz w:val="21"/>
                <w:szCs w:val="21"/>
              </w:rPr>
              <w:t>频次：一般情况下每10~15 分钟监测1次，随事故控制减弱， 适当减少监测频次；</w:t>
            </w:r>
          </w:p>
          <w:p>
            <w:pPr>
              <w:pStyle w:val="2"/>
              <w:jc w:val="both"/>
              <w:rPr>
                <w:rFonts w:ascii="Times New Roman" w:cs="Times New Roman"/>
                <w:color w:val="auto"/>
                <w:sz w:val="21"/>
                <w:szCs w:val="21"/>
              </w:rPr>
            </w:pPr>
            <w:r>
              <w:rPr>
                <w:rFonts w:ascii="Times New Roman" w:cs="Times New Roman"/>
                <w:color w:val="auto"/>
                <w:sz w:val="21"/>
                <w:szCs w:val="21"/>
              </w:rPr>
              <w:t>监测点位：事故发生点最近厂边界或上风向对照点，事故泄漏点下风向厂边界、下风向最近敏感保护目标处各设置1个监测点</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应急监测组</w:t>
            </w:r>
          </w:p>
        </w:tc>
        <w:tc>
          <w:tcPr>
            <w:tcW w:w="1751"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8"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后期处置</w:t>
            </w:r>
          </w:p>
        </w:tc>
        <w:tc>
          <w:tcPr>
            <w:tcW w:w="3758" w:type="dxa"/>
            <w:shd w:val="clear" w:color="auto" w:fill="auto"/>
            <w:vAlign w:val="center"/>
          </w:tcPr>
          <w:p>
            <w:pPr>
              <w:autoSpaceDE w:val="0"/>
              <w:autoSpaceDN w:val="0"/>
              <w:adjustRightInd w:val="0"/>
              <w:snapToGrid w:val="0"/>
              <w:jc w:val="left"/>
              <w:rPr>
                <w:szCs w:val="21"/>
              </w:rPr>
            </w:pPr>
            <w:r>
              <w:rPr>
                <w:szCs w:val="21"/>
              </w:rPr>
              <w:t>（1）若封闭系统或集气管道破裂，应立即对废气事故性排放点进行密封处理，上报企业应急领导小组，修复破裂管道；</w:t>
            </w:r>
          </w:p>
          <w:p>
            <w:pPr>
              <w:pStyle w:val="2"/>
              <w:jc w:val="both"/>
              <w:rPr>
                <w:rFonts w:ascii="Times New Roman" w:cs="Times New Roman"/>
                <w:color w:val="auto"/>
                <w:sz w:val="21"/>
                <w:szCs w:val="21"/>
              </w:rPr>
            </w:pPr>
            <w:r>
              <w:rPr>
                <w:rFonts w:ascii="Times New Roman" w:cs="Times New Roman"/>
                <w:color w:val="auto"/>
                <w:sz w:val="21"/>
                <w:szCs w:val="21"/>
              </w:rPr>
              <w:t>（2）</w:t>
            </w:r>
            <w:r>
              <w:rPr>
                <w:rFonts w:hint="eastAsia" w:ascii="Times New Roman" w:cs="Times New Roman"/>
                <w:color w:val="auto"/>
                <w:sz w:val="21"/>
                <w:szCs w:val="21"/>
                <w:lang w:eastAsia="zh-CN"/>
              </w:rPr>
              <w:t>废气</w:t>
            </w:r>
            <w:r>
              <w:rPr>
                <w:rFonts w:ascii="Times New Roman" w:cs="Times New Roman"/>
                <w:color w:val="auto"/>
                <w:sz w:val="21"/>
                <w:szCs w:val="21"/>
              </w:rPr>
              <w:t>设施出现故障时，应立即停止该所在车间的运行，并进行检修等；</w:t>
            </w:r>
          </w:p>
          <w:p>
            <w:pPr>
              <w:autoSpaceDE w:val="0"/>
              <w:autoSpaceDN w:val="0"/>
              <w:adjustRightInd w:val="0"/>
              <w:snapToGrid w:val="0"/>
              <w:jc w:val="left"/>
              <w:rPr>
                <w:szCs w:val="21"/>
              </w:rPr>
            </w:pPr>
            <w:r>
              <w:rPr>
                <w:szCs w:val="21"/>
              </w:rPr>
              <w:t>（3）当废气处理设施的风机出现故障时，应立即用备用风机更换故障风机，确保废气处理系统正常运行。</w:t>
            </w:r>
          </w:p>
        </w:tc>
        <w:tc>
          <w:tcPr>
            <w:tcW w:w="1560"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应急监测</w:t>
            </w:r>
            <w:r>
              <w:rPr>
                <w:rFonts w:ascii="Times New Roman" w:cs="Times New Roman"/>
                <w:color w:val="auto"/>
                <w:sz w:val="21"/>
                <w:szCs w:val="21"/>
              </w:rPr>
              <w:t>组</w:t>
            </w:r>
          </w:p>
          <w:p>
            <w:pPr>
              <w:pStyle w:val="2"/>
              <w:jc w:val="center"/>
              <w:rPr>
                <w:rFonts w:ascii="Times New Roman" w:cs="Times New Roman"/>
                <w:color w:val="auto"/>
                <w:sz w:val="21"/>
                <w:szCs w:val="21"/>
              </w:rPr>
            </w:pPr>
            <w:r>
              <w:rPr>
                <w:rFonts w:ascii="Times New Roman" w:cs="Times New Roman"/>
                <w:color w:val="auto"/>
                <w:sz w:val="21"/>
                <w:szCs w:val="21"/>
              </w:rPr>
              <w:t>后勤保障组</w:t>
            </w:r>
          </w:p>
        </w:tc>
        <w:tc>
          <w:tcPr>
            <w:tcW w:w="175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bl>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spacing w:before="120" w:beforeLines="50" w:line="360" w:lineRule="auto"/>
        <w:jc w:val="center"/>
        <w:rPr>
          <w:b/>
          <w:szCs w:val="21"/>
        </w:rPr>
      </w:pPr>
      <w:r>
        <w:rPr>
          <w:b/>
          <w:szCs w:val="21"/>
        </w:rPr>
        <w:t>表</w:t>
      </w:r>
      <w:r>
        <w:rPr>
          <w:rFonts w:hint="eastAsia"/>
          <w:b/>
          <w:szCs w:val="21"/>
          <w:lang w:val="en-US" w:eastAsia="zh-CN"/>
        </w:rPr>
        <w:t>4</w:t>
      </w:r>
      <w:r>
        <w:rPr>
          <w:b/>
          <w:szCs w:val="21"/>
        </w:rPr>
        <w:t xml:space="preserve">  </w:t>
      </w:r>
      <w:r>
        <w:rPr>
          <w:rFonts w:hint="eastAsia"/>
          <w:b/>
          <w:szCs w:val="21"/>
          <w:lang w:val="en-US" w:eastAsia="zh-CN"/>
        </w:rPr>
        <w:t>氨水储罐</w:t>
      </w:r>
      <w:r>
        <w:rPr>
          <w:b/>
          <w:szCs w:val="21"/>
        </w:rPr>
        <w:t>泄漏应急处置卡片（三级响应）</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9"/>
        <w:gridCol w:w="3603"/>
        <w:gridCol w:w="1554"/>
        <w:gridCol w:w="1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处置程序</w:t>
            </w:r>
          </w:p>
        </w:tc>
        <w:tc>
          <w:tcPr>
            <w:tcW w:w="360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应急处置措施</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责任岗位</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可利用应急资源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2"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事故情景</w:t>
            </w:r>
          </w:p>
        </w:tc>
        <w:tc>
          <w:tcPr>
            <w:tcW w:w="3603" w:type="dxa"/>
            <w:shd w:val="clear" w:color="auto" w:fill="auto"/>
            <w:vAlign w:val="center"/>
          </w:tcPr>
          <w:p>
            <w:pPr>
              <w:pStyle w:val="2"/>
              <w:jc w:val="both"/>
              <w:rPr>
                <w:rFonts w:ascii="Times New Roman" w:cs="Times New Roman"/>
                <w:color w:val="auto"/>
                <w:sz w:val="21"/>
                <w:szCs w:val="21"/>
              </w:rPr>
            </w:pPr>
            <w:r>
              <w:rPr>
                <w:rFonts w:hint="eastAsia" w:ascii="Times New Roman" w:cs="Times New Roman"/>
                <w:color w:val="auto"/>
                <w:sz w:val="21"/>
                <w:szCs w:val="21"/>
                <w:lang w:val="en-US" w:eastAsia="zh-CN"/>
              </w:rPr>
              <w:t>氨水储罐发生小量氨水泄漏</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c>
          <w:tcPr>
            <w:tcW w:w="1891" w:type="dxa"/>
            <w:shd w:val="clear" w:color="auto" w:fill="auto"/>
            <w:vAlign w:val="center"/>
          </w:tcPr>
          <w:p>
            <w:pPr>
              <w:pStyle w:val="2"/>
              <w:jc w:val="center"/>
              <w:rPr>
                <w:rFonts w:hint="eastAsia" w:ascii="Times New Roman" w:eastAsia="宋体" w:cs="Times New Roman"/>
                <w:color w:val="auto"/>
                <w:sz w:val="21"/>
                <w:szCs w:val="21"/>
                <w:lang w:val="en-US" w:eastAsia="zh-CN"/>
              </w:rPr>
            </w:pPr>
            <w:r>
              <w:rPr>
                <w:rFonts w:hint="eastAsia" w:ascii="Times New Roman"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2"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报警及预案启动</w:t>
            </w:r>
          </w:p>
        </w:tc>
        <w:tc>
          <w:tcPr>
            <w:tcW w:w="3603"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启动车间级应急预案</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应急领导小组</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7"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断源</w:t>
            </w:r>
          </w:p>
        </w:tc>
        <w:tc>
          <w:tcPr>
            <w:tcW w:w="3603" w:type="dxa"/>
            <w:shd w:val="clear" w:color="auto" w:fill="auto"/>
            <w:vAlign w:val="center"/>
          </w:tcPr>
          <w:p>
            <w:pPr>
              <w:pStyle w:val="2"/>
              <w:tabs>
                <w:tab w:val="left" w:pos="312"/>
              </w:tabs>
              <w:jc w:val="both"/>
              <w:rPr>
                <w:rFonts w:hint="default" w:ascii="Times New Roman" w:eastAsia="宋体" w:cs="Times New Roman"/>
                <w:color w:val="auto"/>
                <w:sz w:val="21"/>
                <w:szCs w:val="21"/>
                <w:lang w:val="en-US" w:eastAsia="zh-CN"/>
              </w:rPr>
            </w:pPr>
            <w:r>
              <w:rPr>
                <w:rFonts w:hint="eastAsia" w:ascii="Times New Roman" w:cs="Times New Roman"/>
                <w:color w:val="auto"/>
                <w:sz w:val="21"/>
                <w:szCs w:val="21"/>
                <w:lang w:val="en-US" w:eastAsia="zh-CN"/>
              </w:rPr>
              <w:t>对泄漏点进行封堵，关闭泄漏的阀门</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8"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截污</w:t>
            </w:r>
          </w:p>
        </w:tc>
        <w:tc>
          <w:tcPr>
            <w:tcW w:w="3603" w:type="dxa"/>
            <w:shd w:val="clear" w:color="auto" w:fill="auto"/>
            <w:vAlign w:val="center"/>
          </w:tcPr>
          <w:p>
            <w:pPr>
              <w:pStyle w:val="2"/>
              <w:rPr>
                <w:rFonts w:hint="default" w:ascii="Times New Roman" w:eastAsia="宋体" w:cs="Times New Roman"/>
                <w:color w:val="auto"/>
                <w:sz w:val="21"/>
                <w:szCs w:val="21"/>
                <w:lang w:val="en-US" w:eastAsia="zh-CN"/>
              </w:rPr>
            </w:pPr>
            <w:r>
              <w:rPr>
                <w:rFonts w:hint="eastAsia" w:ascii="Times New Roman" w:cs="Times New Roman"/>
                <w:color w:val="auto"/>
                <w:sz w:val="21"/>
                <w:szCs w:val="21"/>
                <w:lang w:val="en-US" w:eastAsia="zh-CN"/>
              </w:rPr>
              <w:t>氨水被截留在围堰内</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tc>
        <w:tc>
          <w:tcPr>
            <w:tcW w:w="1891" w:type="dxa"/>
            <w:shd w:val="clear" w:color="auto" w:fill="auto"/>
            <w:vAlign w:val="center"/>
          </w:tcPr>
          <w:p>
            <w:pPr>
              <w:pStyle w:val="2"/>
              <w:jc w:val="center"/>
              <w:rPr>
                <w:rFonts w:ascii="Times New Roman" w:cs="Times New Roman"/>
                <w:color w:val="auto"/>
                <w:kern w:val="0"/>
                <w:sz w:val="21"/>
                <w:szCs w:val="21"/>
              </w:rPr>
            </w:pPr>
            <w:r>
              <w:rPr>
                <w:rFonts w:hint="eastAsia" w:ascii="Times New Roman" w:cs="Times New Roman"/>
                <w:color w:val="auto"/>
                <w:sz w:val="21"/>
                <w:szCs w:val="21"/>
                <w:lang w:val="en-US" w:eastAsia="zh-CN" w:bidi="ar"/>
              </w:rPr>
              <w:t>围堰</w:t>
            </w:r>
            <w:r>
              <w:rPr>
                <w:rFonts w:ascii="Times New Roman" w:cs="Times New Roman"/>
                <w:color w:val="auto"/>
                <w:sz w:val="21"/>
                <w:szCs w:val="21"/>
                <w:lang w:bidi="ar"/>
              </w:rPr>
              <w:t>、吸油毡等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6"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消污</w:t>
            </w:r>
          </w:p>
        </w:tc>
        <w:tc>
          <w:tcPr>
            <w:tcW w:w="3603" w:type="dxa"/>
            <w:shd w:val="clear" w:color="auto" w:fill="auto"/>
            <w:vAlign w:val="center"/>
          </w:tcPr>
          <w:p>
            <w:pPr>
              <w:pStyle w:val="2"/>
              <w:tabs>
                <w:tab w:val="left" w:pos="312"/>
              </w:tabs>
              <w:rPr>
                <w:rFonts w:hint="default" w:ascii="Times New Roman" w:eastAsia="宋体" w:cs="Times New Roman"/>
                <w:color w:val="auto"/>
                <w:sz w:val="21"/>
                <w:szCs w:val="21"/>
                <w:lang w:val="en-US" w:eastAsia="zh-CN"/>
              </w:rPr>
            </w:pPr>
            <w:r>
              <w:rPr>
                <w:rFonts w:hint="eastAsia" w:ascii="Times New Roman" w:cs="Times New Roman"/>
                <w:color w:val="auto"/>
                <w:sz w:val="21"/>
                <w:szCs w:val="21"/>
                <w:lang w:val="en-US" w:eastAsia="zh-CN"/>
              </w:rPr>
              <w:t>将泄漏的氨水收集到密闭容器中重新利用</w:t>
            </w:r>
          </w:p>
        </w:tc>
        <w:tc>
          <w:tcPr>
            <w:tcW w:w="1554"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应急监测</w:t>
            </w:r>
            <w:r>
              <w:rPr>
                <w:rFonts w:ascii="Times New Roman" w:cs="Times New Roman"/>
                <w:color w:val="auto"/>
                <w:sz w:val="21"/>
                <w:szCs w:val="21"/>
              </w:rPr>
              <w:t>组</w:t>
            </w:r>
          </w:p>
        </w:tc>
        <w:tc>
          <w:tcPr>
            <w:tcW w:w="1891" w:type="dxa"/>
            <w:shd w:val="clear" w:color="auto" w:fill="auto"/>
            <w:vAlign w:val="center"/>
          </w:tcPr>
          <w:p>
            <w:pPr>
              <w:pStyle w:val="2"/>
              <w:jc w:val="center"/>
              <w:rPr>
                <w:rFonts w:hint="default" w:ascii="Times New Roman" w:eastAsia="宋体" w:cs="Times New Roman"/>
                <w:color w:val="auto"/>
                <w:kern w:val="0"/>
                <w:sz w:val="21"/>
                <w:szCs w:val="21"/>
                <w:lang w:val="en-US" w:eastAsia="zh-CN"/>
              </w:rPr>
            </w:pPr>
            <w:r>
              <w:rPr>
                <w:rFonts w:hint="eastAsia" w:ascii="Times New Roman" w:cs="Times New Roman"/>
                <w:color w:val="auto"/>
                <w:kern w:val="0"/>
                <w:sz w:val="21"/>
                <w:szCs w:val="21"/>
                <w:lang w:val="en-US" w:eastAsia="zh-CN"/>
              </w:rPr>
              <w:t>空桶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监测</w:t>
            </w:r>
          </w:p>
        </w:tc>
        <w:tc>
          <w:tcPr>
            <w:tcW w:w="3603" w:type="dxa"/>
            <w:shd w:val="clear" w:color="auto" w:fill="auto"/>
            <w:vAlign w:val="center"/>
          </w:tcPr>
          <w:p>
            <w:pPr>
              <w:pStyle w:val="2"/>
              <w:jc w:val="both"/>
              <w:rPr>
                <w:rStyle w:val="92"/>
                <w:rFonts w:hint="default" w:ascii="Times New Roman" w:eastAsia="宋体" w:cs="Times New Roman"/>
                <w:color w:val="auto"/>
                <w:sz w:val="21"/>
                <w:szCs w:val="21"/>
                <w:lang w:val="en-US" w:eastAsia="zh-CN" w:bidi="ar"/>
              </w:rPr>
            </w:pPr>
            <w:r>
              <w:rPr>
                <w:rStyle w:val="92"/>
                <w:rFonts w:hint="eastAsia" w:ascii="Times New Roman" w:cs="Times New Roman"/>
                <w:color w:val="auto"/>
                <w:sz w:val="21"/>
                <w:szCs w:val="21"/>
                <w:lang w:val="en-US" w:eastAsia="zh-CN" w:bidi="ar"/>
              </w:rPr>
              <w:t>小量泄漏，对环境影响较小，无需检测</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应急监测组</w:t>
            </w:r>
          </w:p>
        </w:tc>
        <w:tc>
          <w:tcPr>
            <w:tcW w:w="1891"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2"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后期处置</w:t>
            </w:r>
          </w:p>
        </w:tc>
        <w:tc>
          <w:tcPr>
            <w:tcW w:w="3603" w:type="dxa"/>
            <w:shd w:val="clear" w:color="auto" w:fill="auto"/>
            <w:vAlign w:val="center"/>
          </w:tcPr>
          <w:p>
            <w:pPr>
              <w:pStyle w:val="2"/>
              <w:jc w:val="both"/>
              <w:rPr>
                <w:rFonts w:ascii="Times New Roman" w:cs="Times New Roman"/>
                <w:color w:val="auto"/>
              </w:rPr>
            </w:pPr>
            <w:r>
              <w:rPr>
                <w:rFonts w:ascii="Times New Roman" w:cs="Times New Roman"/>
                <w:color w:val="auto"/>
                <w:sz w:val="21"/>
                <w:szCs w:val="21"/>
              </w:rPr>
              <w:t>补充应急物资</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p>
            <w:pPr>
              <w:pStyle w:val="2"/>
              <w:jc w:val="center"/>
              <w:rPr>
                <w:rFonts w:ascii="Times New Roman" w:cs="Times New Roman"/>
                <w:color w:val="auto"/>
                <w:sz w:val="21"/>
                <w:szCs w:val="21"/>
              </w:rPr>
            </w:pPr>
            <w:r>
              <w:rPr>
                <w:rFonts w:ascii="Times New Roman" w:cs="Times New Roman"/>
                <w:color w:val="auto"/>
                <w:sz w:val="21"/>
                <w:szCs w:val="21"/>
              </w:rPr>
              <w:t>后勤保障组</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8497" w:type="dxa"/>
            <w:gridSpan w:val="4"/>
            <w:shd w:val="clear" w:color="auto" w:fill="auto"/>
          </w:tcPr>
          <w:p>
            <w:pPr>
              <w:pStyle w:val="2"/>
              <w:spacing w:before="120" w:beforeLines="50" w:line="360" w:lineRule="auto"/>
              <w:jc w:val="both"/>
              <w:rPr>
                <w:rFonts w:ascii="Times New Roman" w:cs="Times New Roman"/>
                <w:color w:val="auto"/>
                <w:sz w:val="21"/>
                <w:szCs w:val="21"/>
              </w:rPr>
            </w:pPr>
            <w:r>
              <w:rPr>
                <w:rFonts w:ascii="Times New Roman" w:cs="Times New Roman"/>
                <w:color w:val="auto"/>
                <w:sz w:val="21"/>
                <w:szCs w:val="21"/>
              </w:rPr>
              <w:t>注意事项：穿戴防护手套、防护目镜、防护鞋、口罩等</w:t>
            </w:r>
          </w:p>
        </w:tc>
      </w:tr>
    </w:tbl>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pStyle w:val="2"/>
        <w:rPr>
          <w:rFonts w:ascii="Times New Roman" w:cs="Times New Roman"/>
          <w:color w:val="auto"/>
        </w:rPr>
      </w:pPr>
    </w:p>
    <w:p>
      <w:pPr>
        <w:spacing w:before="120" w:beforeLines="50" w:line="360" w:lineRule="auto"/>
        <w:jc w:val="center"/>
        <w:rPr>
          <w:b/>
          <w:szCs w:val="21"/>
        </w:rPr>
      </w:pPr>
      <w:r>
        <w:rPr>
          <w:b/>
          <w:szCs w:val="21"/>
        </w:rPr>
        <w:t>表</w:t>
      </w:r>
      <w:r>
        <w:rPr>
          <w:rFonts w:hint="eastAsia"/>
          <w:b/>
          <w:szCs w:val="21"/>
          <w:lang w:val="en-US" w:eastAsia="zh-CN"/>
        </w:rPr>
        <w:t>5</w:t>
      </w:r>
      <w:r>
        <w:rPr>
          <w:b/>
          <w:szCs w:val="21"/>
        </w:rPr>
        <w:t xml:space="preserve">  </w:t>
      </w:r>
      <w:r>
        <w:rPr>
          <w:rFonts w:hint="eastAsia"/>
          <w:b/>
          <w:szCs w:val="21"/>
          <w:lang w:val="en-US" w:eastAsia="zh-CN"/>
        </w:rPr>
        <w:t>氨水</w:t>
      </w:r>
      <w:r>
        <w:rPr>
          <w:b/>
          <w:szCs w:val="21"/>
        </w:rPr>
        <w:t>泄漏应急处置卡片（二响应）</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9"/>
        <w:gridCol w:w="3603"/>
        <w:gridCol w:w="1554"/>
        <w:gridCol w:w="1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处置程序</w:t>
            </w:r>
          </w:p>
        </w:tc>
        <w:tc>
          <w:tcPr>
            <w:tcW w:w="360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应急处置措施</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责任岗位</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可利用应急资源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72"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事故情景</w:t>
            </w:r>
          </w:p>
        </w:tc>
        <w:tc>
          <w:tcPr>
            <w:tcW w:w="3603" w:type="dxa"/>
            <w:shd w:val="clear" w:color="auto" w:fill="auto"/>
            <w:vAlign w:val="center"/>
          </w:tcPr>
          <w:p>
            <w:pPr>
              <w:pStyle w:val="2"/>
              <w:jc w:val="both"/>
              <w:rPr>
                <w:rFonts w:ascii="Times New Roman" w:cs="Times New Roman"/>
                <w:color w:val="auto"/>
                <w:sz w:val="21"/>
                <w:szCs w:val="21"/>
              </w:rPr>
            </w:pPr>
            <w:r>
              <w:rPr>
                <w:rFonts w:hint="eastAsia" w:ascii="Times New Roman" w:cs="Times New Roman"/>
                <w:color w:val="auto"/>
                <w:sz w:val="21"/>
                <w:szCs w:val="21"/>
                <w:lang w:val="en-US" w:eastAsia="zh-CN"/>
              </w:rPr>
              <w:t>氨水储罐大量</w:t>
            </w:r>
            <w:r>
              <w:rPr>
                <w:rFonts w:ascii="Times New Roman" w:cs="Times New Roman"/>
                <w:color w:val="auto"/>
                <w:sz w:val="21"/>
                <w:szCs w:val="21"/>
              </w:rPr>
              <w:t>泄漏，</w:t>
            </w:r>
            <w:r>
              <w:rPr>
                <w:rFonts w:hint="eastAsia" w:ascii="Times New Roman" w:cs="Times New Roman"/>
                <w:color w:val="auto"/>
                <w:sz w:val="21"/>
                <w:szCs w:val="21"/>
              </w:rPr>
              <w:t>泄漏</w:t>
            </w:r>
            <w:r>
              <w:rPr>
                <w:rFonts w:ascii="Times New Roman" w:cs="Times New Roman"/>
                <w:color w:val="auto"/>
                <w:sz w:val="21"/>
                <w:szCs w:val="21"/>
              </w:rPr>
              <w:t>物进入</w:t>
            </w:r>
            <w:r>
              <w:rPr>
                <w:rFonts w:hint="eastAsia" w:ascii="Times New Roman" w:cs="Times New Roman"/>
                <w:color w:val="auto"/>
                <w:sz w:val="21"/>
                <w:szCs w:val="21"/>
                <w:lang w:val="en-US" w:eastAsia="zh-CN"/>
              </w:rPr>
              <w:t>围堰和雨水管网</w:t>
            </w:r>
            <w:r>
              <w:rPr>
                <w:rFonts w:ascii="Times New Roman" w:cs="Times New Roman"/>
                <w:color w:val="auto"/>
                <w:sz w:val="21"/>
                <w:szCs w:val="21"/>
              </w:rPr>
              <w:t>，但未对厂外环境造成影响</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c>
          <w:tcPr>
            <w:tcW w:w="1891" w:type="dxa"/>
            <w:shd w:val="clear" w:color="auto" w:fill="auto"/>
            <w:vAlign w:val="center"/>
          </w:tcPr>
          <w:p>
            <w:pPr>
              <w:pStyle w:val="2"/>
              <w:jc w:val="center"/>
              <w:rPr>
                <w:rFonts w:hint="eastAsia" w:ascii="Times New Roman" w:eastAsia="宋体" w:cs="Times New Roman"/>
                <w:color w:val="auto"/>
                <w:sz w:val="21"/>
                <w:szCs w:val="21"/>
                <w:lang w:val="en-US" w:eastAsia="zh-CN"/>
              </w:rPr>
            </w:pPr>
            <w:r>
              <w:rPr>
                <w:rFonts w:hint="eastAsia" w:ascii="Times New Roman"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2"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报警及预案启动</w:t>
            </w:r>
          </w:p>
        </w:tc>
        <w:tc>
          <w:tcPr>
            <w:tcW w:w="3603"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启动厂区级应急预案</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应急领导小组</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断源</w:t>
            </w:r>
          </w:p>
        </w:tc>
        <w:tc>
          <w:tcPr>
            <w:tcW w:w="3603" w:type="dxa"/>
            <w:shd w:val="clear" w:color="auto" w:fill="auto"/>
            <w:vAlign w:val="center"/>
          </w:tcPr>
          <w:p>
            <w:pPr>
              <w:pStyle w:val="2"/>
              <w:tabs>
                <w:tab w:val="left" w:pos="312"/>
              </w:tabs>
              <w:jc w:val="both"/>
              <w:rPr>
                <w:rFonts w:hint="default" w:ascii="Times New Roman" w:eastAsia="宋体" w:cs="Times New Roman"/>
                <w:color w:val="auto"/>
                <w:sz w:val="21"/>
                <w:szCs w:val="21"/>
                <w:lang w:val="en-US" w:eastAsia="zh-CN"/>
              </w:rPr>
            </w:pPr>
            <w:r>
              <w:rPr>
                <w:rFonts w:hint="eastAsia" w:ascii="Times New Roman" w:cs="Times New Roman"/>
                <w:color w:val="auto"/>
                <w:sz w:val="21"/>
                <w:szCs w:val="21"/>
                <w:lang w:val="en-US" w:eastAsia="zh-CN"/>
              </w:rPr>
              <w:t>对泄漏点进行封堵，关闭泄漏的阀门</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tc>
        <w:tc>
          <w:tcPr>
            <w:tcW w:w="1891" w:type="dxa"/>
            <w:shd w:val="clear" w:color="auto" w:fill="auto"/>
            <w:vAlign w:val="center"/>
          </w:tcPr>
          <w:p>
            <w:pPr>
              <w:pStyle w:val="2"/>
              <w:jc w:val="center"/>
              <w:rPr>
                <w:rFonts w:hint="eastAsia" w:ascii="Times New Roman" w:eastAsia="宋体" w:cs="Times New Roman"/>
                <w:color w:val="auto"/>
                <w:sz w:val="21"/>
                <w:szCs w:val="21"/>
                <w:lang w:val="en-US" w:eastAsia="zh-CN"/>
              </w:rPr>
            </w:pPr>
            <w:r>
              <w:rPr>
                <w:rFonts w:hint="eastAsia" w:ascii="Times New Roman"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92"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截污</w:t>
            </w:r>
          </w:p>
        </w:tc>
        <w:tc>
          <w:tcPr>
            <w:tcW w:w="3603" w:type="dxa"/>
            <w:shd w:val="clear" w:color="auto" w:fill="auto"/>
            <w:vAlign w:val="center"/>
          </w:tcPr>
          <w:p>
            <w:pPr>
              <w:pStyle w:val="2"/>
              <w:rPr>
                <w:rFonts w:hint="default" w:ascii="Times New Roman" w:eastAsia="宋体" w:cs="Times New Roman"/>
                <w:color w:val="auto"/>
                <w:sz w:val="21"/>
                <w:szCs w:val="21"/>
                <w:lang w:val="en-US" w:eastAsia="zh-CN"/>
              </w:rPr>
            </w:pPr>
            <w:r>
              <w:rPr>
                <w:rFonts w:hint="eastAsia" w:ascii="Times New Roman" w:cs="Times New Roman"/>
                <w:color w:val="auto"/>
                <w:sz w:val="21"/>
                <w:szCs w:val="21"/>
                <w:lang w:val="en-US" w:eastAsia="zh-CN"/>
              </w:rPr>
              <w:t>泄漏的氨水被围堰截留，关闭雨水排放口阀门，将进入雨水管网的氨水排入事故应急池</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tc>
        <w:tc>
          <w:tcPr>
            <w:tcW w:w="1891" w:type="dxa"/>
            <w:shd w:val="clear" w:color="auto" w:fill="auto"/>
            <w:vAlign w:val="center"/>
          </w:tcPr>
          <w:p>
            <w:pPr>
              <w:pStyle w:val="2"/>
              <w:jc w:val="center"/>
              <w:rPr>
                <w:rFonts w:hint="default" w:ascii="Times New Roman" w:eastAsia="宋体" w:cs="Times New Roman"/>
                <w:color w:val="auto"/>
                <w:kern w:val="0"/>
                <w:sz w:val="21"/>
                <w:szCs w:val="21"/>
                <w:lang w:val="en-US" w:eastAsia="zh-CN"/>
              </w:rPr>
            </w:pPr>
            <w:r>
              <w:rPr>
                <w:rFonts w:hint="eastAsia" w:ascii="Times New Roman" w:cs="Times New Roman"/>
                <w:color w:val="auto"/>
                <w:kern w:val="0"/>
                <w:sz w:val="21"/>
                <w:szCs w:val="21"/>
                <w:lang w:val="en-US" w:eastAsia="zh-CN"/>
              </w:rPr>
              <w:t>围堰、沉淀池、事故应急池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1"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消污</w:t>
            </w:r>
          </w:p>
        </w:tc>
        <w:tc>
          <w:tcPr>
            <w:tcW w:w="3603" w:type="dxa"/>
            <w:shd w:val="clear" w:color="auto" w:fill="auto"/>
            <w:vAlign w:val="center"/>
          </w:tcPr>
          <w:p>
            <w:pPr>
              <w:pStyle w:val="2"/>
              <w:tabs>
                <w:tab w:val="left" w:pos="312"/>
              </w:tabs>
              <w:rPr>
                <w:rFonts w:ascii="Times New Roman" w:cs="Times New Roman"/>
                <w:color w:val="auto"/>
                <w:sz w:val="21"/>
                <w:szCs w:val="21"/>
              </w:rPr>
            </w:pPr>
          </w:p>
          <w:p>
            <w:pPr>
              <w:pStyle w:val="2"/>
              <w:tabs>
                <w:tab w:val="left" w:pos="312"/>
              </w:tabs>
              <w:rPr>
                <w:rFonts w:hint="default" w:ascii="Times New Roman" w:eastAsia="宋体" w:cs="Times New Roman"/>
                <w:color w:val="auto"/>
                <w:sz w:val="21"/>
                <w:szCs w:val="21"/>
                <w:lang w:val="en-US" w:eastAsia="zh-CN"/>
              </w:rPr>
            </w:pPr>
            <w:r>
              <w:rPr>
                <w:rFonts w:hint="eastAsia" w:ascii="Times New Roman" w:cs="Times New Roman"/>
                <w:color w:val="auto"/>
                <w:sz w:val="21"/>
                <w:szCs w:val="21"/>
                <w:lang w:val="en-US" w:eastAsia="zh-CN"/>
              </w:rPr>
              <w:t>将围堰内泄露的氨水重新收集到密闭容器中，作为废气处理药剂使用；收集后对围堰进行洗消，洗消废水进入事故应急池</w:t>
            </w:r>
          </w:p>
          <w:p>
            <w:pPr>
              <w:pStyle w:val="2"/>
              <w:tabs>
                <w:tab w:val="left" w:pos="312"/>
              </w:tabs>
              <w:rPr>
                <w:rFonts w:hint="eastAsia" w:ascii="Times New Roman" w:eastAsia="宋体" w:cs="Times New Roman"/>
                <w:color w:val="auto"/>
                <w:sz w:val="21"/>
                <w:szCs w:val="21"/>
                <w:lang w:eastAsia="zh-CN"/>
              </w:rPr>
            </w:pPr>
          </w:p>
        </w:tc>
        <w:tc>
          <w:tcPr>
            <w:tcW w:w="1554"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应急监测</w:t>
            </w:r>
            <w:r>
              <w:rPr>
                <w:rFonts w:ascii="Times New Roman" w:cs="Times New Roman"/>
                <w:color w:val="auto"/>
                <w:sz w:val="21"/>
                <w:szCs w:val="21"/>
              </w:rPr>
              <w:t>组</w:t>
            </w:r>
          </w:p>
        </w:tc>
        <w:tc>
          <w:tcPr>
            <w:tcW w:w="1891" w:type="dxa"/>
            <w:shd w:val="clear" w:color="auto" w:fill="auto"/>
            <w:vAlign w:val="center"/>
          </w:tcPr>
          <w:p>
            <w:pPr>
              <w:pStyle w:val="2"/>
              <w:jc w:val="center"/>
              <w:rPr>
                <w:rFonts w:hint="default" w:ascii="Times New Roman" w:eastAsia="宋体" w:cs="Times New Roman"/>
                <w:color w:val="auto"/>
                <w:kern w:val="0"/>
                <w:sz w:val="21"/>
                <w:szCs w:val="21"/>
                <w:lang w:val="en-US" w:eastAsia="zh-CN"/>
              </w:rPr>
            </w:pPr>
            <w:r>
              <w:rPr>
                <w:rFonts w:hint="eastAsia" w:ascii="Times New Roman" w:cs="Times New Roman"/>
                <w:color w:val="auto"/>
                <w:kern w:val="0"/>
                <w:sz w:val="21"/>
                <w:szCs w:val="21"/>
                <w:lang w:val="en-US" w:eastAsia="zh-CN"/>
              </w:rPr>
              <w:t>雨水阀、沉淀池、事故应急池、抽水泵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3"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监测</w:t>
            </w:r>
          </w:p>
        </w:tc>
        <w:tc>
          <w:tcPr>
            <w:tcW w:w="3603"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根据已经制定好的应急监测方案，聘请第三方检测单位进行检测；</w:t>
            </w:r>
          </w:p>
          <w:p>
            <w:pPr>
              <w:pStyle w:val="2"/>
              <w:jc w:val="both"/>
              <w:rPr>
                <w:rFonts w:ascii="Times New Roman" w:cs="Times New Roman"/>
                <w:color w:val="auto"/>
                <w:sz w:val="21"/>
                <w:szCs w:val="21"/>
              </w:rPr>
            </w:pPr>
            <w:r>
              <w:rPr>
                <w:rFonts w:ascii="Times New Roman" w:cs="Times New Roman"/>
                <w:color w:val="auto"/>
                <w:sz w:val="21"/>
                <w:szCs w:val="21"/>
              </w:rPr>
              <w:t>监测因子：根据泄漏物质选定；</w:t>
            </w:r>
          </w:p>
          <w:p>
            <w:pPr>
              <w:pStyle w:val="2"/>
              <w:jc w:val="both"/>
              <w:rPr>
                <w:rStyle w:val="92"/>
                <w:rFonts w:hint="default" w:ascii="Times New Roman" w:cs="Times New Roman"/>
                <w:color w:val="auto"/>
                <w:sz w:val="21"/>
                <w:szCs w:val="21"/>
                <w:lang w:bidi="ar"/>
              </w:rPr>
            </w:pPr>
            <w:r>
              <w:rPr>
                <w:rFonts w:ascii="Times New Roman" w:cs="Times New Roman"/>
                <w:color w:val="auto"/>
                <w:sz w:val="21"/>
                <w:szCs w:val="21"/>
              </w:rPr>
              <w:t>频次：</w:t>
            </w:r>
            <w:r>
              <w:rPr>
                <w:rStyle w:val="92"/>
                <w:rFonts w:hint="default" w:ascii="Times New Roman" w:cs="Times New Roman"/>
                <w:color w:val="auto"/>
                <w:sz w:val="21"/>
                <w:szCs w:val="21"/>
                <w:lang w:bidi="ar"/>
              </w:rPr>
              <w:t>一般情况</w:t>
            </w:r>
            <w:r>
              <w:rPr>
                <w:rStyle w:val="90"/>
                <w:b w:val="0"/>
                <w:color w:val="auto"/>
                <w:szCs w:val="21"/>
                <w:lang w:bidi="ar"/>
              </w:rPr>
              <w:t>1</w:t>
            </w:r>
            <w:r>
              <w:rPr>
                <w:rStyle w:val="92"/>
                <w:rFonts w:hint="default" w:ascii="Times New Roman" w:cs="Times New Roman"/>
                <w:color w:val="auto"/>
                <w:sz w:val="21"/>
                <w:szCs w:val="21"/>
                <w:lang w:bidi="ar"/>
              </w:rPr>
              <w:t>次</w:t>
            </w:r>
            <w:r>
              <w:rPr>
                <w:rStyle w:val="90"/>
                <w:b w:val="0"/>
                <w:color w:val="auto"/>
                <w:szCs w:val="21"/>
                <w:lang w:bidi="ar"/>
              </w:rPr>
              <w:t>/2h</w:t>
            </w:r>
            <w:r>
              <w:rPr>
                <w:rStyle w:val="92"/>
                <w:rFonts w:hint="default" w:ascii="Times New Roman" w:cs="Times New Roman"/>
                <w:color w:val="auto"/>
                <w:sz w:val="21"/>
                <w:szCs w:val="21"/>
                <w:lang w:bidi="ar"/>
              </w:rPr>
              <w:t>，随事故影响减弱， 适当减少监测频次；</w:t>
            </w:r>
          </w:p>
          <w:p>
            <w:pPr>
              <w:pStyle w:val="2"/>
              <w:jc w:val="both"/>
              <w:rPr>
                <w:rStyle w:val="92"/>
                <w:rFonts w:hint="default" w:ascii="Times New Roman" w:cs="Times New Roman"/>
                <w:color w:val="auto"/>
                <w:sz w:val="21"/>
                <w:szCs w:val="21"/>
                <w:lang w:bidi="ar"/>
              </w:rPr>
            </w:pPr>
            <w:r>
              <w:rPr>
                <w:rStyle w:val="92"/>
                <w:rFonts w:hint="default" w:ascii="Times New Roman" w:cs="Times New Roman"/>
                <w:color w:val="auto"/>
                <w:sz w:val="21"/>
                <w:szCs w:val="21"/>
                <w:lang w:bidi="ar"/>
              </w:rPr>
              <w:t>监测点位：事故泄漏点最近厂边界或上风向对照点，事故泄漏点下风向厂边界、下风向最近敏感保护目标处各设置1个监测点</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应急监测组</w:t>
            </w:r>
          </w:p>
        </w:tc>
        <w:tc>
          <w:tcPr>
            <w:tcW w:w="1891"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2"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后期处置</w:t>
            </w:r>
          </w:p>
        </w:tc>
        <w:tc>
          <w:tcPr>
            <w:tcW w:w="3603" w:type="dxa"/>
            <w:shd w:val="clear" w:color="auto" w:fill="auto"/>
            <w:vAlign w:val="center"/>
          </w:tcPr>
          <w:p>
            <w:pPr>
              <w:pStyle w:val="2"/>
              <w:jc w:val="both"/>
              <w:rPr>
                <w:rFonts w:ascii="Times New Roman" w:cs="Times New Roman"/>
                <w:color w:val="auto"/>
              </w:rPr>
            </w:pPr>
            <w:r>
              <w:rPr>
                <w:rFonts w:ascii="Times New Roman" w:cs="Times New Roman"/>
                <w:color w:val="auto"/>
                <w:sz w:val="21"/>
                <w:szCs w:val="21"/>
              </w:rPr>
              <w:t>补充应急物资</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p>
            <w:pPr>
              <w:pStyle w:val="2"/>
              <w:jc w:val="center"/>
              <w:rPr>
                <w:rFonts w:ascii="Times New Roman" w:cs="Times New Roman"/>
                <w:color w:val="auto"/>
                <w:sz w:val="21"/>
                <w:szCs w:val="21"/>
              </w:rPr>
            </w:pPr>
            <w:r>
              <w:rPr>
                <w:rFonts w:ascii="Times New Roman" w:cs="Times New Roman"/>
                <w:color w:val="auto"/>
                <w:sz w:val="21"/>
                <w:szCs w:val="21"/>
              </w:rPr>
              <w:t>后勤保障组</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8497" w:type="dxa"/>
            <w:gridSpan w:val="4"/>
            <w:shd w:val="clear" w:color="auto" w:fill="auto"/>
          </w:tcPr>
          <w:p>
            <w:pPr>
              <w:pStyle w:val="2"/>
              <w:spacing w:before="120" w:beforeLines="50" w:line="360" w:lineRule="auto"/>
              <w:jc w:val="both"/>
              <w:rPr>
                <w:rFonts w:ascii="Times New Roman" w:cs="Times New Roman"/>
                <w:color w:val="auto"/>
                <w:sz w:val="21"/>
                <w:szCs w:val="21"/>
              </w:rPr>
            </w:pPr>
            <w:r>
              <w:rPr>
                <w:rFonts w:ascii="Times New Roman" w:cs="Times New Roman"/>
                <w:color w:val="auto"/>
                <w:sz w:val="21"/>
                <w:szCs w:val="21"/>
              </w:rPr>
              <w:t>注意事项：穿戴防护手套、防护目镜、防护鞋、口罩等</w:t>
            </w:r>
          </w:p>
        </w:tc>
      </w:tr>
    </w:tbl>
    <w:p>
      <w:pPr>
        <w:spacing w:before="120" w:beforeLines="50" w:line="360" w:lineRule="auto"/>
        <w:jc w:val="center"/>
        <w:rPr>
          <w:b/>
          <w:szCs w:val="21"/>
        </w:rPr>
      </w:pPr>
    </w:p>
    <w:p>
      <w:pPr>
        <w:spacing w:before="120" w:beforeLines="50" w:line="360" w:lineRule="auto"/>
        <w:jc w:val="center"/>
        <w:rPr>
          <w:b/>
          <w:szCs w:val="21"/>
        </w:rPr>
      </w:pPr>
    </w:p>
    <w:p>
      <w:pPr>
        <w:spacing w:before="120" w:beforeLines="50" w:line="360" w:lineRule="auto"/>
        <w:jc w:val="center"/>
        <w:rPr>
          <w:b/>
          <w:szCs w:val="21"/>
        </w:rPr>
      </w:pPr>
    </w:p>
    <w:p>
      <w:pPr>
        <w:spacing w:before="120" w:beforeLines="50" w:line="360" w:lineRule="auto"/>
        <w:jc w:val="center"/>
        <w:rPr>
          <w:b/>
          <w:szCs w:val="21"/>
        </w:rPr>
      </w:pPr>
      <w:r>
        <w:rPr>
          <w:b/>
          <w:szCs w:val="21"/>
        </w:rPr>
        <w:t>表</w:t>
      </w:r>
      <w:r>
        <w:rPr>
          <w:rFonts w:hint="eastAsia"/>
          <w:b/>
          <w:szCs w:val="21"/>
          <w:lang w:val="en-US" w:eastAsia="zh-CN"/>
        </w:rPr>
        <w:t>6</w:t>
      </w:r>
      <w:r>
        <w:rPr>
          <w:b/>
          <w:szCs w:val="21"/>
        </w:rPr>
        <w:t xml:space="preserve"> </w:t>
      </w:r>
      <w:r>
        <w:rPr>
          <w:rFonts w:hint="eastAsia"/>
          <w:b/>
          <w:szCs w:val="21"/>
          <w:lang w:val="en-US" w:eastAsia="zh-CN"/>
        </w:rPr>
        <w:t xml:space="preserve"> 仓库</w:t>
      </w:r>
      <w:r>
        <w:rPr>
          <w:b/>
          <w:szCs w:val="21"/>
        </w:rPr>
        <w:t>危险化学品泄漏应急处置卡片（三级响应）</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9"/>
        <w:gridCol w:w="3603"/>
        <w:gridCol w:w="1554"/>
        <w:gridCol w:w="1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处置程序</w:t>
            </w:r>
          </w:p>
        </w:tc>
        <w:tc>
          <w:tcPr>
            <w:tcW w:w="360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应急处置措施</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责任岗位</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可利用应急资源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事故情景</w:t>
            </w:r>
          </w:p>
        </w:tc>
        <w:tc>
          <w:tcPr>
            <w:tcW w:w="3603" w:type="dxa"/>
            <w:shd w:val="clear" w:color="auto" w:fill="auto"/>
            <w:vAlign w:val="center"/>
          </w:tcPr>
          <w:p>
            <w:pPr>
              <w:pStyle w:val="2"/>
              <w:jc w:val="both"/>
              <w:rPr>
                <w:rFonts w:hint="default" w:ascii="Times New Roman" w:eastAsia="宋体" w:cs="Times New Roman"/>
                <w:color w:val="auto"/>
                <w:sz w:val="21"/>
                <w:szCs w:val="21"/>
                <w:lang w:val="en-US" w:eastAsia="zh-CN"/>
              </w:rPr>
            </w:pPr>
            <w:r>
              <w:rPr>
                <w:rFonts w:ascii="Times New Roman" w:cs="Times New Roman"/>
                <w:color w:val="auto"/>
                <w:sz w:val="21"/>
                <w:szCs w:val="21"/>
              </w:rPr>
              <w:t>仓库危险化学品泄漏，</w:t>
            </w:r>
            <w:r>
              <w:rPr>
                <w:rFonts w:hint="eastAsia" w:ascii="Times New Roman" w:cs="Times New Roman"/>
                <w:color w:val="auto"/>
                <w:sz w:val="21"/>
                <w:szCs w:val="21"/>
                <w:lang w:val="en-US" w:eastAsia="zh-CN"/>
              </w:rPr>
              <w:t>泄露物在车间范围</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lang w:bidi="ar"/>
              </w:rPr>
              <w:t>消防沙、吸油毡等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2"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报警及预案启动</w:t>
            </w:r>
          </w:p>
        </w:tc>
        <w:tc>
          <w:tcPr>
            <w:tcW w:w="3603"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启动车间级应急预案</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应急领导小组</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断源</w:t>
            </w:r>
          </w:p>
        </w:tc>
        <w:tc>
          <w:tcPr>
            <w:tcW w:w="3603" w:type="dxa"/>
            <w:shd w:val="clear" w:color="auto" w:fill="auto"/>
            <w:vAlign w:val="center"/>
          </w:tcPr>
          <w:p>
            <w:pPr>
              <w:pStyle w:val="2"/>
              <w:tabs>
                <w:tab w:val="left" w:pos="312"/>
              </w:tabs>
              <w:jc w:val="both"/>
              <w:rPr>
                <w:rFonts w:ascii="Times New Roman" w:cs="Times New Roman"/>
                <w:color w:val="auto"/>
                <w:sz w:val="21"/>
                <w:szCs w:val="21"/>
              </w:rPr>
            </w:pPr>
            <w:r>
              <w:rPr>
                <w:rFonts w:ascii="Times New Roman" w:cs="Times New Roman"/>
                <w:color w:val="auto"/>
                <w:sz w:val="21"/>
                <w:szCs w:val="21"/>
              </w:rPr>
              <w:t>更换泄漏的容器</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截污</w:t>
            </w:r>
          </w:p>
        </w:tc>
        <w:tc>
          <w:tcPr>
            <w:tcW w:w="3603" w:type="dxa"/>
            <w:shd w:val="clear" w:color="auto" w:fill="auto"/>
            <w:vAlign w:val="center"/>
          </w:tcPr>
          <w:p>
            <w:pPr>
              <w:pStyle w:val="2"/>
              <w:rPr>
                <w:rFonts w:hint="eastAsia" w:ascii="Times New Roman" w:eastAsia="宋体" w:cs="Times New Roman"/>
                <w:color w:val="auto"/>
                <w:sz w:val="21"/>
                <w:szCs w:val="21"/>
                <w:lang w:eastAsia="zh-CN"/>
              </w:rPr>
            </w:pPr>
            <w:r>
              <w:rPr>
                <w:rFonts w:ascii="Times New Roman" w:cs="Times New Roman"/>
                <w:color w:val="auto"/>
                <w:sz w:val="21"/>
                <w:szCs w:val="21"/>
              </w:rPr>
              <w:t>仓库设有</w:t>
            </w:r>
            <w:r>
              <w:rPr>
                <w:rFonts w:hint="eastAsia" w:ascii="Times New Roman" w:cs="Times New Roman"/>
                <w:color w:val="auto"/>
                <w:sz w:val="21"/>
                <w:szCs w:val="21"/>
                <w:lang w:val="en-US" w:eastAsia="zh-CN"/>
              </w:rPr>
              <w:t>碎布、吸油毡等物质，设置临时围堰</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tc>
        <w:tc>
          <w:tcPr>
            <w:tcW w:w="1891" w:type="dxa"/>
            <w:shd w:val="clear" w:color="auto" w:fill="auto"/>
            <w:vAlign w:val="center"/>
          </w:tcPr>
          <w:p>
            <w:pPr>
              <w:pStyle w:val="2"/>
              <w:jc w:val="center"/>
              <w:rPr>
                <w:rFonts w:ascii="Times New Roman" w:cs="Times New Roman"/>
                <w:color w:val="auto"/>
                <w:kern w:val="0"/>
                <w:sz w:val="21"/>
                <w:szCs w:val="21"/>
              </w:rPr>
            </w:pPr>
            <w:r>
              <w:rPr>
                <w:rFonts w:hint="eastAsia" w:ascii="Times New Roman" w:cs="Times New Roman"/>
                <w:color w:val="auto"/>
                <w:sz w:val="21"/>
                <w:szCs w:val="21"/>
                <w:lang w:val="en-US" w:eastAsia="zh-CN"/>
              </w:rPr>
              <w:t>碎布、吸油毡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8"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消污</w:t>
            </w:r>
          </w:p>
        </w:tc>
        <w:tc>
          <w:tcPr>
            <w:tcW w:w="3603" w:type="dxa"/>
            <w:shd w:val="clear" w:color="auto" w:fill="auto"/>
            <w:vAlign w:val="center"/>
          </w:tcPr>
          <w:p>
            <w:pPr>
              <w:pStyle w:val="2"/>
              <w:tabs>
                <w:tab w:val="left" w:pos="312"/>
              </w:tabs>
              <w:rPr>
                <w:rFonts w:hint="default" w:ascii="Times New Roman" w:eastAsia="宋体" w:cs="Times New Roman"/>
                <w:color w:val="auto"/>
                <w:sz w:val="21"/>
                <w:szCs w:val="21"/>
                <w:lang w:val="en-US" w:eastAsia="zh-CN"/>
              </w:rPr>
            </w:pPr>
            <w:r>
              <w:rPr>
                <w:rFonts w:hint="eastAsia" w:ascii="Times New Roman" w:cs="Times New Roman"/>
                <w:color w:val="auto"/>
                <w:sz w:val="21"/>
                <w:szCs w:val="21"/>
                <w:lang w:val="en-US" w:eastAsia="zh-CN"/>
              </w:rPr>
              <w:t>使用碎布、吸油毡等物质吸收，</w:t>
            </w:r>
            <w:r>
              <w:rPr>
                <w:rFonts w:ascii="Times New Roman" w:cs="Times New Roman"/>
                <w:color w:val="auto"/>
                <w:sz w:val="21"/>
                <w:szCs w:val="21"/>
              </w:rPr>
              <w:t>将</w:t>
            </w:r>
            <w:r>
              <w:rPr>
                <w:rFonts w:hint="eastAsia" w:ascii="Times New Roman" w:cs="Times New Roman"/>
                <w:color w:val="auto"/>
                <w:sz w:val="21"/>
                <w:szCs w:val="21"/>
              </w:rPr>
              <w:t>泄漏</w:t>
            </w:r>
            <w:r>
              <w:rPr>
                <w:rFonts w:ascii="Times New Roman" w:cs="Times New Roman"/>
                <w:color w:val="auto"/>
                <w:sz w:val="21"/>
                <w:szCs w:val="21"/>
              </w:rPr>
              <w:t>的危险化学品进行收集，并对泄漏现场进行洗消</w:t>
            </w:r>
            <w:r>
              <w:rPr>
                <w:rFonts w:hint="eastAsia" w:ascii="Times New Roman" w:cs="Times New Roman"/>
                <w:color w:val="auto"/>
                <w:sz w:val="21"/>
                <w:szCs w:val="21"/>
                <w:lang w:eastAsia="zh-CN"/>
              </w:rPr>
              <w:t>，洗消废水</w:t>
            </w:r>
            <w:r>
              <w:rPr>
                <w:rFonts w:hint="eastAsia" w:ascii="Times New Roman" w:cs="Times New Roman"/>
                <w:color w:val="auto"/>
                <w:sz w:val="21"/>
                <w:szCs w:val="21"/>
                <w:lang w:val="en-US" w:eastAsia="zh-CN"/>
              </w:rPr>
              <w:t>进入污水处理站处理</w:t>
            </w:r>
          </w:p>
        </w:tc>
        <w:tc>
          <w:tcPr>
            <w:tcW w:w="1554"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应急监测</w:t>
            </w:r>
            <w:r>
              <w:rPr>
                <w:rFonts w:ascii="Times New Roman" w:cs="Times New Roman"/>
                <w:color w:val="auto"/>
                <w:sz w:val="21"/>
                <w:szCs w:val="21"/>
              </w:rPr>
              <w:t>组</w:t>
            </w:r>
          </w:p>
        </w:tc>
        <w:tc>
          <w:tcPr>
            <w:tcW w:w="1891" w:type="dxa"/>
            <w:shd w:val="clear" w:color="auto" w:fill="auto"/>
            <w:vAlign w:val="center"/>
          </w:tcPr>
          <w:p>
            <w:pPr>
              <w:pStyle w:val="2"/>
              <w:jc w:val="center"/>
              <w:rPr>
                <w:rFonts w:hint="eastAsia" w:ascii="Times New Roman" w:eastAsia="宋体" w:cs="Times New Roman"/>
                <w:color w:val="auto"/>
                <w:kern w:val="0"/>
                <w:sz w:val="21"/>
                <w:szCs w:val="21"/>
                <w:lang w:val="en-US" w:eastAsia="zh-CN"/>
              </w:rPr>
            </w:pPr>
            <w:r>
              <w:rPr>
                <w:rFonts w:hint="eastAsia" w:ascii="Times New Roman" w:cs="Times New Roman"/>
                <w:color w:val="auto"/>
                <w:kern w:val="0"/>
                <w:sz w:val="21"/>
                <w:szCs w:val="21"/>
                <w:lang w:val="en-US" w:eastAsia="zh-CN"/>
              </w:rPr>
              <w:t>污水处理站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8"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监测</w:t>
            </w:r>
          </w:p>
        </w:tc>
        <w:tc>
          <w:tcPr>
            <w:tcW w:w="3603" w:type="dxa"/>
            <w:shd w:val="clear" w:color="auto" w:fill="auto"/>
            <w:vAlign w:val="center"/>
          </w:tcPr>
          <w:p>
            <w:pPr>
              <w:pStyle w:val="2"/>
              <w:jc w:val="both"/>
              <w:rPr>
                <w:rStyle w:val="92"/>
                <w:rFonts w:hint="default" w:ascii="Times New Roman" w:cs="Times New Roman"/>
                <w:color w:val="auto"/>
                <w:sz w:val="21"/>
                <w:szCs w:val="21"/>
                <w:lang w:bidi="ar"/>
              </w:rPr>
            </w:pPr>
            <w:r>
              <w:rPr>
                <w:rStyle w:val="92"/>
                <w:rFonts w:hint="eastAsia" w:ascii="Times New Roman" w:cs="Times New Roman"/>
                <w:color w:val="auto"/>
                <w:sz w:val="21"/>
                <w:szCs w:val="21"/>
                <w:lang w:val="en-US" w:eastAsia="zh-CN" w:bidi="ar"/>
              </w:rPr>
              <w:t>小量泄漏，对环境影响较小，无需检测</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应急监测组</w:t>
            </w:r>
          </w:p>
        </w:tc>
        <w:tc>
          <w:tcPr>
            <w:tcW w:w="1891"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2" w:hRule="atLeast"/>
          <w:jc w:val="center"/>
        </w:trPr>
        <w:tc>
          <w:tcPr>
            <w:tcW w:w="1449"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后期处置</w:t>
            </w:r>
          </w:p>
        </w:tc>
        <w:tc>
          <w:tcPr>
            <w:tcW w:w="3603" w:type="dxa"/>
            <w:shd w:val="clear" w:color="auto" w:fill="auto"/>
            <w:vAlign w:val="center"/>
          </w:tcPr>
          <w:p>
            <w:pPr>
              <w:pStyle w:val="2"/>
              <w:jc w:val="both"/>
              <w:rPr>
                <w:rFonts w:ascii="Times New Roman" w:cs="Times New Roman"/>
                <w:color w:val="auto"/>
              </w:rPr>
            </w:pPr>
            <w:r>
              <w:rPr>
                <w:rFonts w:ascii="Times New Roman" w:cs="Times New Roman"/>
                <w:color w:val="auto"/>
                <w:sz w:val="21"/>
                <w:szCs w:val="21"/>
              </w:rPr>
              <w:t>补充应急物资</w:t>
            </w:r>
          </w:p>
        </w:tc>
        <w:tc>
          <w:tcPr>
            <w:tcW w:w="1554"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p>
            <w:pPr>
              <w:pStyle w:val="2"/>
              <w:jc w:val="center"/>
              <w:rPr>
                <w:rFonts w:ascii="Times New Roman" w:cs="Times New Roman"/>
                <w:color w:val="auto"/>
                <w:sz w:val="21"/>
                <w:szCs w:val="21"/>
              </w:rPr>
            </w:pPr>
            <w:r>
              <w:rPr>
                <w:rFonts w:ascii="Times New Roman" w:cs="Times New Roman"/>
                <w:color w:val="auto"/>
                <w:sz w:val="21"/>
                <w:szCs w:val="21"/>
              </w:rPr>
              <w:t>后勤保障组</w:t>
            </w:r>
          </w:p>
        </w:tc>
        <w:tc>
          <w:tcPr>
            <w:tcW w:w="189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8497" w:type="dxa"/>
            <w:gridSpan w:val="4"/>
            <w:shd w:val="clear" w:color="auto" w:fill="auto"/>
          </w:tcPr>
          <w:p>
            <w:pPr>
              <w:pStyle w:val="2"/>
              <w:spacing w:before="120" w:beforeLines="50" w:line="360" w:lineRule="auto"/>
              <w:jc w:val="both"/>
              <w:rPr>
                <w:rFonts w:ascii="Times New Roman" w:cs="Times New Roman"/>
                <w:color w:val="auto"/>
                <w:sz w:val="21"/>
                <w:szCs w:val="21"/>
              </w:rPr>
            </w:pPr>
            <w:r>
              <w:rPr>
                <w:rFonts w:ascii="Times New Roman" w:cs="Times New Roman"/>
                <w:color w:val="auto"/>
                <w:sz w:val="21"/>
                <w:szCs w:val="21"/>
              </w:rPr>
              <w:t>注意事项：穿戴防护手套、防护目镜、防护鞋、口罩等</w:t>
            </w:r>
          </w:p>
        </w:tc>
      </w:tr>
    </w:tbl>
    <w:p>
      <w:pPr>
        <w:spacing w:before="120" w:beforeLines="50" w:line="360" w:lineRule="auto"/>
        <w:jc w:val="center"/>
        <w:rPr>
          <w:b/>
          <w:szCs w:val="21"/>
        </w:rPr>
      </w:pPr>
    </w:p>
    <w:p>
      <w:pPr>
        <w:spacing w:before="120" w:beforeLines="50" w:line="360" w:lineRule="auto"/>
        <w:jc w:val="center"/>
        <w:rPr>
          <w:b/>
          <w:szCs w:val="21"/>
        </w:rPr>
      </w:pPr>
    </w:p>
    <w:p>
      <w:pPr>
        <w:pStyle w:val="2"/>
        <w:rPr>
          <w:b/>
          <w:szCs w:val="21"/>
        </w:rPr>
      </w:pPr>
    </w:p>
    <w:p>
      <w:pPr>
        <w:pStyle w:val="2"/>
        <w:rPr>
          <w:b/>
          <w:szCs w:val="21"/>
        </w:rPr>
      </w:pPr>
    </w:p>
    <w:p>
      <w:pPr>
        <w:pStyle w:val="2"/>
        <w:rPr>
          <w:b/>
          <w:szCs w:val="21"/>
        </w:rPr>
      </w:pPr>
    </w:p>
    <w:p>
      <w:pPr>
        <w:pStyle w:val="2"/>
        <w:rPr>
          <w:b/>
          <w:szCs w:val="21"/>
        </w:rPr>
      </w:pPr>
    </w:p>
    <w:p>
      <w:pPr>
        <w:pStyle w:val="2"/>
        <w:rPr>
          <w:b/>
          <w:szCs w:val="21"/>
        </w:rPr>
      </w:pPr>
    </w:p>
    <w:p>
      <w:pPr>
        <w:pStyle w:val="2"/>
        <w:rPr>
          <w:b/>
          <w:szCs w:val="21"/>
        </w:rPr>
      </w:pPr>
    </w:p>
    <w:p>
      <w:pPr>
        <w:pStyle w:val="2"/>
        <w:rPr>
          <w:b/>
          <w:szCs w:val="21"/>
        </w:rPr>
      </w:pPr>
    </w:p>
    <w:p>
      <w:pPr>
        <w:pStyle w:val="2"/>
        <w:rPr>
          <w:b/>
          <w:szCs w:val="21"/>
        </w:rPr>
      </w:pPr>
    </w:p>
    <w:p>
      <w:pPr>
        <w:pStyle w:val="2"/>
        <w:rPr>
          <w:b/>
          <w:szCs w:val="21"/>
        </w:rPr>
      </w:pPr>
    </w:p>
    <w:p>
      <w:pPr>
        <w:pStyle w:val="2"/>
        <w:rPr>
          <w:b/>
          <w:szCs w:val="21"/>
        </w:rPr>
      </w:pPr>
    </w:p>
    <w:p>
      <w:pPr>
        <w:spacing w:before="120" w:beforeLines="50" w:line="360" w:lineRule="auto"/>
        <w:jc w:val="center"/>
        <w:rPr>
          <w:b/>
          <w:szCs w:val="21"/>
        </w:rPr>
      </w:pPr>
      <w:r>
        <w:rPr>
          <w:b/>
          <w:szCs w:val="21"/>
        </w:rPr>
        <w:t>表</w:t>
      </w:r>
      <w:r>
        <w:rPr>
          <w:rFonts w:hint="eastAsia"/>
          <w:b/>
          <w:szCs w:val="21"/>
          <w:lang w:val="en-US" w:eastAsia="zh-CN"/>
        </w:rPr>
        <w:t>7</w:t>
      </w:r>
      <w:r>
        <w:rPr>
          <w:b/>
          <w:szCs w:val="21"/>
        </w:rPr>
        <w:t xml:space="preserve">  危险废物泄漏应急处置卡片（三级响应）</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3"/>
        <w:gridCol w:w="3758"/>
        <w:gridCol w:w="1560"/>
        <w:gridCol w:w="17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处置程序</w:t>
            </w:r>
          </w:p>
        </w:tc>
        <w:tc>
          <w:tcPr>
            <w:tcW w:w="3758"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应急处置措施</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责任岗位</w:t>
            </w:r>
          </w:p>
        </w:tc>
        <w:tc>
          <w:tcPr>
            <w:tcW w:w="175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可利用应急资源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事故情景</w:t>
            </w:r>
          </w:p>
        </w:tc>
        <w:tc>
          <w:tcPr>
            <w:tcW w:w="3758"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危废暂存间发生危险废物泄漏，泄露物进入危废暂存间外部，但未对厂外环境造成影响</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c>
          <w:tcPr>
            <w:tcW w:w="1751" w:type="dxa"/>
            <w:shd w:val="clear" w:color="auto" w:fill="auto"/>
            <w:vAlign w:val="center"/>
          </w:tcPr>
          <w:p>
            <w:pPr>
              <w:pStyle w:val="2"/>
              <w:jc w:val="center"/>
              <w:rPr>
                <w:rFonts w:ascii="Times New Roman" w:cs="Times New Roman"/>
                <w:color w:val="auto"/>
                <w:kern w:val="0"/>
                <w:sz w:val="21"/>
                <w:szCs w:val="21"/>
                <w:highlight w:val="yellow"/>
              </w:rPr>
            </w:pPr>
            <w:r>
              <w:rPr>
                <w:rFonts w:hint="eastAsia" w:ascii="Times New Roman" w:cs="Times New Roman"/>
                <w:color w:val="auto"/>
                <w:kern w:val="0"/>
                <w:sz w:val="21"/>
                <w:szCs w:val="21"/>
                <w:lang w:bidi="ar"/>
              </w:rPr>
              <w:t>消防沙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报警及预案启动</w:t>
            </w:r>
          </w:p>
        </w:tc>
        <w:tc>
          <w:tcPr>
            <w:tcW w:w="3758"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启动车间级应急预案</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应急领导小组</w:t>
            </w:r>
          </w:p>
        </w:tc>
        <w:tc>
          <w:tcPr>
            <w:tcW w:w="175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断源</w:t>
            </w:r>
          </w:p>
        </w:tc>
        <w:tc>
          <w:tcPr>
            <w:tcW w:w="3758" w:type="dxa"/>
            <w:shd w:val="clear" w:color="auto" w:fill="auto"/>
            <w:vAlign w:val="center"/>
          </w:tcPr>
          <w:p>
            <w:pPr>
              <w:pStyle w:val="2"/>
              <w:tabs>
                <w:tab w:val="left" w:pos="312"/>
              </w:tabs>
              <w:jc w:val="both"/>
              <w:rPr>
                <w:rFonts w:ascii="Times New Roman" w:cs="Times New Roman"/>
                <w:color w:val="auto"/>
                <w:sz w:val="21"/>
                <w:szCs w:val="21"/>
              </w:rPr>
            </w:pPr>
            <w:r>
              <w:rPr>
                <w:rFonts w:ascii="Times New Roman" w:cs="Times New Roman"/>
                <w:color w:val="auto"/>
                <w:sz w:val="21"/>
                <w:szCs w:val="21"/>
              </w:rPr>
              <w:t>更换泄漏的容器</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tc>
        <w:tc>
          <w:tcPr>
            <w:tcW w:w="175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4"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截污</w:t>
            </w:r>
          </w:p>
        </w:tc>
        <w:tc>
          <w:tcPr>
            <w:tcW w:w="3758" w:type="dxa"/>
            <w:shd w:val="clear" w:color="auto" w:fill="auto"/>
            <w:vAlign w:val="center"/>
          </w:tcPr>
          <w:p>
            <w:pPr>
              <w:pStyle w:val="2"/>
              <w:rPr>
                <w:rFonts w:ascii="Times New Roman" w:cs="Times New Roman"/>
                <w:color w:val="auto"/>
                <w:sz w:val="21"/>
                <w:szCs w:val="21"/>
              </w:rPr>
            </w:pPr>
            <w:r>
              <w:rPr>
                <w:rFonts w:ascii="Times New Roman" w:cs="Times New Roman"/>
                <w:color w:val="auto"/>
                <w:sz w:val="21"/>
                <w:szCs w:val="21"/>
              </w:rPr>
              <w:t>利用车间或危废暂存间现有的缓坡、堵漏物资进行拦截</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tc>
        <w:tc>
          <w:tcPr>
            <w:tcW w:w="175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堵漏物资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2"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消污</w:t>
            </w:r>
          </w:p>
        </w:tc>
        <w:tc>
          <w:tcPr>
            <w:tcW w:w="3758" w:type="dxa"/>
            <w:shd w:val="clear" w:color="auto" w:fill="auto"/>
            <w:vAlign w:val="center"/>
          </w:tcPr>
          <w:p>
            <w:pPr>
              <w:pStyle w:val="2"/>
              <w:tabs>
                <w:tab w:val="left" w:pos="312"/>
              </w:tabs>
              <w:rPr>
                <w:rFonts w:hint="default" w:ascii="Times New Roman" w:cs="Times New Roman"/>
                <w:color w:val="auto"/>
                <w:sz w:val="21"/>
                <w:szCs w:val="21"/>
                <w:lang w:val="en-US"/>
              </w:rPr>
            </w:pPr>
            <w:r>
              <w:rPr>
                <w:rFonts w:ascii="Times New Roman" w:cs="Times New Roman"/>
                <w:color w:val="auto"/>
                <w:sz w:val="21"/>
                <w:szCs w:val="21"/>
              </w:rPr>
              <w:t>将</w:t>
            </w:r>
            <w:r>
              <w:rPr>
                <w:rFonts w:hint="eastAsia" w:ascii="Times New Roman" w:cs="Times New Roman"/>
                <w:color w:val="auto"/>
                <w:sz w:val="21"/>
                <w:szCs w:val="21"/>
              </w:rPr>
              <w:t>泄漏</w:t>
            </w:r>
            <w:r>
              <w:rPr>
                <w:rFonts w:ascii="Times New Roman" w:cs="Times New Roman"/>
                <w:color w:val="auto"/>
                <w:sz w:val="21"/>
                <w:szCs w:val="21"/>
              </w:rPr>
              <w:t>的危险废物进行收集，并对泄漏现场进行洗消</w:t>
            </w:r>
            <w:r>
              <w:rPr>
                <w:rFonts w:hint="eastAsia" w:ascii="Times New Roman" w:cs="Times New Roman"/>
                <w:color w:val="auto"/>
                <w:sz w:val="21"/>
                <w:szCs w:val="21"/>
                <w:lang w:eastAsia="zh-CN"/>
              </w:rPr>
              <w:t>，</w:t>
            </w:r>
            <w:r>
              <w:rPr>
                <w:rFonts w:hint="eastAsia" w:ascii="Times New Roman" w:cs="Times New Roman"/>
                <w:color w:val="auto"/>
                <w:sz w:val="21"/>
                <w:szCs w:val="21"/>
                <w:lang w:val="en-US" w:eastAsia="zh-CN"/>
              </w:rPr>
              <w:t>洗消产生的废物作为危废处理</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应急监测组</w:t>
            </w:r>
          </w:p>
        </w:tc>
        <w:tc>
          <w:tcPr>
            <w:tcW w:w="1751" w:type="dxa"/>
            <w:shd w:val="clear" w:color="auto" w:fill="auto"/>
            <w:vAlign w:val="center"/>
          </w:tcPr>
          <w:p>
            <w:pPr>
              <w:pStyle w:val="2"/>
              <w:jc w:val="center"/>
              <w:rPr>
                <w:rFonts w:ascii="Times New Roman" w:cs="Times New Roman"/>
                <w:color w:val="auto"/>
                <w:kern w:val="0"/>
                <w:sz w:val="21"/>
                <w:szCs w:val="21"/>
                <w:highlight w:val="yellow"/>
              </w:rPr>
            </w:pPr>
            <w:r>
              <w:rPr>
                <w:rFonts w:hint="eastAsia" w:ascii="Times New Roman" w:cs="Times New Roman"/>
                <w:color w:val="auto"/>
                <w:kern w:val="0"/>
                <w:sz w:val="21"/>
                <w:szCs w:val="21"/>
                <w:lang w:bidi="ar"/>
              </w:rPr>
              <w:t>消防沙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监测</w:t>
            </w:r>
          </w:p>
        </w:tc>
        <w:tc>
          <w:tcPr>
            <w:tcW w:w="3758" w:type="dxa"/>
            <w:shd w:val="clear" w:color="auto" w:fill="auto"/>
            <w:vAlign w:val="center"/>
          </w:tcPr>
          <w:p>
            <w:pPr>
              <w:pStyle w:val="2"/>
              <w:jc w:val="both"/>
              <w:rPr>
                <w:rFonts w:ascii="Times New Roman" w:cs="Times New Roman"/>
                <w:color w:val="auto"/>
                <w:sz w:val="21"/>
                <w:szCs w:val="21"/>
              </w:rPr>
            </w:pPr>
            <w:r>
              <w:rPr>
                <w:rFonts w:ascii="Times New Roman" w:cs="Times New Roman"/>
                <w:color w:val="auto"/>
                <w:sz w:val="21"/>
                <w:szCs w:val="21"/>
              </w:rPr>
              <w:t>小规模泄漏在可控范围内，影响范围小，无需进行监测</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应急监测组</w:t>
            </w:r>
          </w:p>
        </w:tc>
        <w:tc>
          <w:tcPr>
            <w:tcW w:w="1751" w:type="dxa"/>
            <w:shd w:val="clear" w:color="auto" w:fill="auto"/>
            <w:vAlign w:val="center"/>
          </w:tcPr>
          <w:p>
            <w:pPr>
              <w:pStyle w:val="2"/>
              <w:jc w:val="center"/>
              <w:rPr>
                <w:rFonts w:ascii="Times New Roman" w:cs="Times New Roman"/>
                <w:color w:val="auto"/>
                <w:sz w:val="21"/>
                <w:szCs w:val="21"/>
              </w:rPr>
            </w:pPr>
            <w:r>
              <w:rPr>
                <w:rFonts w:hint="eastAsia" w:ascii="Times New Roman" w:cs="Times New Roman"/>
                <w:color w:val="auto"/>
                <w:sz w:val="21"/>
                <w:szCs w:val="21"/>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trPr>
        <w:tc>
          <w:tcPr>
            <w:tcW w:w="1453"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后期处置</w:t>
            </w:r>
          </w:p>
        </w:tc>
        <w:tc>
          <w:tcPr>
            <w:tcW w:w="3758" w:type="dxa"/>
            <w:shd w:val="clear" w:color="auto" w:fill="auto"/>
            <w:vAlign w:val="center"/>
          </w:tcPr>
          <w:p>
            <w:pPr>
              <w:autoSpaceDE w:val="0"/>
              <w:autoSpaceDN w:val="0"/>
              <w:adjustRightInd w:val="0"/>
              <w:snapToGrid w:val="0"/>
              <w:jc w:val="left"/>
              <w:rPr>
                <w:szCs w:val="21"/>
              </w:rPr>
            </w:pPr>
            <w:r>
              <w:rPr>
                <w:szCs w:val="21"/>
              </w:rPr>
              <w:t>产生的危险废物委托危废公司外运处置</w:t>
            </w:r>
          </w:p>
        </w:tc>
        <w:tc>
          <w:tcPr>
            <w:tcW w:w="1560"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现场处置组</w:t>
            </w:r>
          </w:p>
          <w:p>
            <w:pPr>
              <w:pStyle w:val="2"/>
              <w:jc w:val="center"/>
              <w:rPr>
                <w:rFonts w:ascii="Times New Roman" w:cs="Times New Roman"/>
                <w:color w:val="auto"/>
                <w:sz w:val="21"/>
                <w:szCs w:val="21"/>
              </w:rPr>
            </w:pPr>
            <w:r>
              <w:rPr>
                <w:rFonts w:ascii="Times New Roman" w:cs="Times New Roman"/>
                <w:color w:val="auto"/>
                <w:sz w:val="21"/>
                <w:szCs w:val="21"/>
              </w:rPr>
              <w:t>后勤保障组</w:t>
            </w:r>
          </w:p>
        </w:tc>
        <w:tc>
          <w:tcPr>
            <w:tcW w:w="1751" w:type="dxa"/>
            <w:shd w:val="clear" w:color="auto" w:fill="auto"/>
            <w:vAlign w:val="center"/>
          </w:tcPr>
          <w:p>
            <w:pPr>
              <w:pStyle w:val="2"/>
              <w:jc w:val="center"/>
              <w:rPr>
                <w:rFonts w:ascii="Times New Roman" w:cs="Times New Roman"/>
                <w:color w:val="auto"/>
                <w:sz w:val="21"/>
                <w:szCs w:val="21"/>
              </w:rPr>
            </w:pPr>
            <w:r>
              <w:rPr>
                <w:rFonts w:asci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8522" w:type="dxa"/>
            <w:gridSpan w:val="4"/>
            <w:shd w:val="clear" w:color="auto" w:fill="auto"/>
          </w:tcPr>
          <w:p>
            <w:pPr>
              <w:pStyle w:val="2"/>
              <w:spacing w:before="120" w:beforeLines="50" w:line="360" w:lineRule="auto"/>
              <w:jc w:val="both"/>
              <w:rPr>
                <w:rFonts w:ascii="Times New Roman" w:cs="Times New Roman"/>
                <w:color w:val="auto"/>
                <w:sz w:val="21"/>
                <w:szCs w:val="21"/>
              </w:rPr>
            </w:pPr>
            <w:r>
              <w:rPr>
                <w:rFonts w:ascii="Times New Roman" w:cs="Times New Roman"/>
                <w:color w:val="auto"/>
                <w:sz w:val="21"/>
                <w:szCs w:val="21"/>
              </w:rPr>
              <w:t>注意事项：穿戴防护手套、防护目镜、防护鞋、口罩等</w:t>
            </w:r>
          </w:p>
        </w:tc>
      </w:tr>
    </w:tbl>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spacing w:before="120" w:beforeLines="50" w:line="360" w:lineRule="auto"/>
        <w:outlineLvl w:val="1"/>
        <w:rPr>
          <w:rFonts w:ascii="宋体" w:hAnsi="宋体"/>
          <w:b/>
          <w:sz w:val="30"/>
          <w:szCs w:val="30"/>
        </w:rPr>
      </w:pPr>
      <w:bookmarkStart w:id="126" w:name="_Toc30473"/>
      <w:r>
        <w:rPr>
          <w:rFonts w:hint="eastAsia" w:ascii="宋体" w:hAnsi="宋体"/>
          <w:b/>
          <w:sz w:val="30"/>
          <w:szCs w:val="30"/>
        </w:rPr>
        <w:t>2</w:t>
      </w:r>
      <w:r>
        <w:rPr>
          <w:rFonts w:ascii="宋体" w:hAnsi="宋体"/>
          <w:b/>
          <w:sz w:val="30"/>
          <w:szCs w:val="30"/>
        </w:rPr>
        <w:t xml:space="preserve"> </w:t>
      </w:r>
      <w:r>
        <w:rPr>
          <w:rFonts w:hint="eastAsia" w:ascii="宋体" w:hAnsi="宋体"/>
          <w:b/>
          <w:sz w:val="30"/>
          <w:szCs w:val="30"/>
        </w:rPr>
        <w:t>岗位</w:t>
      </w:r>
      <w:r>
        <w:rPr>
          <w:rFonts w:ascii="宋体" w:hAnsi="宋体"/>
          <w:b/>
          <w:sz w:val="30"/>
          <w:szCs w:val="30"/>
        </w:rPr>
        <w:t>应急响应卡片</w:t>
      </w:r>
      <w:bookmarkEnd w:id="126"/>
    </w:p>
    <w:p>
      <w:pPr>
        <w:pStyle w:val="2"/>
        <w:spacing w:line="360" w:lineRule="auto"/>
        <w:jc w:val="center"/>
        <w:rPr>
          <w:rFonts w:ascii="Times New Roman" w:cs="Times New Roman"/>
          <w:b/>
          <w:bCs/>
          <w:color w:val="000000" w:themeColor="text1"/>
          <w:sz w:val="21"/>
          <w:szCs w:val="21"/>
          <w14:textFill>
            <w14:solidFill>
              <w14:schemeClr w14:val="tx1"/>
            </w14:solidFill>
          </w14:textFill>
        </w:rPr>
      </w:pPr>
      <w:r>
        <w:rPr>
          <w:rFonts w:cs="Times New Roman"/>
          <w:b/>
          <w:bCs/>
          <w:color w:val="000000" w:themeColor="text1"/>
          <w:sz w:val="21"/>
          <w:szCs w:val="21"/>
          <w14:textFill>
            <w14:solidFill>
              <w14:schemeClr w14:val="tx1"/>
            </w14:solidFill>
          </w14:textFill>
        </w:rPr>
        <w:t>表</w:t>
      </w:r>
      <w:r>
        <w:rPr>
          <w:rFonts w:hint="eastAsia" w:ascii="Times New Roman" w:cs="Times New Roman"/>
          <w:b/>
          <w:bCs/>
          <w:color w:val="000000" w:themeColor="text1"/>
          <w:sz w:val="21"/>
          <w:szCs w:val="21"/>
          <w14:textFill>
            <w14:solidFill>
              <w14:schemeClr w14:val="tx1"/>
            </w14:solidFill>
          </w14:textFill>
        </w:rPr>
        <w:t>1</w:t>
      </w:r>
      <w:r>
        <w:rPr>
          <w:rFonts w:ascii="Times New Roman" w:cs="Times New Roman"/>
          <w:b/>
          <w:bCs/>
          <w:color w:val="000000" w:themeColor="text1"/>
          <w:sz w:val="21"/>
          <w:szCs w:val="21"/>
          <w14:textFill>
            <w14:solidFill>
              <w14:schemeClr w14:val="tx1"/>
            </w14:solidFill>
          </w14:textFill>
        </w:rPr>
        <w:t xml:space="preserve">  </w:t>
      </w:r>
      <w:r>
        <w:rPr>
          <w:rFonts w:cs="Times New Roman"/>
          <w:b/>
          <w:bCs/>
          <w:color w:val="000000" w:themeColor="text1"/>
          <w:sz w:val="21"/>
          <w:szCs w:val="21"/>
          <w14:textFill>
            <w14:solidFill>
              <w14:schemeClr w14:val="tx1"/>
            </w14:solidFill>
          </w14:textFill>
        </w:rPr>
        <w:t>危废仓库岗位应急响应卡片</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0"/>
        <w:gridCol w:w="1914"/>
        <w:gridCol w:w="1416"/>
        <w:gridCol w:w="2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20"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岗位名称</w:t>
            </w:r>
          </w:p>
        </w:tc>
        <w:tc>
          <w:tcPr>
            <w:tcW w:w="6302"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危废仓库负责人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20"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ascii="Times New Roman" w:cs="Times New Roman"/>
                <w:color w:val="000000" w:themeColor="text1"/>
                <w:sz w:val="21"/>
                <w:szCs w:val="21"/>
                <w:highlight w:val="none"/>
                <w14:textFill>
                  <w14:solidFill>
                    <w14:schemeClr w14:val="tx1"/>
                  </w14:solidFill>
                </w14:textFill>
              </w:rPr>
              <w:t>姓名</w:t>
            </w:r>
          </w:p>
        </w:tc>
        <w:tc>
          <w:tcPr>
            <w:tcW w:w="1914" w:type="dxa"/>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hint="eastAsia" w:ascii="Times New Roman" w:cs="Times New Roman"/>
                <w:color w:val="000000" w:themeColor="text1"/>
                <w:sz w:val="21"/>
                <w:szCs w:val="21"/>
                <w:highlight w:val="none"/>
                <w14:textFill>
                  <w14:solidFill>
                    <w14:schemeClr w14:val="tx1"/>
                  </w14:solidFill>
                </w14:textFill>
              </w:rPr>
              <w:t>丘秀金</w:t>
            </w:r>
          </w:p>
        </w:tc>
        <w:tc>
          <w:tcPr>
            <w:tcW w:w="1416" w:type="dxa"/>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ascii="Times New Roman" w:cs="Times New Roman"/>
                <w:color w:val="000000" w:themeColor="text1"/>
                <w:sz w:val="21"/>
                <w:szCs w:val="21"/>
                <w:highlight w:val="none"/>
                <w14:textFill>
                  <w14:solidFill>
                    <w14:schemeClr w14:val="tx1"/>
                  </w14:solidFill>
                </w14:textFill>
              </w:rPr>
              <w:t>联系方式</w:t>
            </w:r>
          </w:p>
        </w:tc>
        <w:tc>
          <w:tcPr>
            <w:tcW w:w="2972" w:type="dxa"/>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hint="eastAsia" w:ascii="Times New Roman" w:cs="Times New Roman"/>
                <w:color w:val="000000" w:themeColor="text1"/>
                <w:sz w:val="21"/>
                <w:szCs w:val="21"/>
                <w:highlight w:val="none"/>
                <w14:textFill>
                  <w14:solidFill>
                    <w14:schemeClr w14:val="tx1"/>
                  </w14:solidFill>
                </w14:textFill>
              </w:rPr>
              <w:t>13415651525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20"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风险因素</w:t>
            </w:r>
          </w:p>
        </w:tc>
        <w:tc>
          <w:tcPr>
            <w:tcW w:w="6302"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危废泄漏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20"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可能波及范围</w:t>
            </w:r>
          </w:p>
        </w:tc>
        <w:tc>
          <w:tcPr>
            <w:tcW w:w="6302"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危废暂存间周边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20"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信息报告流程</w:t>
            </w:r>
          </w:p>
        </w:tc>
        <w:tc>
          <w:tcPr>
            <w:tcW w:w="6302"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现场人员报告值班办负责人、负责人报告应急领导小组办公室、办公室通知各应急小组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20" w:type="dxa"/>
            <w:tcBorders>
              <w:top w:val="single" w:color="auto" w:sz="4" w:space="0"/>
              <w:left w:val="single" w:color="auto" w:sz="4" w:space="0"/>
              <w:bottom w:val="single" w:color="auto" w:sz="4" w:space="0"/>
              <w:right w:val="single" w:color="auto" w:sz="4" w:space="0"/>
            </w:tcBorders>
            <w:vAlign w:val="center"/>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应急响应要求</w:t>
            </w:r>
          </w:p>
        </w:tc>
        <w:tc>
          <w:tcPr>
            <w:tcW w:w="6302"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both"/>
              <w:rPr>
                <w:rFonts w:ascii="Times New Roman" w:cs="Times New Roman"/>
                <w:color w:val="000000" w:themeColor="text1"/>
                <w:sz w:val="21"/>
                <w:szCs w:val="21"/>
                <w14:textFill>
                  <w14:solidFill>
                    <w14:schemeClr w14:val="tx1"/>
                  </w14:solidFill>
                </w14:textFill>
              </w:rPr>
            </w:pPr>
            <w:r>
              <w:rPr>
                <w:rFonts w:hint="eastAsia" w:ascii="Times New Roman" w:cs="Times New Roman"/>
                <w:color w:val="000000" w:themeColor="text1"/>
                <w:sz w:val="21"/>
                <w:szCs w:val="21"/>
                <w:lang w:eastAsia="zh-CN"/>
                <w14:textFill>
                  <w14:solidFill>
                    <w14:schemeClr w14:val="tx1"/>
                  </w14:solidFill>
                </w14:textFill>
              </w:rPr>
              <w:t>危险废物泄漏时启动三级响应级别，</w:t>
            </w:r>
            <w:r>
              <w:rPr>
                <w:rFonts w:hint="eastAsia" w:ascii="Times New Roman" w:cs="Times New Roman"/>
                <w:color w:val="000000" w:themeColor="text1"/>
                <w:sz w:val="21"/>
                <w:szCs w:val="21"/>
                <w14:textFill>
                  <w14:solidFill>
                    <w14:schemeClr w14:val="tx1"/>
                  </w14:solidFill>
                </w14:textFill>
              </w:rPr>
              <w:t>由应急领导小组按事启动车间级应急预案，由企业应急领导小组总指挥长通知企业应急小组立即开展应急工作，并上报公司突发环境事件应急领导小组办公室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20"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可利用应急资源</w:t>
            </w:r>
          </w:p>
        </w:tc>
        <w:tc>
          <w:tcPr>
            <w:tcW w:w="6302"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hint="eastAsia" w:ascii="Times New Roman" w:cs="Times New Roman"/>
                <w:color w:val="000000" w:themeColor="text1"/>
                <w:sz w:val="21"/>
                <w:szCs w:val="21"/>
                <w14:textFill>
                  <w14:solidFill>
                    <w14:schemeClr w14:val="tx1"/>
                  </w14:solidFill>
                </w14:textFill>
              </w:rPr>
              <w:t>安全警戒线、雨靴、消防沙、防尘口罩等。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20" w:type="dxa"/>
            <w:tcBorders>
              <w:top w:val="single" w:color="auto" w:sz="4" w:space="0"/>
              <w:left w:val="single" w:color="auto" w:sz="4" w:space="0"/>
              <w:bottom w:val="single" w:color="auto" w:sz="4" w:space="0"/>
              <w:right w:val="single" w:color="auto" w:sz="4" w:space="0"/>
            </w:tcBorders>
          </w:tcPr>
          <w:p>
            <w:pPr>
              <w:pStyle w:val="2"/>
              <w:snapToGrid w:val="0"/>
              <w:spacing w:before="0" w:beforeLines="-2147483648" w:line="240" w:lineRule="auto"/>
              <w:jc w:val="both"/>
              <w:rPr>
                <w:rFonts w:ascii="Times New Roman" w:cs="Times New Roman"/>
                <w:color w:val="000000" w:themeColor="text1"/>
                <w:kern w:val="2"/>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企业应急负责人</w:t>
            </w:r>
            <w:r>
              <w:rPr>
                <w:rFonts w:hint="eastAsia" w:ascii="Times New Roman" w:cs="Times New Roman"/>
                <w:color w:val="000000" w:themeColor="text1"/>
                <w:sz w:val="21"/>
                <w:szCs w:val="21"/>
                <w14:textFill>
                  <w14:solidFill>
                    <w14:schemeClr w14:val="tx1"/>
                  </w14:solidFill>
                </w14:textFill>
              </w:rPr>
              <w:t>及联系</w:t>
            </w:r>
            <w:r>
              <w:rPr>
                <w:rFonts w:ascii="Times New Roman" w:cs="Times New Roman"/>
                <w:color w:val="000000" w:themeColor="text1"/>
                <w:sz w:val="21"/>
                <w:szCs w:val="21"/>
                <w14:textFill>
                  <w14:solidFill>
                    <w14:schemeClr w14:val="tx1"/>
                  </w14:solidFill>
                </w14:textFill>
              </w:rPr>
              <w:t>电话</w:t>
            </w:r>
          </w:p>
        </w:tc>
        <w:tc>
          <w:tcPr>
            <w:tcW w:w="6302" w:type="dxa"/>
            <w:gridSpan w:val="3"/>
            <w:tcBorders>
              <w:top w:val="single" w:color="auto" w:sz="4" w:space="0"/>
              <w:left w:val="single" w:color="auto" w:sz="4" w:space="0"/>
              <w:bottom w:val="single" w:color="auto" w:sz="4" w:space="0"/>
              <w:right w:val="single" w:color="auto" w:sz="4" w:space="0"/>
            </w:tcBorders>
            <w:vAlign w:val="center"/>
          </w:tcPr>
          <w:p>
            <w:pPr>
              <w:rPr>
                <w:color w:val="000000" w:themeColor="text1"/>
                <w:szCs w:val="21"/>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丘发亮</w:t>
            </w:r>
            <w:r>
              <w:rPr>
                <w:rFonts w:hint="eastAsia"/>
                <w:szCs w:val="21"/>
              </w:rPr>
              <w:t>：</w:t>
            </w:r>
            <w:r>
              <w:rPr>
                <w:rFonts w:hint="eastAsia" w:ascii="宋体" w:hAnsi="宋体" w:eastAsia="宋体" w:cs="宋体"/>
                <w:i w:val="0"/>
                <w:iCs w:val="0"/>
                <w:color w:val="000000"/>
                <w:kern w:val="0"/>
                <w:sz w:val="21"/>
                <w:szCs w:val="21"/>
                <w:u w:val="none"/>
                <w:lang w:val="en-US" w:eastAsia="zh-CN" w:bidi="ar"/>
              </w:rPr>
              <w:t>15219802005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20" w:type="dxa"/>
            <w:tcBorders>
              <w:top w:val="single" w:color="auto" w:sz="4" w:space="0"/>
              <w:left w:val="single" w:color="auto" w:sz="4" w:space="0"/>
              <w:bottom w:val="single" w:color="auto" w:sz="4" w:space="0"/>
              <w:right w:val="single" w:color="auto" w:sz="4" w:space="0"/>
            </w:tcBorders>
          </w:tcPr>
          <w:p>
            <w:pPr>
              <w:pStyle w:val="2"/>
              <w:snapToGrid w:val="0"/>
              <w:jc w:val="both"/>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上级主管单位联系</w:t>
            </w:r>
            <w:r>
              <w:rPr>
                <w:rFonts w:hint="eastAsia" w:ascii="Times New Roman" w:cs="Times New Roman"/>
                <w:color w:val="000000" w:themeColor="text1"/>
                <w:sz w:val="21"/>
                <w:szCs w:val="21"/>
                <w14:textFill>
                  <w14:solidFill>
                    <w14:schemeClr w14:val="tx1"/>
                  </w14:solidFill>
                </w14:textFill>
              </w:rPr>
              <w:t>人及联系</w:t>
            </w:r>
            <w:r>
              <w:rPr>
                <w:rFonts w:ascii="Times New Roman" w:cs="Times New Roman"/>
                <w:color w:val="000000" w:themeColor="text1"/>
                <w:sz w:val="21"/>
                <w:szCs w:val="21"/>
                <w14:textFill>
                  <w14:solidFill>
                    <w14:schemeClr w14:val="tx1"/>
                  </w14:solidFill>
                </w14:textFill>
              </w:rPr>
              <w:t>电话</w:t>
            </w:r>
          </w:p>
        </w:tc>
        <w:tc>
          <w:tcPr>
            <w:tcW w:w="6302" w:type="dxa"/>
            <w:gridSpan w:val="3"/>
            <w:tcBorders>
              <w:top w:val="single" w:color="auto" w:sz="4" w:space="0"/>
              <w:left w:val="single" w:color="auto" w:sz="4" w:space="0"/>
              <w:bottom w:val="single" w:color="auto" w:sz="4" w:space="0"/>
              <w:right w:val="single" w:color="auto" w:sz="4" w:space="0"/>
            </w:tcBorders>
            <w:vAlign w:val="center"/>
          </w:tcPr>
          <w:p>
            <w:pPr>
              <w:rPr>
                <w:rFonts w:hint="eastAsia" w:eastAsia="宋体"/>
                <w:color w:val="000000" w:themeColor="text1"/>
                <w:szCs w:val="21"/>
                <w:lang w:eastAsia="zh-CN"/>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肖正祥</w:t>
            </w:r>
            <w:r>
              <w:rPr>
                <w:rFonts w:hint="eastAsia"/>
                <w:szCs w:val="21"/>
              </w:rPr>
              <w:t>：</w:t>
            </w:r>
            <w:r>
              <w:rPr>
                <w:rFonts w:hint="eastAsia" w:ascii="宋体" w:hAnsi="宋体" w:eastAsia="宋体" w:cs="宋体"/>
                <w:i w:val="0"/>
                <w:iCs w:val="0"/>
                <w:color w:val="000000"/>
                <w:kern w:val="0"/>
                <w:sz w:val="21"/>
                <w:szCs w:val="21"/>
                <w:u w:val="none"/>
                <w:lang w:val="en-US" w:eastAsia="zh-CN" w:bidi="ar"/>
              </w:rPr>
              <w:t>13927838628</w:t>
            </w:r>
            <w:r>
              <w:rPr>
                <w:rFonts w:hint="eastAsia" w:ascii="宋体" w:hAnsi="宋体" w:eastAsia="宋体" w:cs="宋体"/>
                <w:color w:val="000000"/>
                <w:kern w:val="0"/>
                <w:sz w:val="21"/>
                <w:szCs w:val="21"/>
                <w:lang w:eastAsia="zh-CN"/>
              </w:rPr>
              <w:t>、</w:t>
            </w:r>
            <w:r>
              <w:rPr>
                <w:rFonts w:hint="eastAsia" w:ascii="宋体" w:hAnsi="宋体" w:eastAsia="宋体" w:cs="宋体"/>
                <w:i w:val="0"/>
                <w:iCs w:val="0"/>
                <w:color w:val="000000"/>
                <w:kern w:val="0"/>
                <w:sz w:val="21"/>
                <w:szCs w:val="21"/>
                <w:u w:val="none"/>
                <w:lang w:val="en-US" w:eastAsia="zh-CN" w:bidi="ar"/>
              </w:rPr>
              <w:t>赵志兴</w:t>
            </w:r>
            <w:r>
              <w:rPr>
                <w:rFonts w:hint="eastAsia" w:ascii="宋体" w:hAnsi="宋体" w:eastAsia="宋体" w:cs="宋体"/>
                <w:color w:val="000000"/>
                <w:kern w:val="0"/>
                <w:sz w:val="21"/>
                <w:szCs w:val="21"/>
                <w:lang w:eastAsia="zh-CN"/>
              </w:rPr>
              <w:t>：</w:t>
            </w:r>
            <w:r>
              <w:rPr>
                <w:rFonts w:hint="eastAsia" w:ascii="宋体" w:hAnsi="宋体" w:eastAsia="宋体" w:cs="宋体"/>
                <w:i w:val="0"/>
                <w:iCs w:val="0"/>
                <w:color w:val="000000"/>
                <w:kern w:val="0"/>
                <w:sz w:val="21"/>
                <w:szCs w:val="21"/>
                <w:u w:val="none"/>
                <w:lang w:val="en-US" w:eastAsia="zh-CN" w:bidi="ar"/>
              </w:rPr>
              <w:t>13828515582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both"/>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外部应急救援机构联系电话</w:t>
            </w:r>
            <w:r>
              <w:rPr>
                <w:rFonts w:hint="eastAsia" w:ascii="Times New Roman" w:cs="Times New Roman"/>
                <w:color w:val="000000" w:themeColor="text1"/>
                <w:sz w:val="21"/>
                <w:szCs w:val="21"/>
                <w14:textFill>
                  <w14:solidFill>
                    <w14:schemeClr w14:val="tx1"/>
                  </w14:solidFill>
                </w14:textFill>
              </w:rPr>
              <w:t>：翁源经济开发区应急救援中心</w:t>
            </w:r>
            <w:r>
              <w:rPr>
                <w:rFonts w:hint="eastAsia" w:ascii="Times New Roman" w:cs="Times New Roman"/>
                <w:color w:val="000000" w:themeColor="text1"/>
                <w:sz w:val="21"/>
                <w:szCs w:val="21"/>
                <w:lang w:eastAsia="zh-CN"/>
                <w14:textFill>
                  <w14:solidFill>
                    <w14:schemeClr w14:val="tx1"/>
                  </w14:solidFill>
                </w14:textFill>
              </w:rPr>
              <w:t>：</w:t>
            </w:r>
            <w:r>
              <w:rPr>
                <w:rFonts w:hint="eastAsia" w:ascii="Times New Roman" w:cs="Times New Roman"/>
                <w:color w:val="000000" w:themeColor="text1"/>
                <w:sz w:val="21"/>
                <w:szCs w:val="21"/>
                <w14:textFill>
                  <w14:solidFill>
                    <w14:schemeClr w14:val="tx1"/>
                  </w14:solidFill>
                </w14:textFill>
              </w:rPr>
              <w:t>何耀红13927860686</w:t>
            </w:r>
          </w:p>
          <w:p>
            <w:pPr>
              <w:pStyle w:val="2"/>
              <w:snapToGrid w:val="0"/>
              <w:spacing w:before="120" w:beforeLines="50" w:line="360" w:lineRule="auto"/>
              <w:jc w:val="both"/>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 xml:space="preserve">消防报警电话119   </w:t>
            </w:r>
            <w:r>
              <w:rPr>
                <w:rFonts w:cs="Times New Roman"/>
                <w:color w:val="000000" w:themeColor="text1"/>
                <w:sz w:val="21"/>
                <w:szCs w:val="21"/>
                <w14:textFill>
                  <w14:solidFill>
                    <w14:schemeClr w14:val="tx1"/>
                  </w14:solidFill>
                </w14:textFill>
              </w:rPr>
              <w:t>急救电话</w:t>
            </w:r>
            <w:r>
              <w:rPr>
                <w:rFonts w:ascii="Times New Roman" w:cs="Times New Roman"/>
                <w:color w:val="000000" w:themeColor="text1"/>
                <w:sz w:val="21"/>
                <w:szCs w:val="21"/>
                <w14:textFill>
                  <w14:solidFill>
                    <w14:schemeClr w14:val="tx1"/>
                  </w14:solidFill>
                </w14:textFill>
              </w:rPr>
              <w:t xml:space="preserve">120   </w:t>
            </w:r>
            <w:r>
              <w:rPr>
                <w:rFonts w:cs="Times New Roman"/>
                <w:color w:val="000000" w:themeColor="text1"/>
                <w:sz w:val="21"/>
                <w:szCs w:val="21"/>
                <w14:textFill>
                  <w14:solidFill>
                    <w14:schemeClr w14:val="tx1"/>
                  </w14:solidFill>
                </w14:textFill>
              </w:rPr>
              <w:t>公安报警电话</w:t>
            </w:r>
            <w:r>
              <w:rPr>
                <w:rFonts w:ascii="Times New Roman" w:cs="Times New Roman"/>
                <w:color w:val="000000" w:themeColor="text1"/>
                <w:sz w:val="21"/>
                <w:szCs w:val="21"/>
                <w14:textFill>
                  <w14:solidFill>
                    <w14:schemeClr w14:val="tx1"/>
                  </w14:solidFill>
                </w14:textFill>
              </w:rPr>
              <w:t>110</w:t>
            </w:r>
          </w:p>
        </w:tc>
      </w:tr>
    </w:tbl>
    <w:p>
      <w:pPr>
        <w:pStyle w:val="2"/>
        <w:spacing w:before="240" w:beforeLines="100" w:line="360" w:lineRule="auto"/>
        <w:jc w:val="center"/>
        <w:rPr>
          <w:rFonts w:ascii="Times New Roman" w:cs="Times New Roman"/>
          <w:b/>
          <w:bCs/>
          <w:color w:val="000000" w:themeColor="text1"/>
          <w:sz w:val="21"/>
          <w:szCs w:val="21"/>
          <w14:textFill>
            <w14:solidFill>
              <w14:schemeClr w14:val="tx1"/>
            </w14:solidFill>
          </w14:textFill>
        </w:rPr>
      </w:pPr>
      <w:r>
        <w:rPr>
          <w:rFonts w:cs="Times New Roman"/>
          <w:b/>
          <w:bCs/>
          <w:color w:val="000000" w:themeColor="text1"/>
          <w:sz w:val="21"/>
          <w:szCs w:val="21"/>
          <w14:textFill>
            <w14:solidFill>
              <w14:schemeClr w14:val="tx1"/>
            </w14:solidFill>
          </w14:textFill>
        </w:rPr>
        <w:t>表</w:t>
      </w:r>
      <w:r>
        <w:rPr>
          <w:rFonts w:hint="eastAsia" w:ascii="Times New Roman" w:cs="Times New Roman"/>
          <w:b/>
          <w:bCs/>
          <w:color w:val="000000" w:themeColor="text1"/>
          <w:sz w:val="21"/>
          <w:szCs w:val="21"/>
          <w14:textFill>
            <w14:solidFill>
              <w14:schemeClr w14:val="tx1"/>
            </w14:solidFill>
          </w14:textFill>
        </w:rPr>
        <w:t>2</w:t>
      </w:r>
      <w:r>
        <w:rPr>
          <w:rFonts w:ascii="Times New Roman" w:cs="Times New Roman"/>
          <w:b/>
          <w:bCs/>
          <w:color w:val="000000" w:themeColor="text1"/>
          <w:sz w:val="21"/>
          <w:szCs w:val="21"/>
          <w14:textFill>
            <w14:solidFill>
              <w14:schemeClr w14:val="tx1"/>
            </w14:solidFill>
          </w14:textFill>
        </w:rPr>
        <w:t xml:space="preserve">  </w:t>
      </w:r>
      <w:r>
        <w:rPr>
          <w:rFonts w:hint="eastAsia" w:cs="Times New Roman"/>
          <w:b/>
          <w:bCs/>
          <w:color w:val="000000" w:themeColor="text1"/>
          <w:sz w:val="21"/>
          <w:szCs w:val="21"/>
          <w14:textFill>
            <w14:solidFill>
              <w14:schemeClr w14:val="tx1"/>
            </w14:solidFill>
          </w14:textFill>
        </w:rPr>
        <w:t>废水处理站</w:t>
      </w:r>
      <w:r>
        <w:rPr>
          <w:rFonts w:cs="Times New Roman"/>
          <w:b/>
          <w:bCs/>
          <w:color w:val="000000" w:themeColor="text1"/>
          <w:sz w:val="21"/>
          <w:szCs w:val="21"/>
          <w14:textFill>
            <w14:solidFill>
              <w14:schemeClr w14:val="tx1"/>
            </w14:solidFill>
          </w14:textFill>
        </w:rPr>
        <w:t>岗位应急响应卡片</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2"/>
        <w:gridCol w:w="2072"/>
        <w:gridCol w:w="1416"/>
        <w:gridCol w:w="2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岗位名称</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废水处理站负责人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ascii="Times New Roman" w:cs="Times New Roman"/>
                <w:color w:val="000000" w:themeColor="text1"/>
                <w:sz w:val="21"/>
                <w:szCs w:val="21"/>
                <w:highlight w:val="none"/>
                <w14:textFill>
                  <w14:solidFill>
                    <w14:schemeClr w14:val="tx1"/>
                  </w14:solidFill>
                </w14:textFill>
              </w:rPr>
              <w:t>姓名</w:t>
            </w:r>
          </w:p>
        </w:tc>
        <w:tc>
          <w:tcPr>
            <w:tcW w:w="2072" w:type="dxa"/>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hint="eastAsia" w:ascii="Times New Roman" w:cs="Times New Roman"/>
                <w:color w:val="000000" w:themeColor="text1"/>
                <w:sz w:val="21"/>
                <w:szCs w:val="21"/>
                <w:highlight w:val="none"/>
                <w14:textFill>
                  <w14:solidFill>
                    <w14:schemeClr w14:val="tx1"/>
                  </w14:solidFill>
                </w14:textFill>
              </w:rPr>
              <w:t>胡春添</w:t>
            </w:r>
          </w:p>
        </w:tc>
        <w:tc>
          <w:tcPr>
            <w:tcW w:w="1416" w:type="dxa"/>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ascii="Times New Roman" w:cs="Times New Roman"/>
                <w:color w:val="000000" w:themeColor="text1"/>
                <w:sz w:val="21"/>
                <w:szCs w:val="21"/>
                <w:highlight w:val="none"/>
                <w14:textFill>
                  <w14:solidFill>
                    <w14:schemeClr w14:val="tx1"/>
                  </w14:solidFill>
                </w14:textFill>
              </w:rPr>
              <w:t>联系方式</w:t>
            </w:r>
          </w:p>
        </w:tc>
        <w:tc>
          <w:tcPr>
            <w:tcW w:w="2972" w:type="dxa"/>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hint="eastAsia" w:ascii="Times New Roman" w:cs="Times New Roman"/>
                <w:color w:val="000000" w:themeColor="text1"/>
                <w:sz w:val="21"/>
                <w:szCs w:val="21"/>
                <w:highlight w:val="none"/>
                <w14:textFill>
                  <w14:solidFill>
                    <w14:schemeClr w14:val="tx1"/>
                  </w14:solidFill>
                </w14:textFill>
              </w:rPr>
              <w:t>13827967298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风险因素</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hint="eastAsia" w:ascii="Times New Roman" w:cs="Times New Roman"/>
                <w:color w:val="000000" w:themeColor="text1"/>
                <w:sz w:val="21"/>
                <w:szCs w:val="21"/>
                <w:lang w:val="en-US" w:eastAsia="zh-CN"/>
                <w14:textFill>
                  <w14:solidFill>
                    <w14:schemeClr w14:val="tx1"/>
                  </w14:solidFill>
                </w14:textFill>
              </w:rPr>
              <w:t>废水</w:t>
            </w:r>
            <w:r>
              <w:rPr>
                <w:rFonts w:hint="eastAsia" w:ascii="Times New Roman" w:cs="Times New Roman"/>
                <w:color w:val="000000" w:themeColor="text1"/>
                <w:sz w:val="21"/>
                <w:szCs w:val="21"/>
                <w14:textFill>
                  <w14:solidFill>
                    <w14:schemeClr w14:val="tx1"/>
                  </w14:solidFill>
                </w14:textFill>
              </w:rPr>
              <w:t>事故性排放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可能波及范围</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hint="default" w:ascii="Times New Roman" w:eastAsia="宋体" w:cs="Times New Roman"/>
                <w:color w:val="000000" w:themeColor="text1"/>
                <w:sz w:val="21"/>
                <w:szCs w:val="21"/>
                <w:lang w:val="en-US" w:eastAsia="zh-CN"/>
                <w14:textFill>
                  <w14:solidFill>
                    <w14:schemeClr w14:val="tx1"/>
                  </w14:solidFill>
                </w14:textFill>
              </w:rPr>
            </w:pPr>
            <w:r>
              <w:rPr>
                <w:rFonts w:hint="eastAsia" w:ascii="Times New Roman" w:cs="Times New Roman"/>
                <w:color w:val="000000" w:themeColor="text1"/>
                <w:sz w:val="21"/>
                <w:szCs w:val="21"/>
                <w:lang w:val="en-US" w:eastAsia="zh-CN"/>
                <w14:textFill>
                  <w14:solidFill>
                    <w14:schemeClr w14:val="tx1"/>
                  </w14:solidFill>
                </w14:textFill>
              </w:rPr>
              <w:t>无名溪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信息报告流程</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现场人员告值班办负责人、负责人报告应领导小组办公室、办公室通知各应急小组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vAlign w:val="center"/>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应急响应要求</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hint="eastAsia" w:ascii="Times New Roman" w:eastAsia="宋体" w:cs="Times New Roman"/>
                <w:color w:val="000000" w:themeColor="text1"/>
                <w:sz w:val="21"/>
                <w:szCs w:val="21"/>
                <w:lang w:eastAsia="zh-CN"/>
                <w14:textFill>
                  <w14:solidFill>
                    <w14:schemeClr w14:val="tx1"/>
                  </w14:solidFill>
                </w14:textFill>
              </w:rPr>
            </w:pPr>
            <w:r>
              <w:rPr>
                <w:rFonts w:hint="eastAsia" w:ascii="Times New Roman" w:cs="Times New Roman"/>
                <w:color w:val="000000" w:themeColor="text1"/>
                <w:sz w:val="21"/>
                <w:szCs w:val="21"/>
                <w:lang w:eastAsia="zh-CN"/>
                <w14:textFill>
                  <w14:solidFill>
                    <w14:schemeClr w14:val="tx1"/>
                  </w14:solidFill>
                </w14:textFill>
              </w:rPr>
              <w:t>当废水处理站超标排放时应启动二级应急响应，</w:t>
            </w:r>
            <w:r>
              <w:rPr>
                <w:rFonts w:hint="eastAsia" w:ascii="Times New Roman" w:cs="Times New Roman"/>
                <w:color w:val="000000" w:themeColor="text1"/>
                <w:sz w:val="21"/>
                <w:szCs w:val="21"/>
                <w14:textFill>
                  <w14:solidFill>
                    <w14:schemeClr w14:val="tx1"/>
                  </w14:solidFill>
                </w14:textFill>
              </w:rPr>
              <w:t>由公司突发环境事件应急领导小组办公室启动厂区级应急预案，公司应急领导小组通知公司应急小组迅速到位，公司全体人员立即开展应急工作</w:t>
            </w:r>
            <w:r>
              <w:rPr>
                <w:rFonts w:hint="eastAsia" w:ascii="Times New Roman" w:cs="Times New Roman"/>
                <w:color w:val="000000" w:themeColor="text1"/>
                <w:sz w:val="21"/>
                <w:szCs w:val="21"/>
                <w:lang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可利用应急资源</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雨污排放口截流阀；</w:t>
            </w:r>
            <w:r>
              <w:rPr>
                <w:rFonts w:hint="eastAsia" w:ascii="Times New Roman" w:cs="Times New Roman"/>
                <w:color w:val="000000" w:themeColor="text1"/>
                <w:sz w:val="21"/>
                <w:szCs w:val="21"/>
                <w:lang w:val="en-US" w:eastAsia="zh-CN"/>
                <w14:textFill>
                  <w14:solidFill>
                    <w14:schemeClr w14:val="tx1"/>
                  </w14:solidFill>
                </w14:textFill>
              </w:rPr>
              <w:t>沉淀池；</w:t>
            </w:r>
            <w:r>
              <w:rPr>
                <w:rFonts w:ascii="Times New Roman" w:cs="Times New Roman"/>
                <w:color w:val="000000" w:themeColor="text1"/>
                <w:sz w:val="21"/>
                <w:szCs w:val="21"/>
                <w14:textFill>
                  <w14:solidFill>
                    <w14:schemeClr w14:val="tx1"/>
                  </w14:solidFill>
                </w14:textFill>
              </w:rPr>
              <w:t>事故应急池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jc w:val="both"/>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企业应急负责人</w:t>
            </w:r>
            <w:r>
              <w:rPr>
                <w:rFonts w:hint="eastAsia" w:ascii="Times New Roman" w:cs="Times New Roman"/>
                <w:color w:val="000000" w:themeColor="text1"/>
                <w:sz w:val="21"/>
                <w:szCs w:val="21"/>
                <w14:textFill>
                  <w14:solidFill>
                    <w14:schemeClr w14:val="tx1"/>
                  </w14:solidFill>
                </w14:textFill>
              </w:rPr>
              <w:t>及联系</w:t>
            </w:r>
            <w:r>
              <w:rPr>
                <w:rFonts w:ascii="Times New Roman" w:cs="Times New Roman"/>
                <w:color w:val="000000" w:themeColor="text1"/>
                <w:sz w:val="21"/>
                <w:szCs w:val="21"/>
                <w14:textFill>
                  <w14:solidFill>
                    <w14:schemeClr w14:val="tx1"/>
                  </w14:solidFill>
                </w14:textFill>
              </w:rPr>
              <w:t>电话</w:t>
            </w:r>
          </w:p>
        </w:tc>
        <w:tc>
          <w:tcPr>
            <w:tcW w:w="6460" w:type="dxa"/>
            <w:gridSpan w:val="3"/>
            <w:tcBorders>
              <w:top w:val="single" w:color="auto" w:sz="4" w:space="0"/>
              <w:left w:val="nil"/>
              <w:bottom w:val="single" w:color="auto" w:sz="4" w:space="0"/>
              <w:right w:val="single" w:color="auto" w:sz="4" w:space="0"/>
            </w:tcBorders>
            <w:vAlign w:val="center"/>
          </w:tcPr>
          <w:p>
            <w:pPr>
              <w:rPr>
                <w:color w:val="000000" w:themeColor="text1"/>
                <w:szCs w:val="21"/>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丘发亮</w:t>
            </w:r>
            <w:r>
              <w:rPr>
                <w:rFonts w:hint="eastAsia"/>
                <w:szCs w:val="21"/>
              </w:rPr>
              <w:t>：</w:t>
            </w:r>
            <w:r>
              <w:rPr>
                <w:rFonts w:hint="eastAsia" w:ascii="宋体" w:hAnsi="宋体" w:eastAsia="宋体" w:cs="宋体"/>
                <w:i w:val="0"/>
                <w:iCs w:val="0"/>
                <w:color w:val="000000"/>
                <w:kern w:val="0"/>
                <w:sz w:val="21"/>
                <w:szCs w:val="21"/>
                <w:u w:val="none"/>
                <w:lang w:val="en-US" w:eastAsia="zh-CN" w:bidi="ar"/>
              </w:rPr>
              <w:t>15219802005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jc w:val="both"/>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上级主管单位联系</w:t>
            </w:r>
            <w:r>
              <w:rPr>
                <w:rFonts w:hint="eastAsia" w:ascii="Times New Roman" w:cs="Times New Roman"/>
                <w:color w:val="000000" w:themeColor="text1"/>
                <w:sz w:val="21"/>
                <w:szCs w:val="21"/>
                <w14:textFill>
                  <w14:solidFill>
                    <w14:schemeClr w14:val="tx1"/>
                  </w14:solidFill>
                </w14:textFill>
              </w:rPr>
              <w:t>人及联系</w:t>
            </w:r>
            <w:r>
              <w:rPr>
                <w:rFonts w:ascii="Times New Roman" w:cs="Times New Roman"/>
                <w:color w:val="000000" w:themeColor="text1"/>
                <w:sz w:val="21"/>
                <w:szCs w:val="21"/>
                <w14:textFill>
                  <w14:solidFill>
                    <w14:schemeClr w14:val="tx1"/>
                  </w14:solidFill>
                </w14:textFill>
              </w:rPr>
              <w:t>电话</w:t>
            </w:r>
          </w:p>
        </w:tc>
        <w:tc>
          <w:tcPr>
            <w:tcW w:w="6460" w:type="dxa"/>
            <w:gridSpan w:val="3"/>
            <w:tcBorders>
              <w:top w:val="single" w:color="auto" w:sz="4" w:space="0"/>
              <w:left w:val="nil"/>
              <w:bottom w:val="single" w:color="auto" w:sz="4" w:space="0"/>
              <w:right w:val="single" w:color="auto" w:sz="4" w:space="0"/>
            </w:tcBorders>
            <w:vAlign w:val="center"/>
          </w:tcPr>
          <w:p>
            <w:pPr>
              <w:rPr>
                <w:color w:val="000000" w:themeColor="text1"/>
                <w:szCs w:val="21"/>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肖正祥</w:t>
            </w:r>
            <w:r>
              <w:rPr>
                <w:rFonts w:hint="eastAsia"/>
                <w:szCs w:val="21"/>
              </w:rPr>
              <w:t>：</w:t>
            </w:r>
            <w:r>
              <w:rPr>
                <w:rFonts w:hint="eastAsia" w:ascii="宋体" w:hAnsi="宋体" w:eastAsia="宋体" w:cs="宋体"/>
                <w:i w:val="0"/>
                <w:iCs w:val="0"/>
                <w:color w:val="000000"/>
                <w:kern w:val="0"/>
                <w:sz w:val="21"/>
                <w:szCs w:val="21"/>
                <w:u w:val="none"/>
                <w:lang w:val="en-US" w:eastAsia="zh-CN" w:bidi="ar"/>
              </w:rPr>
              <w:t>13927838628</w:t>
            </w:r>
            <w:r>
              <w:rPr>
                <w:rFonts w:hint="eastAsia" w:ascii="宋体" w:hAnsi="宋体" w:eastAsia="宋体" w:cs="宋体"/>
                <w:color w:val="000000"/>
                <w:kern w:val="0"/>
                <w:sz w:val="21"/>
                <w:szCs w:val="21"/>
                <w:lang w:eastAsia="zh-CN"/>
              </w:rPr>
              <w:t>、</w:t>
            </w:r>
            <w:r>
              <w:rPr>
                <w:rFonts w:hint="eastAsia" w:ascii="宋体" w:hAnsi="宋体" w:eastAsia="宋体" w:cs="宋体"/>
                <w:i w:val="0"/>
                <w:iCs w:val="0"/>
                <w:color w:val="000000"/>
                <w:kern w:val="0"/>
                <w:sz w:val="21"/>
                <w:szCs w:val="21"/>
                <w:u w:val="none"/>
                <w:lang w:val="en-US" w:eastAsia="zh-CN" w:bidi="ar"/>
              </w:rPr>
              <w:t>赵志兴</w:t>
            </w:r>
            <w:r>
              <w:rPr>
                <w:rFonts w:hint="eastAsia" w:ascii="宋体" w:hAnsi="宋体" w:eastAsia="宋体" w:cs="宋体"/>
                <w:color w:val="000000"/>
                <w:kern w:val="0"/>
                <w:sz w:val="21"/>
                <w:szCs w:val="21"/>
                <w:lang w:eastAsia="zh-CN"/>
              </w:rPr>
              <w:t>：</w:t>
            </w:r>
            <w:r>
              <w:rPr>
                <w:rFonts w:hint="eastAsia" w:ascii="宋体" w:hAnsi="宋体" w:eastAsia="宋体" w:cs="宋体"/>
                <w:i w:val="0"/>
                <w:iCs w:val="0"/>
                <w:color w:val="000000"/>
                <w:kern w:val="0"/>
                <w:sz w:val="21"/>
                <w:szCs w:val="21"/>
                <w:u w:val="none"/>
                <w:lang w:val="en-US" w:eastAsia="zh-CN" w:bidi="ar"/>
              </w:rPr>
              <w:t>13828515582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both"/>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外部应急救援机构联系电话</w:t>
            </w:r>
            <w:r>
              <w:rPr>
                <w:rFonts w:hint="eastAsia" w:ascii="Times New Roman" w:cs="Times New Roman"/>
                <w:color w:val="000000" w:themeColor="text1"/>
                <w:sz w:val="21"/>
                <w:szCs w:val="21"/>
                <w14:textFill>
                  <w14:solidFill>
                    <w14:schemeClr w14:val="tx1"/>
                  </w14:solidFill>
                </w14:textFill>
              </w:rPr>
              <w:t>：翁源经济开发区应急救援中心</w:t>
            </w:r>
            <w:r>
              <w:rPr>
                <w:rFonts w:hint="eastAsia" w:ascii="Times New Roman" w:cs="Times New Roman"/>
                <w:color w:val="000000" w:themeColor="text1"/>
                <w:sz w:val="21"/>
                <w:szCs w:val="21"/>
                <w:lang w:eastAsia="zh-CN"/>
                <w14:textFill>
                  <w14:solidFill>
                    <w14:schemeClr w14:val="tx1"/>
                  </w14:solidFill>
                </w14:textFill>
              </w:rPr>
              <w:t>：</w:t>
            </w:r>
            <w:r>
              <w:rPr>
                <w:rFonts w:hint="eastAsia" w:ascii="Times New Roman" w:cs="Times New Roman"/>
                <w:color w:val="000000" w:themeColor="text1"/>
                <w:sz w:val="21"/>
                <w:szCs w:val="21"/>
                <w14:textFill>
                  <w14:solidFill>
                    <w14:schemeClr w14:val="tx1"/>
                  </w14:solidFill>
                </w14:textFill>
              </w:rPr>
              <w:t>何耀红13927860686</w:t>
            </w:r>
          </w:p>
          <w:p>
            <w:pPr>
              <w:pStyle w:val="2"/>
              <w:snapToGrid w:val="0"/>
              <w:spacing w:before="120" w:beforeLines="50" w:line="360" w:lineRule="auto"/>
              <w:jc w:val="both"/>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 xml:space="preserve">消防报警电话119   </w:t>
            </w:r>
            <w:r>
              <w:rPr>
                <w:rFonts w:cs="Times New Roman"/>
                <w:color w:val="000000" w:themeColor="text1"/>
                <w:sz w:val="21"/>
                <w:szCs w:val="21"/>
                <w14:textFill>
                  <w14:solidFill>
                    <w14:schemeClr w14:val="tx1"/>
                  </w14:solidFill>
                </w14:textFill>
              </w:rPr>
              <w:t>急救电话</w:t>
            </w:r>
            <w:r>
              <w:rPr>
                <w:rFonts w:ascii="Times New Roman" w:cs="Times New Roman"/>
                <w:color w:val="000000" w:themeColor="text1"/>
                <w:sz w:val="21"/>
                <w:szCs w:val="21"/>
                <w14:textFill>
                  <w14:solidFill>
                    <w14:schemeClr w14:val="tx1"/>
                  </w14:solidFill>
                </w14:textFill>
              </w:rPr>
              <w:t xml:space="preserve">120   </w:t>
            </w:r>
            <w:r>
              <w:rPr>
                <w:rFonts w:cs="Times New Roman"/>
                <w:color w:val="000000" w:themeColor="text1"/>
                <w:sz w:val="21"/>
                <w:szCs w:val="21"/>
                <w14:textFill>
                  <w14:solidFill>
                    <w14:schemeClr w14:val="tx1"/>
                  </w14:solidFill>
                </w14:textFill>
              </w:rPr>
              <w:t>公安报警电话</w:t>
            </w:r>
            <w:r>
              <w:rPr>
                <w:rFonts w:ascii="Times New Roman" w:cs="Times New Roman"/>
                <w:color w:val="000000" w:themeColor="text1"/>
                <w:sz w:val="21"/>
                <w:szCs w:val="21"/>
                <w14:textFill>
                  <w14:solidFill>
                    <w14:schemeClr w14:val="tx1"/>
                  </w14:solidFill>
                </w14:textFill>
              </w:rPr>
              <w:t>110</w:t>
            </w:r>
          </w:p>
        </w:tc>
      </w:tr>
    </w:tbl>
    <w:p>
      <w:pPr>
        <w:pStyle w:val="2"/>
        <w:spacing w:before="240" w:beforeLines="100" w:line="360" w:lineRule="auto"/>
        <w:jc w:val="center"/>
        <w:rPr>
          <w:rFonts w:ascii="Times New Roman" w:cs="Times New Roman"/>
          <w:b/>
          <w:bCs/>
          <w:color w:val="000000" w:themeColor="text1"/>
          <w:sz w:val="21"/>
          <w:szCs w:val="21"/>
          <w14:textFill>
            <w14:solidFill>
              <w14:schemeClr w14:val="tx1"/>
            </w14:solidFill>
          </w14:textFill>
        </w:rPr>
      </w:pPr>
      <w:r>
        <w:rPr>
          <w:rFonts w:cs="Times New Roman"/>
          <w:b/>
          <w:bCs/>
          <w:color w:val="000000" w:themeColor="text1"/>
          <w:sz w:val="21"/>
          <w:szCs w:val="21"/>
          <w14:textFill>
            <w14:solidFill>
              <w14:schemeClr w14:val="tx1"/>
            </w14:solidFill>
          </w14:textFill>
        </w:rPr>
        <w:t>表</w:t>
      </w:r>
      <w:r>
        <w:rPr>
          <w:rFonts w:hint="eastAsia" w:ascii="Times New Roman" w:cs="Times New Roman"/>
          <w:b/>
          <w:bCs/>
          <w:color w:val="000000" w:themeColor="text1"/>
          <w:sz w:val="21"/>
          <w:szCs w:val="21"/>
          <w14:textFill>
            <w14:solidFill>
              <w14:schemeClr w14:val="tx1"/>
            </w14:solidFill>
          </w14:textFill>
        </w:rPr>
        <w:t>3</w:t>
      </w:r>
      <w:r>
        <w:rPr>
          <w:rFonts w:ascii="Times New Roman" w:cs="Times New Roman"/>
          <w:b/>
          <w:bCs/>
          <w:color w:val="000000" w:themeColor="text1"/>
          <w:sz w:val="21"/>
          <w:szCs w:val="21"/>
          <w14:textFill>
            <w14:solidFill>
              <w14:schemeClr w14:val="tx1"/>
            </w14:solidFill>
          </w14:textFill>
        </w:rPr>
        <w:t xml:space="preserve">  </w:t>
      </w:r>
      <w:r>
        <w:rPr>
          <w:rFonts w:hint="eastAsia" w:cs="Times New Roman"/>
          <w:b/>
          <w:bCs/>
          <w:color w:val="000000" w:themeColor="text1"/>
          <w:sz w:val="21"/>
          <w:szCs w:val="21"/>
          <w14:textFill>
            <w14:solidFill>
              <w14:schemeClr w14:val="tx1"/>
            </w14:solidFill>
          </w14:textFill>
        </w:rPr>
        <w:t>废气治理设施</w:t>
      </w:r>
      <w:r>
        <w:rPr>
          <w:rFonts w:cs="Times New Roman"/>
          <w:b/>
          <w:bCs/>
          <w:color w:val="000000" w:themeColor="text1"/>
          <w:sz w:val="21"/>
          <w:szCs w:val="21"/>
          <w14:textFill>
            <w14:solidFill>
              <w14:schemeClr w14:val="tx1"/>
            </w14:solidFill>
          </w14:textFill>
        </w:rPr>
        <w:t>岗位应急响应卡片</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2"/>
        <w:gridCol w:w="2072"/>
        <w:gridCol w:w="1416"/>
        <w:gridCol w:w="2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岗位名称</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废气治理设施负责人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vAlign w:val="center"/>
          </w:tcPr>
          <w:p>
            <w:pPr>
              <w:pStyle w:val="2"/>
              <w:snapToGrid w:val="0"/>
              <w:spacing w:before="120" w:beforeLines="50" w:line="360" w:lineRule="auto"/>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姓名</w:t>
            </w:r>
          </w:p>
        </w:tc>
        <w:tc>
          <w:tcPr>
            <w:tcW w:w="2072" w:type="dxa"/>
            <w:tcBorders>
              <w:top w:val="single" w:color="auto" w:sz="4" w:space="0"/>
              <w:left w:val="nil"/>
              <w:bottom w:val="single" w:color="auto" w:sz="4" w:space="0"/>
              <w:right w:val="single" w:color="auto" w:sz="4" w:space="0"/>
            </w:tcBorders>
            <w:vAlign w:val="center"/>
          </w:tcPr>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胡春添</w:t>
            </w:r>
          </w:p>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徐良锋</w:t>
            </w:r>
          </w:p>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陈爱明</w:t>
            </w:r>
          </w:p>
        </w:tc>
        <w:tc>
          <w:tcPr>
            <w:tcW w:w="1416" w:type="dxa"/>
            <w:tcBorders>
              <w:top w:val="single" w:color="auto" w:sz="4" w:space="0"/>
              <w:left w:val="nil"/>
              <w:bottom w:val="single" w:color="auto" w:sz="4" w:space="0"/>
              <w:right w:val="single" w:color="auto" w:sz="4" w:space="0"/>
            </w:tcBorders>
            <w:vAlign w:val="center"/>
          </w:tcPr>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联系方式</w:t>
            </w:r>
          </w:p>
        </w:tc>
        <w:tc>
          <w:tcPr>
            <w:tcW w:w="2972" w:type="dxa"/>
            <w:tcBorders>
              <w:top w:val="single" w:color="auto" w:sz="4" w:space="0"/>
              <w:left w:val="nil"/>
              <w:bottom w:val="single" w:color="auto" w:sz="4" w:space="0"/>
              <w:right w:val="single" w:color="auto" w:sz="4" w:space="0"/>
            </w:tcBorders>
            <w:vAlign w:val="center"/>
          </w:tcPr>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13827967298</w:t>
            </w:r>
          </w:p>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13030127283</w:t>
            </w:r>
          </w:p>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13726552941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风险因素</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事故性排放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可能波及范围</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厂区及周边敏感点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信息报告流程</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现场人员告值班办负责人、负责人报告应领导小组办公室、办公室通知各应急小组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应急响应要求</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eastAsia="宋体" w:cs="宋体"/>
                <w:color w:val="000000" w:themeColor="text1"/>
                <w:sz w:val="21"/>
                <w:szCs w:val="21"/>
                <w:lang w:eastAsia="zh-CN"/>
                <w14:textFill>
                  <w14:solidFill>
                    <w14:schemeClr w14:val="tx1"/>
                  </w14:solidFill>
                </w14:textFill>
              </w:rPr>
              <w:t>废气超标排放时启动三级响应级别，</w:t>
            </w:r>
            <w:r>
              <w:rPr>
                <w:rFonts w:hint="eastAsia" w:ascii="宋体" w:hAnsi="宋体" w:eastAsia="宋体" w:cs="宋体"/>
                <w:color w:val="000000" w:themeColor="text1"/>
                <w:sz w:val="21"/>
                <w:szCs w:val="21"/>
                <w14:textFill>
                  <w14:solidFill>
                    <w14:schemeClr w14:val="tx1"/>
                  </w14:solidFill>
                </w14:textFill>
              </w:rPr>
              <w:t>由应急领导小组按事启动车间级应急预案，由企业应急领导小组总指挥长通知企业应急小组立即开展应急工作，并上报公司突发环境事件应急领导小组办公室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可利用应急资源</w:t>
            </w:r>
          </w:p>
        </w:tc>
        <w:tc>
          <w:tcPr>
            <w:tcW w:w="6460" w:type="dxa"/>
            <w:gridSpan w:val="3"/>
            <w:tcBorders>
              <w:top w:val="single" w:color="auto" w:sz="4" w:space="0"/>
              <w:left w:val="nil"/>
              <w:bottom w:val="single" w:color="auto" w:sz="4" w:space="0"/>
              <w:right w:val="single" w:color="auto" w:sz="4" w:space="0"/>
            </w:tcBorders>
          </w:tcPr>
          <w:p>
            <w:pPr>
              <w:pStyle w:val="2"/>
              <w:snapToGrid w:val="0"/>
              <w:spacing w:before="120" w:beforeLines="50" w:line="360" w:lineRule="auto"/>
              <w:jc w:val="center"/>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hAnsi="宋体" w:cs="宋体"/>
                <w:color w:val="000000" w:themeColor="text1"/>
                <w:sz w:val="21"/>
                <w:szCs w:val="21"/>
                <w:lang w:val="en-US" w:eastAsia="zh-CN"/>
                <w14:textFill>
                  <w14:solidFill>
                    <w14:schemeClr w14:val="tx1"/>
                  </w14:solidFill>
                </w14:textFill>
              </w:rPr>
              <w:t>备用布袋</w:t>
            </w:r>
            <w:r>
              <w:rPr>
                <w:rFonts w:hint="eastAsia" w:ascii="宋体" w:hAnsi="宋体" w:eastAsia="宋体" w:cs="宋体"/>
                <w:color w:val="000000" w:themeColor="text1"/>
                <w:sz w:val="21"/>
                <w:szCs w:val="21"/>
                <w:lang w:eastAsia="zh-CN"/>
                <w14:textFill>
                  <w14:solidFill>
                    <w14:schemeClr w14:val="tx1"/>
                  </w14:solidFill>
                </w14:textFill>
              </w:rPr>
              <w:t>、</w:t>
            </w:r>
            <w:r>
              <w:rPr>
                <w:rFonts w:hint="eastAsia" w:hAnsi="宋体" w:cs="宋体"/>
                <w:color w:val="000000" w:themeColor="text1"/>
                <w:sz w:val="21"/>
                <w:szCs w:val="21"/>
                <w:lang w:val="en-US" w:eastAsia="zh-CN"/>
                <w14:textFill>
                  <w14:solidFill>
                    <w14:schemeClr w14:val="tx1"/>
                  </w14:solidFill>
                </w14:textFill>
              </w:rPr>
              <w:t>龙骨架、</w:t>
            </w:r>
            <w:r>
              <w:rPr>
                <w:rFonts w:hint="eastAsia" w:ascii="宋体" w:hAnsi="宋体" w:eastAsia="宋体" w:cs="宋体"/>
                <w:color w:val="000000" w:themeColor="text1"/>
                <w:sz w:val="21"/>
                <w:szCs w:val="21"/>
                <w:lang w:eastAsia="zh-CN"/>
                <w14:textFill>
                  <w14:solidFill>
                    <w14:schemeClr w14:val="tx1"/>
                  </w14:solidFill>
                </w14:textFill>
              </w:rPr>
              <w:t>备用</w:t>
            </w:r>
            <w:r>
              <w:rPr>
                <w:rFonts w:hint="eastAsia" w:hAnsi="宋体" w:cs="宋体"/>
                <w:color w:val="000000" w:themeColor="text1"/>
                <w:sz w:val="21"/>
                <w:szCs w:val="21"/>
                <w:lang w:val="en-US" w:eastAsia="zh-CN"/>
                <w14:textFill>
                  <w14:solidFill>
                    <w14:schemeClr w14:val="tx1"/>
                  </w14:solidFill>
                </w14:textFill>
              </w:rPr>
              <w:t>风机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jc w:val="both"/>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企业应急负责人及联系电话</w:t>
            </w:r>
          </w:p>
        </w:tc>
        <w:tc>
          <w:tcPr>
            <w:tcW w:w="6460" w:type="dxa"/>
            <w:gridSpan w:val="3"/>
            <w:tcBorders>
              <w:top w:val="single" w:color="auto" w:sz="4" w:space="0"/>
              <w:left w:val="nil"/>
              <w:bottom w:val="single" w:color="auto" w:sz="4" w:space="0"/>
              <w:right w:val="single" w:color="auto" w:sz="4" w:space="0"/>
            </w:tcBorders>
            <w:vAlign w:val="center"/>
          </w:tcPr>
          <w:p>
            <w:pP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丘发亮</w:t>
            </w:r>
            <w:r>
              <w:rPr>
                <w:rFonts w:hint="eastAsia" w:ascii="宋体" w:hAnsi="宋体" w:eastAsia="宋体" w:cs="宋体"/>
                <w:sz w:val="21"/>
                <w:szCs w:val="21"/>
              </w:rPr>
              <w:t>：</w:t>
            </w:r>
            <w:r>
              <w:rPr>
                <w:rFonts w:hint="eastAsia" w:ascii="宋体" w:hAnsi="宋体" w:eastAsia="宋体" w:cs="宋体"/>
                <w:i w:val="0"/>
                <w:iCs w:val="0"/>
                <w:color w:val="000000"/>
                <w:kern w:val="0"/>
                <w:sz w:val="21"/>
                <w:szCs w:val="21"/>
                <w:u w:val="none"/>
                <w:lang w:val="en-US" w:eastAsia="zh-CN" w:bidi="ar"/>
              </w:rPr>
              <w:t>15219802005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jc w:val="both"/>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上级主管单位联系人及联系电话</w:t>
            </w:r>
          </w:p>
        </w:tc>
        <w:tc>
          <w:tcPr>
            <w:tcW w:w="6460" w:type="dxa"/>
            <w:gridSpan w:val="3"/>
            <w:tcBorders>
              <w:top w:val="single" w:color="auto" w:sz="4" w:space="0"/>
              <w:left w:val="nil"/>
              <w:bottom w:val="single" w:color="auto" w:sz="4" w:space="0"/>
              <w:right w:val="single" w:color="auto" w:sz="4" w:space="0"/>
            </w:tcBorders>
            <w:vAlign w:val="center"/>
          </w:tcPr>
          <w:p>
            <w:pP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肖正祥</w:t>
            </w:r>
            <w:r>
              <w:rPr>
                <w:rFonts w:hint="eastAsia" w:ascii="宋体" w:hAnsi="宋体" w:eastAsia="宋体" w:cs="宋体"/>
                <w:sz w:val="21"/>
                <w:szCs w:val="21"/>
              </w:rPr>
              <w:t>：</w:t>
            </w:r>
            <w:r>
              <w:rPr>
                <w:rFonts w:hint="eastAsia" w:ascii="宋体" w:hAnsi="宋体" w:eastAsia="宋体" w:cs="宋体"/>
                <w:i w:val="0"/>
                <w:iCs w:val="0"/>
                <w:color w:val="000000"/>
                <w:kern w:val="0"/>
                <w:sz w:val="21"/>
                <w:szCs w:val="21"/>
                <w:u w:val="none"/>
                <w:lang w:val="en-US" w:eastAsia="zh-CN" w:bidi="ar"/>
              </w:rPr>
              <w:t>13927838628</w:t>
            </w:r>
            <w:r>
              <w:rPr>
                <w:rFonts w:hint="eastAsia" w:ascii="宋体" w:hAnsi="宋体" w:eastAsia="宋体" w:cs="宋体"/>
                <w:color w:val="000000"/>
                <w:kern w:val="0"/>
                <w:sz w:val="21"/>
                <w:szCs w:val="21"/>
                <w:lang w:eastAsia="zh-CN"/>
              </w:rPr>
              <w:t>、</w:t>
            </w:r>
            <w:r>
              <w:rPr>
                <w:rFonts w:hint="eastAsia" w:ascii="宋体" w:hAnsi="宋体" w:eastAsia="宋体" w:cs="宋体"/>
                <w:i w:val="0"/>
                <w:iCs w:val="0"/>
                <w:color w:val="000000"/>
                <w:kern w:val="0"/>
                <w:sz w:val="21"/>
                <w:szCs w:val="21"/>
                <w:u w:val="none"/>
                <w:lang w:val="en-US" w:eastAsia="zh-CN" w:bidi="ar"/>
              </w:rPr>
              <w:t>赵志兴</w:t>
            </w:r>
            <w:r>
              <w:rPr>
                <w:rFonts w:hint="eastAsia" w:ascii="宋体" w:hAnsi="宋体" w:eastAsia="宋体" w:cs="宋体"/>
                <w:color w:val="000000"/>
                <w:kern w:val="0"/>
                <w:sz w:val="21"/>
                <w:szCs w:val="21"/>
                <w:lang w:eastAsia="zh-CN"/>
              </w:rPr>
              <w:t>：</w:t>
            </w:r>
            <w:r>
              <w:rPr>
                <w:rFonts w:hint="eastAsia" w:ascii="宋体" w:hAnsi="宋体" w:eastAsia="宋体" w:cs="宋体"/>
                <w:i w:val="0"/>
                <w:iCs w:val="0"/>
                <w:color w:val="000000"/>
                <w:kern w:val="0"/>
                <w:sz w:val="21"/>
                <w:szCs w:val="21"/>
                <w:u w:val="none"/>
                <w:lang w:val="en-US" w:eastAsia="zh-CN" w:bidi="ar"/>
              </w:rPr>
              <w:t>13828515582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tcBorders>
              <w:top w:val="single" w:color="auto" w:sz="4" w:space="0"/>
              <w:left w:val="single" w:color="auto" w:sz="4" w:space="0"/>
              <w:bottom w:val="single" w:color="auto" w:sz="4" w:space="0"/>
              <w:right w:val="single" w:color="auto" w:sz="4" w:space="0"/>
            </w:tcBorders>
          </w:tcPr>
          <w:p>
            <w:pPr>
              <w:pStyle w:val="2"/>
              <w:snapToGrid w:val="0"/>
              <w:spacing w:before="120" w:beforeLines="50" w:line="360" w:lineRule="auto"/>
              <w:jc w:val="both"/>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外部应急救援机构联系电话：翁源经济开发区应急救援中心</w:t>
            </w:r>
            <w:r>
              <w:rPr>
                <w:rFonts w:hint="eastAsia" w:ascii="宋体" w:hAnsi="宋体" w:eastAsia="宋体" w:cs="宋体"/>
                <w:color w:val="000000" w:themeColor="text1"/>
                <w:sz w:val="21"/>
                <w:szCs w:val="21"/>
                <w:lang w:eastAsia="zh-CN"/>
                <w14:textFill>
                  <w14:solidFill>
                    <w14:schemeClr w14:val="tx1"/>
                  </w14:solidFill>
                </w14:textFill>
              </w:rPr>
              <w:t>：</w:t>
            </w:r>
            <w:r>
              <w:rPr>
                <w:rFonts w:hint="eastAsia" w:ascii="宋体" w:hAnsi="宋体" w:eastAsia="宋体" w:cs="宋体"/>
                <w:color w:val="000000" w:themeColor="text1"/>
                <w:sz w:val="21"/>
                <w:szCs w:val="21"/>
                <w14:textFill>
                  <w14:solidFill>
                    <w14:schemeClr w14:val="tx1"/>
                  </w14:solidFill>
                </w14:textFill>
              </w:rPr>
              <w:t>何耀红13927860686</w:t>
            </w:r>
          </w:p>
          <w:p>
            <w:pPr>
              <w:pStyle w:val="2"/>
              <w:snapToGrid w:val="0"/>
              <w:spacing w:before="120" w:beforeLines="50" w:line="360" w:lineRule="auto"/>
              <w:jc w:val="both"/>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消防报警电话119   急救电话120   公安报警电话110</w:t>
            </w:r>
          </w:p>
        </w:tc>
      </w:tr>
    </w:tbl>
    <w:p>
      <w:pPr>
        <w:pStyle w:val="2"/>
        <w:keepNext w:val="0"/>
        <w:keepLines w:val="0"/>
        <w:pageBreakBefore w:val="0"/>
        <w:widowControl w:val="0"/>
        <w:kinsoku/>
        <w:wordWrap/>
        <w:overflowPunct/>
        <w:topLinePunct w:val="0"/>
        <w:autoSpaceDE w:val="0"/>
        <w:autoSpaceDN w:val="0"/>
        <w:bidi w:val="0"/>
        <w:adjustRightInd w:val="0"/>
        <w:snapToGrid w:val="0"/>
        <w:spacing w:before="313" w:beforeLines="100" w:line="360" w:lineRule="auto"/>
        <w:jc w:val="center"/>
        <w:textAlignment w:val="auto"/>
        <w:rPr>
          <w:rFonts w:cs="Times New Roman"/>
          <w:b/>
          <w:bCs/>
          <w:color w:val="000000" w:themeColor="text1"/>
          <w:sz w:val="21"/>
          <w:szCs w:val="21"/>
          <w14:textFill>
            <w14:solidFill>
              <w14:schemeClr w14:val="tx1"/>
            </w14:solidFill>
          </w14:textFill>
        </w:rPr>
      </w:pPr>
      <w:r>
        <w:rPr>
          <w:rFonts w:cs="Times New Roman"/>
          <w:b/>
          <w:bCs/>
          <w:color w:val="000000" w:themeColor="text1"/>
          <w:sz w:val="21"/>
          <w:szCs w:val="21"/>
          <w14:textFill>
            <w14:solidFill>
              <w14:schemeClr w14:val="tx1"/>
            </w14:solidFill>
          </w14:textFill>
        </w:rPr>
        <w:t>表</w:t>
      </w:r>
      <w:r>
        <w:rPr>
          <w:rFonts w:hint="eastAsia" w:cs="Times New Roman"/>
          <w:b/>
          <w:bCs/>
          <w:color w:val="000000" w:themeColor="text1"/>
          <w:sz w:val="21"/>
          <w:szCs w:val="21"/>
          <w14:textFill>
            <w14:solidFill>
              <w14:schemeClr w14:val="tx1"/>
            </w14:solidFill>
          </w14:textFill>
        </w:rPr>
        <w:t>4</w:t>
      </w:r>
      <w:r>
        <w:rPr>
          <w:rFonts w:cs="Times New Roman"/>
          <w:b/>
          <w:bCs/>
          <w:color w:val="000000" w:themeColor="text1"/>
          <w:sz w:val="21"/>
          <w:szCs w:val="21"/>
          <w14:textFill>
            <w14:solidFill>
              <w14:schemeClr w14:val="tx1"/>
            </w14:solidFill>
          </w14:textFill>
        </w:rPr>
        <w:t xml:space="preserve">  </w:t>
      </w:r>
      <w:r>
        <w:rPr>
          <w:rFonts w:hint="eastAsia" w:cs="Times New Roman"/>
          <w:b/>
          <w:bCs/>
          <w:color w:val="000000" w:themeColor="text1"/>
          <w:sz w:val="21"/>
          <w:szCs w:val="21"/>
          <w:lang w:val="en-US" w:eastAsia="zh-CN"/>
          <w14:textFill>
            <w14:solidFill>
              <w14:schemeClr w14:val="tx1"/>
            </w14:solidFill>
          </w14:textFill>
        </w:rPr>
        <w:t>氨水储罐</w:t>
      </w:r>
      <w:r>
        <w:rPr>
          <w:rFonts w:cs="Times New Roman"/>
          <w:b/>
          <w:bCs/>
          <w:color w:val="000000" w:themeColor="text1"/>
          <w:sz w:val="21"/>
          <w:szCs w:val="21"/>
          <w14:textFill>
            <w14:solidFill>
              <w14:schemeClr w14:val="tx1"/>
            </w14:solidFill>
          </w14:textFill>
        </w:rPr>
        <w:t>岗位应急响应卡片</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2"/>
        <w:gridCol w:w="2072"/>
        <w:gridCol w:w="1416"/>
        <w:gridCol w:w="2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岗位名称</w:t>
            </w:r>
          </w:p>
        </w:tc>
        <w:tc>
          <w:tcPr>
            <w:tcW w:w="64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原料仓库负责人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vAlign w:val="center"/>
          </w:tcPr>
          <w:p>
            <w:pPr>
              <w:pStyle w:val="2"/>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ascii="Times New Roman" w:cs="Times New Roman"/>
                <w:color w:val="000000" w:themeColor="text1"/>
                <w:sz w:val="21"/>
                <w:szCs w:val="21"/>
                <w:highlight w:val="none"/>
                <w14:textFill>
                  <w14:solidFill>
                    <w14:schemeClr w14:val="tx1"/>
                  </w14:solidFill>
                </w14:textFill>
              </w:rPr>
              <w:t>姓名</w:t>
            </w:r>
          </w:p>
        </w:tc>
        <w:tc>
          <w:tcPr>
            <w:tcW w:w="2072" w:type="dxa"/>
            <w:tcBorders>
              <w:top w:val="single" w:color="auto" w:sz="4" w:space="0"/>
              <w:left w:val="nil"/>
              <w:bottom w:val="single" w:color="auto" w:sz="4" w:space="0"/>
              <w:right w:val="single" w:color="auto" w:sz="4" w:space="0"/>
            </w:tcBorders>
            <w:vAlign w:val="center"/>
          </w:tcPr>
          <w:p>
            <w:pPr>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徐良锋</w:t>
            </w:r>
          </w:p>
        </w:tc>
        <w:tc>
          <w:tcPr>
            <w:tcW w:w="1416" w:type="dxa"/>
            <w:tcBorders>
              <w:top w:val="single" w:color="auto" w:sz="4" w:space="0"/>
              <w:left w:val="nil"/>
              <w:bottom w:val="single" w:color="auto" w:sz="4" w:space="0"/>
              <w:right w:val="single" w:color="auto" w:sz="4" w:space="0"/>
            </w:tcBorders>
            <w:vAlign w:val="center"/>
          </w:tcPr>
          <w:p>
            <w:pPr>
              <w:pStyle w:val="2"/>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ascii="Times New Roman" w:cs="Times New Roman"/>
                <w:color w:val="000000" w:themeColor="text1"/>
                <w:sz w:val="21"/>
                <w:szCs w:val="21"/>
                <w:highlight w:val="none"/>
                <w14:textFill>
                  <w14:solidFill>
                    <w14:schemeClr w14:val="tx1"/>
                  </w14:solidFill>
                </w14:textFill>
              </w:rPr>
              <w:t>联系方式</w:t>
            </w:r>
          </w:p>
        </w:tc>
        <w:tc>
          <w:tcPr>
            <w:tcW w:w="2972" w:type="dxa"/>
            <w:tcBorders>
              <w:top w:val="single" w:color="auto" w:sz="4" w:space="0"/>
              <w:left w:val="nil"/>
              <w:bottom w:val="single" w:color="auto" w:sz="4" w:space="0"/>
              <w:right w:val="single" w:color="auto" w:sz="4" w:space="0"/>
            </w:tcBorders>
            <w:vAlign w:val="center"/>
          </w:tcPr>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color w:val="000000" w:themeColor="text1"/>
                <w:szCs w:val="21"/>
                <w:highlight w:val="none"/>
                <w14:textFill>
                  <w14:solidFill>
                    <w14:schemeClr w14:val="tx1"/>
                  </w14:solidFill>
                </w14:textFill>
              </w:rPr>
            </w:pPr>
            <w:r>
              <w:rPr>
                <w:rFonts w:hint="eastAsia" w:ascii="Times New Roman" w:cs="Times New Roman"/>
                <w:color w:val="000000" w:themeColor="text1"/>
                <w:sz w:val="21"/>
                <w:szCs w:val="21"/>
                <w:highlight w:val="none"/>
                <w14:textFill>
                  <w14:solidFill>
                    <w14:schemeClr w14:val="tx1"/>
                  </w14:solidFill>
                </w14:textFill>
              </w:rPr>
              <w:t>13030127283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风险因素</w:t>
            </w:r>
          </w:p>
        </w:tc>
        <w:tc>
          <w:tcPr>
            <w:tcW w:w="64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火灾、泄漏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可能波及范围</w:t>
            </w:r>
          </w:p>
        </w:tc>
        <w:tc>
          <w:tcPr>
            <w:tcW w:w="64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hint="default" w:ascii="Times New Roman" w:eastAsia="宋体" w:cs="Times New Roman"/>
                <w:color w:val="000000" w:themeColor="text1"/>
                <w:sz w:val="21"/>
                <w:szCs w:val="21"/>
                <w:lang w:val="en-US" w:eastAsia="zh-CN"/>
                <w14:textFill>
                  <w14:solidFill>
                    <w14:schemeClr w14:val="tx1"/>
                  </w14:solidFill>
                </w14:textFill>
              </w:rPr>
            </w:pPr>
            <w:r>
              <w:rPr>
                <w:rFonts w:hint="eastAsia" w:ascii="Times New Roman" w:cs="Times New Roman"/>
                <w:color w:val="000000" w:themeColor="text1"/>
                <w:sz w:val="21"/>
                <w:szCs w:val="21"/>
                <w:lang w:val="en-US" w:eastAsia="zh-CN"/>
                <w14:textFill>
                  <w14:solidFill>
                    <w14:schemeClr w14:val="tx1"/>
                  </w14:solidFill>
                </w14:textFill>
              </w:rPr>
              <w:t>厂外地表水无名溪</w:t>
            </w:r>
            <w:r>
              <w:rPr>
                <w:rFonts w:hint="eastAsia" w:ascii="Times New Roman" w:cs="Times New Roman"/>
                <w:color w:val="000000" w:themeColor="text1"/>
                <w:sz w:val="21"/>
                <w:szCs w:val="21"/>
                <w:lang w:eastAsia="zh-CN"/>
                <w14:textFill>
                  <w14:solidFill>
                    <w14:schemeClr w14:val="tx1"/>
                  </w14:solidFill>
                </w14:textFill>
              </w:rPr>
              <w:t>、</w:t>
            </w:r>
            <w:r>
              <w:rPr>
                <w:rFonts w:hint="eastAsia" w:ascii="Times New Roman" w:cs="Times New Roman"/>
                <w:color w:val="000000" w:themeColor="text1"/>
                <w:sz w:val="21"/>
                <w:szCs w:val="21"/>
                <w:lang w:val="en-US" w:eastAsia="zh-CN"/>
                <w14:textFill>
                  <w14:solidFill>
                    <w14:schemeClr w14:val="tx1"/>
                  </w14:solidFill>
                </w14:textFill>
              </w:rPr>
              <w:t>周边敏感点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信息报告流程</w:t>
            </w:r>
          </w:p>
        </w:tc>
        <w:tc>
          <w:tcPr>
            <w:tcW w:w="64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现场人员告值班办负责人、负责人报告应领导小组办公室、办公室通知各应急小组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应急响应要求</w:t>
            </w:r>
          </w:p>
        </w:tc>
        <w:tc>
          <w:tcPr>
            <w:tcW w:w="64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hint="eastAsia" w:ascii="Times New Roman" w:cs="Times New Roman"/>
                <w:color w:val="000000" w:themeColor="text1"/>
                <w:sz w:val="21"/>
                <w:szCs w:val="21"/>
                <w:lang w:eastAsia="zh-CN"/>
                <w14:textFill>
                  <w14:solidFill>
                    <w14:schemeClr w14:val="tx1"/>
                  </w14:solidFill>
                </w14:textFill>
              </w:rPr>
              <w:t>危险化学品少量泄漏时启动三级响应级别，危险化学品大量泄漏启动二</w:t>
            </w:r>
            <w:r>
              <w:rPr>
                <w:rFonts w:ascii="Times New Roman" w:cs="Times New Roman"/>
                <w:color w:val="000000" w:themeColor="text1"/>
                <w:sz w:val="21"/>
                <w:szCs w:val="21"/>
                <w14:textFill>
                  <w14:solidFill>
                    <w14:schemeClr w14:val="tx1"/>
                  </w14:solidFill>
                </w14:textFill>
              </w:rPr>
              <w:t>级响应级别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可利用应急资源</w:t>
            </w:r>
          </w:p>
        </w:tc>
        <w:tc>
          <w:tcPr>
            <w:tcW w:w="64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hint="eastAsia" w:ascii="Times New Roman" w:cs="Times New Roman"/>
                <w:color w:val="000000" w:themeColor="text1"/>
                <w:sz w:val="21"/>
                <w:szCs w:val="21"/>
                <w14:textFill>
                  <w14:solidFill>
                    <w14:schemeClr w14:val="tx1"/>
                  </w14:solidFill>
                </w14:textFill>
              </w:rPr>
              <w:t>安全警戒线、</w:t>
            </w:r>
            <w:r>
              <w:rPr>
                <w:rFonts w:hint="eastAsia" w:ascii="Times New Roman" w:cs="Times New Roman"/>
                <w:color w:val="000000" w:themeColor="text1"/>
                <w:sz w:val="21"/>
                <w:szCs w:val="21"/>
                <w:lang w:val="en-US" w:eastAsia="zh-CN"/>
                <w14:textFill>
                  <w14:solidFill>
                    <w14:schemeClr w14:val="tx1"/>
                  </w14:solidFill>
                </w14:textFill>
              </w:rPr>
              <w:t>沉淀池、事故应急池、抽水泵</w:t>
            </w:r>
            <w:r>
              <w:rPr>
                <w:rFonts w:hint="eastAsia" w:ascii="Times New Roman" w:cs="Times New Roman"/>
                <w:color w:val="000000" w:themeColor="text1"/>
                <w:sz w:val="21"/>
                <w:szCs w:val="21"/>
                <w14:textFill>
                  <w14:solidFill>
                    <w14:schemeClr w14:val="tx1"/>
                  </w14:solidFill>
                </w14:textFill>
              </w:rPr>
              <w:t>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jc w:val="both"/>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企业应急负责人</w:t>
            </w:r>
            <w:r>
              <w:rPr>
                <w:rFonts w:hint="eastAsia" w:ascii="Times New Roman" w:cs="Times New Roman"/>
                <w:color w:val="000000" w:themeColor="text1"/>
                <w:sz w:val="21"/>
                <w:szCs w:val="21"/>
                <w14:textFill>
                  <w14:solidFill>
                    <w14:schemeClr w14:val="tx1"/>
                  </w14:solidFill>
                </w14:textFill>
              </w:rPr>
              <w:t>及联系</w:t>
            </w:r>
            <w:r>
              <w:rPr>
                <w:rFonts w:ascii="Times New Roman" w:cs="Times New Roman"/>
                <w:color w:val="000000" w:themeColor="text1"/>
                <w:sz w:val="21"/>
                <w:szCs w:val="21"/>
                <w14:textFill>
                  <w14:solidFill>
                    <w14:schemeClr w14:val="tx1"/>
                  </w14:solidFill>
                </w14:textFill>
              </w:rPr>
              <w:t>电话</w:t>
            </w:r>
          </w:p>
        </w:tc>
        <w:tc>
          <w:tcPr>
            <w:tcW w:w="6460" w:type="dxa"/>
            <w:gridSpan w:val="3"/>
            <w:tcBorders>
              <w:top w:val="single" w:color="auto" w:sz="4" w:space="0"/>
              <w:left w:val="nil"/>
              <w:bottom w:val="single" w:color="auto" w:sz="4" w:space="0"/>
              <w:right w:val="single" w:color="auto" w:sz="4" w:space="0"/>
            </w:tcBorders>
            <w:vAlign w:val="center"/>
          </w:tcPr>
          <w:p>
            <w:pPr>
              <w:rPr>
                <w:color w:val="000000" w:themeColor="text1"/>
                <w:szCs w:val="21"/>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丘发亮</w:t>
            </w:r>
            <w:r>
              <w:rPr>
                <w:rFonts w:hint="eastAsia"/>
                <w:szCs w:val="21"/>
              </w:rPr>
              <w:t>：</w:t>
            </w:r>
            <w:r>
              <w:rPr>
                <w:rFonts w:hint="eastAsia" w:ascii="宋体" w:hAnsi="宋体" w:eastAsia="宋体" w:cs="宋体"/>
                <w:i w:val="0"/>
                <w:iCs w:val="0"/>
                <w:color w:val="000000"/>
                <w:kern w:val="0"/>
                <w:sz w:val="21"/>
                <w:szCs w:val="21"/>
                <w:u w:val="none"/>
                <w:lang w:val="en-US" w:eastAsia="zh-CN" w:bidi="ar"/>
              </w:rPr>
              <w:t>15219802005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2" w:type="dxa"/>
            <w:tcBorders>
              <w:top w:val="single" w:color="auto" w:sz="4" w:space="0"/>
              <w:left w:val="single" w:color="auto" w:sz="4" w:space="0"/>
              <w:bottom w:val="single" w:color="auto" w:sz="4" w:space="0"/>
              <w:right w:val="single" w:color="auto" w:sz="4" w:space="0"/>
            </w:tcBorders>
          </w:tcPr>
          <w:p>
            <w:pPr>
              <w:pStyle w:val="2"/>
              <w:snapToGrid w:val="0"/>
              <w:jc w:val="both"/>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上级主管单位联系</w:t>
            </w:r>
            <w:r>
              <w:rPr>
                <w:rFonts w:hint="eastAsia" w:ascii="Times New Roman" w:cs="Times New Roman"/>
                <w:color w:val="000000" w:themeColor="text1"/>
                <w:sz w:val="21"/>
                <w:szCs w:val="21"/>
                <w14:textFill>
                  <w14:solidFill>
                    <w14:schemeClr w14:val="tx1"/>
                  </w14:solidFill>
                </w14:textFill>
              </w:rPr>
              <w:t>人及联系</w:t>
            </w:r>
            <w:r>
              <w:rPr>
                <w:rFonts w:ascii="Times New Roman" w:cs="Times New Roman"/>
                <w:color w:val="000000" w:themeColor="text1"/>
                <w:sz w:val="21"/>
                <w:szCs w:val="21"/>
                <w14:textFill>
                  <w14:solidFill>
                    <w14:schemeClr w14:val="tx1"/>
                  </w14:solidFill>
                </w14:textFill>
              </w:rPr>
              <w:t>电话</w:t>
            </w:r>
          </w:p>
        </w:tc>
        <w:tc>
          <w:tcPr>
            <w:tcW w:w="6460" w:type="dxa"/>
            <w:gridSpan w:val="3"/>
            <w:tcBorders>
              <w:top w:val="single" w:color="auto" w:sz="4" w:space="0"/>
              <w:left w:val="nil"/>
              <w:bottom w:val="single" w:color="auto" w:sz="4" w:space="0"/>
              <w:right w:val="single" w:color="auto" w:sz="4" w:space="0"/>
            </w:tcBorders>
            <w:vAlign w:val="center"/>
          </w:tcPr>
          <w:p>
            <w:pPr>
              <w:rPr>
                <w:color w:val="000000" w:themeColor="text1"/>
                <w:szCs w:val="21"/>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肖正祥</w:t>
            </w:r>
            <w:r>
              <w:rPr>
                <w:rFonts w:hint="eastAsia"/>
                <w:szCs w:val="21"/>
              </w:rPr>
              <w:t>：</w:t>
            </w:r>
            <w:r>
              <w:rPr>
                <w:rFonts w:hint="eastAsia" w:ascii="宋体" w:hAnsi="宋体" w:eastAsia="宋体" w:cs="宋体"/>
                <w:i w:val="0"/>
                <w:iCs w:val="0"/>
                <w:color w:val="000000"/>
                <w:kern w:val="0"/>
                <w:sz w:val="21"/>
                <w:szCs w:val="21"/>
                <w:u w:val="none"/>
                <w:lang w:val="en-US" w:eastAsia="zh-CN" w:bidi="ar"/>
              </w:rPr>
              <w:t>13927838628</w:t>
            </w:r>
            <w:r>
              <w:rPr>
                <w:rFonts w:hint="eastAsia" w:ascii="宋体" w:hAnsi="宋体" w:eastAsia="宋体" w:cs="宋体"/>
                <w:color w:val="000000"/>
                <w:kern w:val="0"/>
                <w:sz w:val="21"/>
                <w:szCs w:val="21"/>
                <w:lang w:eastAsia="zh-CN"/>
              </w:rPr>
              <w:t>、</w:t>
            </w:r>
            <w:r>
              <w:rPr>
                <w:rFonts w:hint="eastAsia" w:ascii="宋体" w:hAnsi="宋体" w:eastAsia="宋体" w:cs="宋体"/>
                <w:i w:val="0"/>
                <w:iCs w:val="0"/>
                <w:color w:val="000000"/>
                <w:kern w:val="0"/>
                <w:sz w:val="21"/>
                <w:szCs w:val="21"/>
                <w:u w:val="none"/>
                <w:lang w:val="en-US" w:eastAsia="zh-CN" w:bidi="ar"/>
              </w:rPr>
              <w:t>赵志兴</w:t>
            </w:r>
            <w:r>
              <w:rPr>
                <w:rFonts w:hint="eastAsia" w:ascii="宋体" w:hAnsi="宋体" w:eastAsia="宋体" w:cs="宋体"/>
                <w:color w:val="000000"/>
                <w:kern w:val="0"/>
                <w:sz w:val="21"/>
                <w:szCs w:val="21"/>
                <w:lang w:eastAsia="zh-CN"/>
              </w:rPr>
              <w:t>：</w:t>
            </w:r>
            <w:r>
              <w:rPr>
                <w:rFonts w:hint="eastAsia" w:ascii="宋体" w:hAnsi="宋体" w:eastAsia="宋体" w:cs="宋体"/>
                <w:i w:val="0"/>
                <w:iCs w:val="0"/>
                <w:color w:val="000000"/>
                <w:kern w:val="0"/>
                <w:sz w:val="21"/>
                <w:szCs w:val="21"/>
                <w:u w:val="none"/>
                <w:lang w:val="en-US" w:eastAsia="zh-CN" w:bidi="ar"/>
              </w:rPr>
              <w:t>13828515582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tcBorders>
              <w:top w:val="single" w:color="auto" w:sz="4" w:space="0"/>
              <w:left w:val="single" w:color="auto" w:sz="4" w:space="0"/>
              <w:bottom w:val="single" w:color="auto" w:sz="4" w:space="0"/>
              <w:right w:val="single" w:color="auto" w:sz="4" w:space="0"/>
            </w:tcBorders>
          </w:tcPr>
          <w:p>
            <w:pPr>
              <w:pStyle w:val="2"/>
              <w:spacing w:before="120" w:beforeLines="50" w:line="360" w:lineRule="auto"/>
              <w:jc w:val="both"/>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外部应急救援机构联系电话</w:t>
            </w:r>
            <w:r>
              <w:rPr>
                <w:rFonts w:hint="eastAsia" w:ascii="Times New Roman" w:cs="Times New Roman"/>
                <w:color w:val="000000" w:themeColor="text1"/>
                <w:sz w:val="21"/>
                <w:szCs w:val="21"/>
                <w14:textFill>
                  <w14:solidFill>
                    <w14:schemeClr w14:val="tx1"/>
                  </w14:solidFill>
                </w14:textFill>
              </w:rPr>
              <w:t>：翁源经济开发区应急救援中心</w:t>
            </w:r>
            <w:r>
              <w:rPr>
                <w:rFonts w:hint="eastAsia" w:ascii="Times New Roman" w:cs="Times New Roman"/>
                <w:color w:val="000000" w:themeColor="text1"/>
                <w:sz w:val="21"/>
                <w:szCs w:val="21"/>
                <w:lang w:eastAsia="zh-CN"/>
                <w14:textFill>
                  <w14:solidFill>
                    <w14:schemeClr w14:val="tx1"/>
                  </w14:solidFill>
                </w14:textFill>
              </w:rPr>
              <w:t>：</w:t>
            </w:r>
            <w:r>
              <w:rPr>
                <w:rFonts w:hint="eastAsia" w:ascii="Times New Roman" w:cs="Times New Roman"/>
                <w:color w:val="000000" w:themeColor="text1"/>
                <w:sz w:val="21"/>
                <w:szCs w:val="21"/>
                <w14:textFill>
                  <w14:solidFill>
                    <w14:schemeClr w14:val="tx1"/>
                  </w14:solidFill>
                </w14:textFill>
              </w:rPr>
              <w:t>何耀红13927860686</w:t>
            </w:r>
          </w:p>
          <w:p>
            <w:pPr>
              <w:pStyle w:val="2"/>
              <w:spacing w:before="120" w:beforeLines="50" w:line="360" w:lineRule="auto"/>
              <w:jc w:val="both"/>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 xml:space="preserve">消防报警电话119   </w:t>
            </w:r>
            <w:r>
              <w:rPr>
                <w:rFonts w:cs="Times New Roman"/>
                <w:color w:val="000000" w:themeColor="text1"/>
                <w:sz w:val="21"/>
                <w:szCs w:val="21"/>
                <w14:textFill>
                  <w14:solidFill>
                    <w14:schemeClr w14:val="tx1"/>
                  </w14:solidFill>
                </w14:textFill>
              </w:rPr>
              <w:t>急救电话</w:t>
            </w:r>
            <w:r>
              <w:rPr>
                <w:rFonts w:ascii="Times New Roman" w:cs="Times New Roman"/>
                <w:color w:val="000000" w:themeColor="text1"/>
                <w:sz w:val="21"/>
                <w:szCs w:val="21"/>
                <w14:textFill>
                  <w14:solidFill>
                    <w14:schemeClr w14:val="tx1"/>
                  </w14:solidFill>
                </w14:textFill>
              </w:rPr>
              <w:t xml:space="preserve">120   </w:t>
            </w:r>
            <w:r>
              <w:rPr>
                <w:rFonts w:cs="Times New Roman"/>
                <w:color w:val="000000" w:themeColor="text1"/>
                <w:sz w:val="21"/>
                <w:szCs w:val="21"/>
                <w14:textFill>
                  <w14:solidFill>
                    <w14:schemeClr w14:val="tx1"/>
                  </w14:solidFill>
                </w14:textFill>
              </w:rPr>
              <w:t>公安报警电话</w:t>
            </w:r>
            <w:r>
              <w:rPr>
                <w:rFonts w:ascii="Times New Roman" w:cs="Times New Roman"/>
                <w:color w:val="000000" w:themeColor="text1"/>
                <w:sz w:val="21"/>
                <w:szCs w:val="21"/>
                <w14:textFill>
                  <w14:solidFill>
                    <w14:schemeClr w14:val="tx1"/>
                  </w14:solidFill>
                </w14:textFill>
              </w:rPr>
              <w:t>110</w:t>
            </w:r>
          </w:p>
        </w:tc>
      </w:tr>
    </w:tbl>
    <w:p>
      <w:pPr>
        <w:keepNext w:val="0"/>
        <w:keepLines w:val="0"/>
        <w:pageBreakBefore w:val="0"/>
        <w:widowControl w:val="0"/>
        <w:kinsoku/>
        <w:wordWrap/>
        <w:overflowPunct/>
        <w:topLinePunct w:val="0"/>
        <w:autoSpaceDE/>
        <w:autoSpaceDN/>
        <w:bidi w:val="0"/>
        <w:adjustRightInd w:val="0"/>
        <w:snapToGrid w:val="0"/>
        <w:spacing w:before="313" w:beforeLines="100" w:line="360" w:lineRule="auto"/>
        <w:textAlignment w:val="auto"/>
        <w:outlineLvl w:val="1"/>
        <w:rPr>
          <w:rFonts w:ascii="宋体" w:hAnsi="宋体"/>
          <w:b/>
          <w:sz w:val="30"/>
          <w:szCs w:val="30"/>
        </w:rPr>
      </w:pPr>
      <w:bookmarkStart w:id="127" w:name="_Toc4330"/>
      <w:r>
        <w:rPr>
          <w:rFonts w:hint="eastAsia" w:ascii="宋体" w:hAnsi="宋体"/>
          <w:b/>
          <w:sz w:val="30"/>
          <w:szCs w:val="30"/>
        </w:rPr>
        <w:t>3</w:t>
      </w:r>
      <w:r>
        <w:rPr>
          <w:rFonts w:ascii="宋体" w:hAnsi="宋体"/>
          <w:b/>
          <w:sz w:val="30"/>
          <w:szCs w:val="30"/>
        </w:rPr>
        <w:t xml:space="preserve"> </w:t>
      </w:r>
      <w:r>
        <w:rPr>
          <w:rFonts w:hint="eastAsia" w:ascii="宋体" w:hAnsi="宋体"/>
          <w:b/>
          <w:sz w:val="30"/>
          <w:szCs w:val="30"/>
        </w:rPr>
        <w:t>应急设施</w:t>
      </w:r>
      <w:r>
        <w:rPr>
          <w:rFonts w:ascii="宋体" w:hAnsi="宋体"/>
          <w:b/>
          <w:sz w:val="30"/>
          <w:szCs w:val="30"/>
        </w:rPr>
        <w:t>卡片</w:t>
      </w:r>
      <w:bookmarkEnd w:id="127"/>
    </w:p>
    <w:p>
      <w:pPr>
        <w:pStyle w:val="2"/>
        <w:spacing w:before="120" w:beforeLines="50" w:line="360" w:lineRule="auto"/>
        <w:jc w:val="center"/>
        <w:rPr>
          <w:rFonts w:ascii="Times New Roman" w:cs="Times New Roman"/>
          <w:b/>
          <w:bCs/>
          <w:color w:val="000000" w:themeColor="text1"/>
          <w:sz w:val="21"/>
          <w:szCs w:val="21"/>
          <w14:textFill>
            <w14:solidFill>
              <w14:schemeClr w14:val="tx1"/>
            </w14:solidFill>
          </w14:textFill>
        </w:rPr>
      </w:pPr>
      <w:r>
        <w:rPr>
          <w:rFonts w:cs="Times New Roman"/>
          <w:b/>
          <w:bCs/>
          <w:color w:val="000000" w:themeColor="text1"/>
          <w:sz w:val="21"/>
          <w:szCs w:val="21"/>
          <w14:textFill>
            <w14:solidFill>
              <w14:schemeClr w14:val="tx1"/>
            </w14:solidFill>
          </w14:textFill>
        </w:rPr>
        <w:t>表</w:t>
      </w:r>
      <w:r>
        <w:rPr>
          <w:rFonts w:ascii="Times New Roman" w:cs="Times New Roman"/>
          <w:b/>
          <w:bCs/>
          <w:color w:val="000000" w:themeColor="text1"/>
          <w:sz w:val="21"/>
          <w:szCs w:val="21"/>
          <w14:textFill>
            <w14:solidFill>
              <w14:schemeClr w14:val="tx1"/>
            </w14:solidFill>
          </w14:textFill>
        </w:rPr>
        <w:t xml:space="preserve">1 </w:t>
      </w:r>
      <w:r>
        <w:rPr>
          <w:rFonts w:cs="Times New Roman"/>
          <w:b/>
          <w:bCs/>
          <w:color w:val="000000" w:themeColor="text1"/>
          <w:sz w:val="21"/>
          <w:szCs w:val="21"/>
          <w14:textFill>
            <w14:solidFill>
              <w14:schemeClr w14:val="tx1"/>
            </w14:solidFill>
          </w14:textFill>
        </w:rPr>
        <w:t>应急设施卡片</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333"/>
        <w:gridCol w:w="1234"/>
        <w:gridCol w:w="32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2" w:type="dxa"/>
            <w:tcBorders>
              <w:top w:val="single" w:color="auto" w:sz="4" w:space="0"/>
              <w:left w:val="single" w:color="auto" w:sz="4" w:space="0"/>
              <w:bottom w:val="single" w:color="auto" w:sz="4" w:space="0"/>
              <w:right w:val="single" w:color="auto" w:sz="4" w:space="0"/>
            </w:tcBorders>
            <w:vAlign w:val="center"/>
          </w:tcPr>
          <w:p>
            <w:pPr>
              <w:pStyle w:val="2"/>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ascii="Times New Roman" w:cs="Times New Roman"/>
                <w:color w:val="000000" w:themeColor="text1"/>
                <w:sz w:val="21"/>
                <w:szCs w:val="21"/>
                <w:highlight w:val="none"/>
                <w14:textFill>
                  <w14:solidFill>
                    <w14:schemeClr w14:val="tx1"/>
                  </w14:solidFill>
                </w14:textFill>
              </w:rPr>
              <w:t>姓名</w:t>
            </w:r>
          </w:p>
        </w:tc>
        <w:tc>
          <w:tcPr>
            <w:tcW w:w="2333" w:type="dxa"/>
            <w:tcBorders>
              <w:top w:val="single" w:color="auto" w:sz="4" w:space="0"/>
              <w:left w:val="nil"/>
              <w:bottom w:val="single" w:color="auto" w:sz="4" w:space="0"/>
              <w:right w:val="single" w:color="auto" w:sz="4" w:space="0"/>
            </w:tcBorders>
            <w:vAlign w:val="center"/>
          </w:tcPr>
          <w:p>
            <w:pPr>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胡春添</w:t>
            </w:r>
          </w:p>
        </w:tc>
        <w:tc>
          <w:tcPr>
            <w:tcW w:w="1234" w:type="dxa"/>
            <w:tcBorders>
              <w:top w:val="single" w:color="auto" w:sz="4" w:space="0"/>
              <w:left w:val="nil"/>
              <w:bottom w:val="single" w:color="auto" w:sz="4" w:space="0"/>
              <w:right w:val="single" w:color="auto" w:sz="4" w:space="0"/>
            </w:tcBorders>
            <w:vAlign w:val="center"/>
          </w:tcPr>
          <w:p>
            <w:pPr>
              <w:pStyle w:val="2"/>
              <w:spacing w:before="120" w:beforeLines="50" w:line="360" w:lineRule="auto"/>
              <w:jc w:val="center"/>
              <w:rPr>
                <w:rFonts w:ascii="Times New Roman" w:cs="Times New Roman"/>
                <w:color w:val="000000" w:themeColor="text1"/>
                <w:sz w:val="21"/>
                <w:szCs w:val="21"/>
                <w:highlight w:val="none"/>
                <w14:textFill>
                  <w14:solidFill>
                    <w14:schemeClr w14:val="tx1"/>
                  </w14:solidFill>
                </w14:textFill>
              </w:rPr>
            </w:pPr>
            <w:r>
              <w:rPr>
                <w:rFonts w:ascii="Times New Roman" w:cs="Times New Roman"/>
                <w:color w:val="000000" w:themeColor="text1"/>
                <w:sz w:val="21"/>
                <w:szCs w:val="21"/>
                <w:highlight w:val="none"/>
                <w14:textFill>
                  <w14:solidFill>
                    <w14:schemeClr w14:val="tx1"/>
                  </w14:solidFill>
                </w14:textFill>
              </w:rPr>
              <w:t>联系方式</w:t>
            </w:r>
          </w:p>
        </w:tc>
        <w:tc>
          <w:tcPr>
            <w:tcW w:w="3293" w:type="dxa"/>
            <w:tcBorders>
              <w:top w:val="single" w:color="auto" w:sz="4" w:space="0"/>
              <w:left w:val="nil"/>
              <w:bottom w:val="single" w:color="auto" w:sz="4" w:space="0"/>
              <w:right w:val="single" w:color="auto" w:sz="4" w:space="0"/>
            </w:tcBorders>
            <w:vAlign w:val="center"/>
          </w:tcPr>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color w:val="000000" w:themeColor="text1"/>
                <w:szCs w:val="21"/>
                <w:highlight w:val="none"/>
                <w14:textFill>
                  <w14:solidFill>
                    <w14:schemeClr w14:val="tx1"/>
                  </w14:solidFill>
                </w14:textFill>
              </w:rPr>
            </w:pPr>
            <w:r>
              <w:rPr>
                <w:rFonts w:hint="eastAsia" w:ascii="Times New Roman" w:cs="Times New Roman"/>
                <w:color w:val="000000" w:themeColor="text1"/>
                <w:sz w:val="21"/>
                <w:szCs w:val="21"/>
                <w:highlight w:val="none"/>
                <w14:textFill>
                  <w14:solidFill>
                    <w14:schemeClr w14:val="tx1"/>
                  </w14:solidFill>
                </w14:textFill>
              </w:rPr>
              <w:t>13827967298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2" w:type="dxa"/>
            <w:tcBorders>
              <w:top w:val="single" w:color="auto" w:sz="4" w:space="0"/>
              <w:left w:val="single" w:color="auto" w:sz="4" w:space="0"/>
              <w:bottom w:val="single" w:color="auto" w:sz="4" w:space="0"/>
              <w:right w:val="single" w:color="auto" w:sz="4" w:space="0"/>
            </w:tcBorders>
            <w:vAlign w:val="center"/>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有效容积</w:t>
            </w:r>
          </w:p>
        </w:tc>
        <w:tc>
          <w:tcPr>
            <w:tcW w:w="68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事故应急池</w:t>
            </w:r>
            <w:r>
              <w:rPr>
                <w:rFonts w:hint="eastAsia" w:ascii="Times New Roman" w:cs="Times New Roman"/>
                <w:color w:val="000000" w:themeColor="text1"/>
                <w:sz w:val="21"/>
                <w:szCs w:val="21"/>
                <w:lang w:val="en-US" w:eastAsia="zh-CN"/>
                <w14:textFill>
                  <w14:solidFill>
                    <w14:schemeClr w14:val="tx1"/>
                  </w14:solidFill>
                </w14:textFill>
              </w:rPr>
              <w:t>150</w:t>
            </w:r>
            <w:bookmarkStart w:id="190" w:name="_GoBack"/>
            <w:bookmarkEnd w:id="190"/>
            <w:r>
              <w:rPr>
                <w:rFonts w:ascii="Times New Roman" w:cs="Times New Roman"/>
                <w:color w:val="000000" w:themeColor="text1"/>
                <w:sz w:val="21"/>
                <w:szCs w:val="21"/>
                <w14:textFill>
                  <w14:solidFill>
                    <w14:schemeClr w14:val="tx1"/>
                  </w14:solidFill>
                </w14:textFill>
              </w:rPr>
              <w:t>m</w:t>
            </w:r>
            <w:r>
              <w:rPr>
                <w:rFonts w:ascii="Times New Roman" w:cs="Times New Roman"/>
                <w:color w:val="000000" w:themeColor="text1"/>
                <w:sz w:val="21"/>
                <w:szCs w:val="21"/>
                <w:vertAlign w:val="superscript"/>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2" w:type="dxa"/>
            <w:tcBorders>
              <w:top w:val="single" w:color="auto" w:sz="4" w:space="0"/>
              <w:left w:val="single" w:color="auto" w:sz="4" w:space="0"/>
              <w:bottom w:val="single" w:color="auto" w:sz="4" w:space="0"/>
              <w:right w:val="single" w:color="auto" w:sz="4" w:space="0"/>
            </w:tcBorders>
            <w:vAlign w:val="center"/>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主要收集范围</w:t>
            </w:r>
          </w:p>
        </w:tc>
        <w:tc>
          <w:tcPr>
            <w:tcW w:w="68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hint="eastAsia" w:ascii="Times New Roman" w:cs="Times New Roman"/>
                <w:color w:val="000000" w:themeColor="text1"/>
                <w:sz w:val="21"/>
                <w:szCs w:val="21"/>
                <w14:textFill>
                  <w14:solidFill>
                    <w14:schemeClr w14:val="tx1"/>
                  </w14:solidFill>
                </w14:textFill>
              </w:rPr>
              <w:t>事故废水</w:t>
            </w:r>
            <w:r>
              <w:rPr>
                <w:rFonts w:ascii="Times New Roman" w:cs="Times New Roman"/>
                <w:color w:val="000000" w:themeColor="text1"/>
                <w:sz w:val="21"/>
                <w:szCs w:val="21"/>
                <w14:textFill>
                  <w14:solidFill>
                    <w14:schemeClr w14:val="tx1"/>
                  </w14:solidFill>
                </w14:textFill>
              </w:rPr>
              <w:t>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2" w:type="dxa"/>
            <w:tcBorders>
              <w:top w:val="single" w:color="auto" w:sz="4" w:space="0"/>
              <w:left w:val="single" w:color="auto" w:sz="4" w:space="0"/>
              <w:bottom w:val="single" w:color="auto" w:sz="4" w:space="0"/>
              <w:right w:val="single" w:color="auto" w:sz="4" w:space="0"/>
            </w:tcBorders>
            <w:vAlign w:val="center"/>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日常维护要求</w:t>
            </w:r>
          </w:p>
        </w:tc>
        <w:tc>
          <w:tcPr>
            <w:tcW w:w="68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保证收集池内无异物，壁面无开裂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2" w:type="dxa"/>
            <w:tcBorders>
              <w:top w:val="single" w:color="auto" w:sz="4" w:space="0"/>
              <w:left w:val="single" w:color="auto" w:sz="4" w:space="0"/>
              <w:bottom w:val="single" w:color="auto" w:sz="4" w:space="0"/>
              <w:right w:val="single" w:color="auto" w:sz="4" w:space="0"/>
            </w:tcBorders>
            <w:vAlign w:val="center"/>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应急操作流程</w:t>
            </w:r>
          </w:p>
        </w:tc>
        <w:tc>
          <w:tcPr>
            <w:tcW w:w="6860" w:type="dxa"/>
            <w:gridSpan w:val="3"/>
            <w:tcBorders>
              <w:top w:val="single" w:color="auto" w:sz="4" w:space="0"/>
              <w:left w:val="nil"/>
              <w:bottom w:val="single" w:color="auto" w:sz="4" w:space="0"/>
              <w:right w:val="single" w:color="auto" w:sz="4" w:space="0"/>
            </w:tcBorders>
          </w:tcPr>
          <w:p>
            <w:pPr>
              <w:pStyle w:val="2"/>
              <w:spacing w:before="120" w:beforeLines="50" w:line="240" w:lineRule="auto"/>
              <w:jc w:val="left"/>
              <w:rPr>
                <w:rFonts w:hint="eastAsia" w:ascii="Times New Roman" w:eastAsia="宋体" w:cs="Times New Roman"/>
                <w:color w:val="000000" w:themeColor="text1"/>
                <w:sz w:val="21"/>
                <w:szCs w:val="21"/>
                <w:lang w:val="en-US" w:eastAsia="zh-CN"/>
                <w14:textFill>
                  <w14:solidFill>
                    <w14:schemeClr w14:val="tx1"/>
                  </w14:solidFill>
                </w14:textFill>
              </w:rPr>
            </w:pPr>
            <w:r>
              <w:rPr>
                <w:rFonts w:hint="eastAsia" w:ascii="Times New Roman" w:cs="Times New Roman"/>
                <w:color w:val="000000" w:themeColor="text1"/>
                <w:sz w:val="21"/>
                <w:szCs w:val="21"/>
                <w:lang w:val="en-US" w:eastAsia="zh-CN"/>
                <w14:textFill>
                  <w14:solidFill>
                    <w14:schemeClr w14:val="tx1"/>
                  </w14:solidFill>
                </w14:textFill>
              </w:rPr>
              <w:t>1、关闭雨水阀门，将事故废水暂存于沉淀池内；</w:t>
            </w:r>
          </w:p>
          <w:p>
            <w:pPr>
              <w:pStyle w:val="2"/>
              <w:spacing w:before="120" w:beforeLines="50" w:line="240" w:lineRule="auto"/>
              <w:jc w:val="left"/>
              <w:rPr>
                <w:rFonts w:ascii="Times New Roman" w:cs="Times New Roman"/>
                <w:color w:val="000000" w:themeColor="text1"/>
                <w:sz w:val="21"/>
                <w:szCs w:val="21"/>
                <w14:textFill>
                  <w14:solidFill>
                    <w14:schemeClr w14:val="tx1"/>
                  </w14:solidFill>
                </w14:textFill>
              </w:rPr>
            </w:pPr>
            <w:r>
              <w:rPr>
                <w:rFonts w:hint="eastAsia" w:ascii="Times New Roman" w:cs="Times New Roman"/>
                <w:color w:val="000000" w:themeColor="text1"/>
                <w:sz w:val="21"/>
                <w:szCs w:val="21"/>
                <w:lang w:val="en-US" w:eastAsia="zh-CN"/>
                <w14:textFill>
                  <w14:solidFill>
                    <w14:schemeClr w14:val="tx1"/>
                  </w14:solidFill>
                </w14:textFill>
              </w:rPr>
              <w:t>2、</w:t>
            </w:r>
            <w:r>
              <w:rPr>
                <w:rFonts w:ascii="Times New Roman" w:cs="Times New Roman"/>
                <w:color w:val="000000" w:themeColor="text1"/>
                <w:sz w:val="21"/>
                <w:szCs w:val="21"/>
                <w14:textFill>
                  <w14:solidFill>
                    <w14:schemeClr w14:val="tx1"/>
                  </w14:solidFill>
                </w14:textFill>
              </w:rPr>
              <w:t>将</w:t>
            </w:r>
            <w:r>
              <w:rPr>
                <w:rFonts w:hint="eastAsia" w:ascii="Times New Roman" w:cs="Times New Roman"/>
                <w:color w:val="000000" w:themeColor="text1"/>
                <w:sz w:val="21"/>
                <w:szCs w:val="21"/>
                <w14:textFill>
                  <w14:solidFill>
                    <w14:schemeClr w14:val="tx1"/>
                  </w14:solidFill>
                </w14:textFill>
              </w:rPr>
              <w:t>事故</w:t>
            </w:r>
            <w:r>
              <w:rPr>
                <w:rFonts w:ascii="Times New Roman" w:cs="Times New Roman"/>
                <w:color w:val="000000" w:themeColor="text1"/>
                <w:sz w:val="21"/>
                <w:szCs w:val="21"/>
                <w14:textFill>
                  <w14:solidFill>
                    <w14:schemeClr w14:val="tx1"/>
                  </w14:solidFill>
                </w14:textFill>
              </w:rPr>
              <w:t>废水</w:t>
            </w:r>
            <w:r>
              <w:rPr>
                <w:rFonts w:hint="eastAsia" w:ascii="Times New Roman" w:cs="Times New Roman"/>
                <w:color w:val="000000" w:themeColor="text1"/>
                <w:sz w:val="21"/>
                <w:szCs w:val="21"/>
                <w:lang w:val="en-US" w:eastAsia="zh-CN"/>
                <w14:textFill>
                  <w14:solidFill>
                    <w14:schemeClr w14:val="tx1"/>
                  </w14:solidFill>
                </w14:textFill>
              </w:rPr>
              <w:t>用抽水泵泵回事故应急池</w:t>
            </w:r>
          </w:p>
        </w:tc>
      </w:tr>
    </w:tbl>
    <w:p>
      <w:pPr>
        <w:pStyle w:val="2"/>
        <w:spacing w:before="120" w:beforeLines="50" w:line="360" w:lineRule="auto"/>
        <w:jc w:val="center"/>
        <w:rPr>
          <w:rFonts w:ascii="Times New Roman" w:cs="Times New Roman"/>
          <w:b/>
          <w:bCs/>
          <w:color w:val="000000" w:themeColor="text1"/>
          <w:sz w:val="21"/>
          <w:szCs w:val="21"/>
          <w14:textFill>
            <w14:solidFill>
              <w14:schemeClr w14:val="tx1"/>
            </w14:solidFill>
          </w14:textFill>
        </w:rPr>
      </w:pPr>
      <w:r>
        <w:rPr>
          <w:rFonts w:cs="Times New Roman"/>
          <w:b/>
          <w:bCs/>
          <w:color w:val="000000" w:themeColor="text1"/>
          <w:sz w:val="21"/>
          <w:szCs w:val="21"/>
          <w14:textFill>
            <w14:solidFill>
              <w14:schemeClr w14:val="tx1"/>
            </w14:solidFill>
          </w14:textFill>
        </w:rPr>
        <w:t>表</w:t>
      </w:r>
      <w:r>
        <w:rPr>
          <w:rFonts w:hint="eastAsia" w:cs="Times New Roman"/>
          <w:b/>
          <w:bCs/>
          <w:color w:val="000000" w:themeColor="text1"/>
          <w:sz w:val="21"/>
          <w:szCs w:val="21"/>
          <w:lang w:val="en-US" w:eastAsia="zh-CN"/>
          <w14:textFill>
            <w14:solidFill>
              <w14:schemeClr w14:val="tx1"/>
            </w14:solidFill>
          </w14:textFill>
        </w:rPr>
        <w:t>2</w:t>
      </w:r>
      <w:r>
        <w:rPr>
          <w:rFonts w:ascii="Times New Roman" w:cs="Times New Roman"/>
          <w:b/>
          <w:bCs/>
          <w:color w:val="000000" w:themeColor="text1"/>
          <w:sz w:val="21"/>
          <w:szCs w:val="21"/>
          <w14:textFill>
            <w14:solidFill>
              <w14:schemeClr w14:val="tx1"/>
            </w14:solidFill>
          </w14:textFill>
        </w:rPr>
        <w:t xml:space="preserve"> </w:t>
      </w:r>
      <w:r>
        <w:rPr>
          <w:rFonts w:cs="Times New Roman"/>
          <w:b/>
          <w:bCs/>
          <w:color w:val="000000" w:themeColor="text1"/>
          <w:sz w:val="21"/>
          <w:szCs w:val="21"/>
          <w14:textFill>
            <w14:solidFill>
              <w14:schemeClr w14:val="tx1"/>
            </w14:solidFill>
          </w14:textFill>
        </w:rPr>
        <w:t>应急设施卡片</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333"/>
        <w:gridCol w:w="1234"/>
        <w:gridCol w:w="32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2" w:type="dxa"/>
            <w:tcBorders>
              <w:top w:val="single" w:color="auto" w:sz="4" w:space="0"/>
              <w:left w:val="single" w:color="auto" w:sz="4" w:space="0"/>
              <w:bottom w:val="single" w:color="auto" w:sz="4" w:space="0"/>
              <w:right w:val="single" w:color="auto" w:sz="4" w:space="0"/>
            </w:tcBorders>
            <w:vAlign w:val="center"/>
          </w:tcPr>
          <w:p>
            <w:pPr>
              <w:pStyle w:val="2"/>
              <w:snapToGrid w:val="0"/>
              <w:spacing w:before="120" w:beforeLines="50" w:line="360" w:lineRule="auto"/>
              <w:jc w:val="center"/>
              <w:rPr>
                <w:rFonts w:ascii="Times New Roman" w:cs="Times New Roman"/>
                <w:color w:val="000000" w:themeColor="text1"/>
                <w:sz w:val="21"/>
                <w:szCs w:val="21"/>
                <w:highlight w:val="yellow"/>
                <w14:textFill>
                  <w14:solidFill>
                    <w14:schemeClr w14:val="tx1"/>
                  </w14:solidFill>
                </w14:textFill>
              </w:rPr>
            </w:pPr>
            <w:r>
              <w:rPr>
                <w:rFonts w:ascii="Times New Roman" w:cs="Times New Roman"/>
                <w:color w:val="000000" w:themeColor="text1"/>
                <w:sz w:val="21"/>
                <w:szCs w:val="21"/>
                <w:highlight w:val="none"/>
                <w14:textFill>
                  <w14:solidFill>
                    <w14:schemeClr w14:val="tx1"/>
                  </w14:solidFill>
                </w14:textFill>
              </w:rPr>
              <w:t>姓名</w:t>
            </w:r>
          </w:p>
        </w:tc>
        <w:tc>
          <w:tcPr>
            <w:tcW w:w="2333" w:type="dxa"/>
            <w:tcBorders>
              <w:top w:val="single" w:color="auto" w:sz="4" w:space="0"/>
              <w:left w:val="nil"/>
              <w:bottom w:val="single" w:color="auto" w:sz="4" w:space="0"/>
              <w:right w:val="single" w:color="auto" w:sz="4" w:space="0"/>
            </w:tcBorders>
            <w:vAlign w:val="center"/>
          </w:tcPr>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imes New Roman" w:cs="Times New Roman"/>
                <w:color w:val="000000" w:themeColor="text1"/>
                <w:sz w:val="21"/>
                <w:szCs w:val="21"/>
                <w:highlight w:val="none"/>
                <w14:textFill>
                  <w14:solidFill>
                    <w14:schemeClr w14:val="tx1"/>
                  </w14:solidFill>
                </w14:textFill>
              </w:rPr>
            </w:pPr>
            <w:r>
              <w:rPr>
                <w:rFonts w:hint="eastAsia" w:ascii="Times New Roman" w:cs="Times New Roman"/>
                <w:color w:val="000000" w:themeColor="text1"/>
                <w:sz w:val="21"/>
                <w:szCs w:val="21"/>
                <w:highlight w:val="none"/>
                <w14:textFill>
                  <w14:solidFill>
                    <w14:schemeClr w14:val="tx1"/>
                  </w14:solidFill>
                </w14:textFill>
              </w:rPr>
              <w:t>胡春添</w:t>
            </w:r>
          </w:p>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imes New Roman" w:cs="Times New Roman"/>
                <w:color w:val="000000" w:themeColor="text1"/>
                <w:sz w:val="21"/>
                <w:szCs w:val="21"/>
                <w:highlight w:val="none"/>
                <w14:textFill>
                  <w14:solidFill>
                    <w14:schemeClr w14:val="tx1"/>
                  </w14:solidFill>
                </w14:textFill>
              </w:rPr>
            </w:pPr>
            <w:r>
              <w:rPr>
                <w:rFonts w:hint="eastAsia" w:ascii="Times New Roman" w:cs="Times New Roman"/>
                <w:color w:val="000000" w:themeColor="text1"/>
                <w:sz w:val="21"/>
                <w:szCs w:val="21"/>
                <w:highlight w:val="none"/>
                <w14:textFill>
                  <w14:solidFill>
                    <w14:schemeClr w14:val="tx1"/>
                  </w14:solidFill>
                </w14:textFill>
              </w:rPr>
              <w:t>徐良锋</w:t>
            </w:r>
          </w:p>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color w:val="000000" w:themeColor="text1"/>
                <w:szCs w:val="21"/>
                <w:highlight w:val="yellow"/>
                <w14:textFill>
                  <w14:solidFill>
                    <w14:schemeClr w14:val="tx1"/>
                  </w14:solidFill>
                </w14:textFill>
              </w:rPr>
            </w:pPr>
            <w:r>
              <w:rPr>
                <w:rFonts w:hint="eastAsia" w:ascii="Times New Roman" w:cs="Times New Roman"/>
                <w:color w:val="000000" w:themeColor="text1"/>
                <w:sz w:val="21"/>
                <w:szCs w:val="21"/>
                <w:highlight w:val="none"/>
                <w14:textFill>
                  <w14:solidFill>
                    <w14:schemeClr w14:val="tx1"/>
                  </w14:solidFill>
                </w14:textFill>
              </w:rPr>
              <w:t>陈爱明</w:t>
            </w:r>
          </w:p>
        </w:tc>
        <w:tc>
          <w:tcPr>
            <w:tcW w:w="1234" w:type="dxa"/>
            <w:tcBorders>
              <w:top w:val="single" w:color="auto" w:sz="4" w:space="0"/>
              <w:left w:val="nil"/>
              <w:bottom w:val="single" w:color="auto" w:sz="4" w:space="0"/>
              <w:right w:val="single" w:color="auto" w:sz="4" w:space="0"/>
            </w:tcBorders>
            <w:vAlign w:val="center"/>
          </w:tcPr>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cs="Times New Roman"/>
                <w:color w:val="000000" w:themeColor="text1"/>
                <w:sz w:val="21"/>
                <w:szCs w:val="21"/>
                <w:highlight w:val="yellow"/>
                <w14:textFill>
                  <w14:solidFill>
                    <w14:schemeClr w14:val="tx1"/>
                  </w14:solidFill>
                </w14:textFill>
              </w:rPr>
            </w:pPr>
            <w:r>
              <w:rPr>
                <w:rFonts w:ascii="Times New Roman" w:cs="Times New Roman"/>
                <w:color w:val="000000" w:themeColor="text1"/>
                <w:sz w:val="21"/>
                <w:szCs w:val="21"/>
                <w:highlight w:val="none"/>
                <w14:textFill>
                  <w14:solidFill>
                    <w14:schemeClr w14:val="tx1"/>
                  </w14:solidFill>
                </w14:textFill>
              </w:rPr>
              <w:t>联系方式</w:t>
            </w:r>
          </w:p>
        </w:tc>
        <w:tc>
          <w:tcPr>
            <w:tcW w:w="3293" w:type="dxa"/>
            <w:tcBorders>
              <w:top w:val="single" w:color="auto" w:sz="4" w:space="0"/>
              <w:left w:val="nil"/>
              <w:bottom w:val="single" w:color="auto" w:sz="4" w:space="0"/>
              <w:right w:val="single" w:color="auto" w:sz="4" w:space="0"/>
            </w:tcBorders>
            <w:vAlign w:val="center"/>
          </w:tcPr>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imes New Roman" w:cs="Times New Roman"/>
                <w:color w:val="000000" w:themeColor="text1"/>
                <w:sz w:val="21"/>
                <w:szCs w:val="21"/>
                <w:highlight w:val="none"/>
                <w14:textFill>
                  <w14:solidFill>
                    <w14:schemeClr w14:val="tx1"/>
                  </w14:solidFill>
                </w14:textFill>
              </w:rPr>
            </w:pPr>
            <w:r>
              <w:rPr>
                <w:rFonts w:hint="eastAsia" w:ascii="Times New Roman" w:cs="Times New Roman"/>
                <w:color w:val="000000" w:themeColor="text1"/>
                <w:sz w:val="21"/>
                <w:szCs w:val="21"/>
                <w:highlight w:val="none"/>
                <w14:textFill>
                  <w14:solidFill>
                    <w14:schemeClr w14:val="tx1"/>
                  </w14:solidFill>
                </w14:textFill>
              </w:rPr>
              <w:t>13827967298</w:t>
            </w:r>
          </w:p>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imes New Roman" w:cs="Times New Roman"/>
                <w:color w:val="000000" w:themeColor="text1"/>
                <w:sz w:val="21"/>
                <w:szCs w:val="21"/>
                <w:highlight w:val="none"/>
                <w14:textFill>
                  <w14:solidFill>
                    <w14:schemeClr w14:val="tx1"/>
                  </w14:solidFill>
                </w14:textFill>
              </w:rPr>
            </w:pPr>
            <w:r>
              <w:rPr>
                <w:rFonts w:hint="eastAsia" w:ascii="Times New Roman" w:cs="Times New Roman"/>
                <w:color w:val="000000" w:themeColor="text1"/>
                <w:sz w:val="21"/>
                <w:szCs w:val="21"/>
                <w:highlight w:val="none"/>
                <w14:textFill>
                  <w14:solidFill>
                    <w14:schemeClr w14:val="tx1"/>
                  </w14:solidFill>
                </w14:textFill>
              </w:rPr>
              <w:t>13030127283</w:t>
            </w:r>
          </w:p>
          <w:p>
            <w:pPr>
              <w:pStyle w:val="2"/>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color w:val="000000" w:themeColor="text1"/>
                <w:szCs w:val="21"/>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13726552941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2" w:type="dxa"/>
            <w:tcBorders>
              <w:top w:val="single" w:color="auto" w:sz="4" w:space="0"/>
              <w:left w:val="single" w:color="auto" w:sz="4" w:space="0"/>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hint="eastAsia" w:ascii="Times New Roman" w:cs="Times New Roman"/>
                <w:color w:val="000000" w:themeColor="text1"/>
                <w:sz w:val="21"/>
                <w:szCs w:val="21"/>
                <w14:textFill>
                  <w14:solidFill>
                    <w14:schemeClr w14:val="tx1"/>
                  </w14:solidFill>
                </w14:textFill>
              </w:rPr>
              <w:t>设施</w:t>
            </w:r>
            <w:r>
              <w:rPr>
                <w:rFonts w:ascii="Times New Roman" w:cs="Times New Roman"/>
                <w:color w:val="000000" w:themeColor="text1"/>
                <w:sz w:val="21"/>
                <w:szCs w:val="21"/>
                <w14:textFill>
                  <w14:solidFill>
                    <w14:schemeClr w14:val="tx1"/>
                  </w14:solidFill>
                </w14:textFill>
              </w:rPr>
              <w:t>名称</w:t>
            </w:r>
          </w:p>
        </w:tc>
        <w:tc>
          <w:tcPr>
            <w:tcW w:w="68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hint="default" w:ascii="Times New Roman" w:eastAsia="宋体" w:cs="Times New Roman"/>
                <w:color w:val="000000" w:themeColor="text1"/>
                <w:sz w:val="21"/>
                <w:szCs w:val="21"/>
                <w:lang w:val="en-US" w:eastAsia="zh-CN"/>
                <w14:textFill>
                  <w14:solidFill>
                    <w14:schemeClr w14:val="tx1"/>
                  </w14:solidFill>
                </w14:textFill>
              </w:rPr>
            </w:pPr>
            <w:r>
              <w:rPr>
                <w:rFonts w:hint="eastAsia" w:ascii="Times New Roman" w:cs="Times New Roman"/>
                <w:color w:val="000000" w:themeColor="text1"/>
                <w:sz w:val="21"/>
                <w:szCs w:val="21"/>
                <w14:textFill>
                  <w14:solidFill>
                    <w14:schemeClr w14:val="tx1"/>
                  </w14:solidFill>
                </w14:textFill>
              </w:rPr>
              <w:t>雨水排放口闸门</w:t>
            </w:r>
            <w:r>
              <w:rPr>
                <w:rFonts w:hint="eastAsia" w:ascii="Times New Roman" w:cs="Times New Roman"/>
                <w:color w:val="000000" w:themeColor="text1"/>
                <w:sz w:val="21"/>
                <w:szCs w:val="21"/>
                <w:lang w:eastAsia="zh-CN"/>
                <w14:textFill>
                  <w14:solidFill>
                    <w14:schemeClr w14:val="tx1"/>
                  </w14:solidFill>
                </w14:textFill>
              </w:rPr>
              <w:t>、</w:t>
            </w:r>
            <w:r>
              <w:rPr>
                <w:rFonts w:hint="eastAsia" w:ascii="Times New Roman" w:cs="Times New Roman"/>
                <w:color w:val="000000" w:themeColor="text1"/>
                <w:sz w:val="21"/>
                <w:szCs w:val="21"/>
                <w:lang w:val="en-US" w:eastAsia="zh-CN"/>
                <w14:textFill>
                  <w14:solidFill>
                    <w14:schemeClr w14:val="tx1"/>
                  </w14:solidFill>
                </w14:textFill>
              </w:rPr>
              <w:t>沉淀池（25.4m³1个、18m³3个）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2" w:type="dxa"/>
            <w:tcBorders>
              <w:top w:val="single" w:color="auto" w:sz="4" w:space="0"/>
              <w:left w:val="single" w:color="auto" w:sz="4" w:space="0"/>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主要</w:t>
            </w:r>
            <w:r>
              <w:rPr>
                <w:rFonts w:hint="eastAsia" w:ascii="Times New Roman" w:cs="Times New Roman"/>
                <w:color w:val="000000" w:themeColor="text1"/>
                <w:sz w:val="21"/>
                <w:szCs w:val="21"/>
                <w14:textFill>
                  <w14:solidFill>
                    <w14:schemeClr w14:val="tx1"/>
                  </w14:solidFill>
                </w14:textFill>
              </w:rPr>
              <w:t>控制</w:t>
            </w:r>
            <w:r>
              <w:rPr>
                <w:rFonts w:ascii="Times New Roman" w:cs="Times New Roman"/>
                <w:color w:val="000000" w:themeColor="text1"/>
                <w:sz w:val="21"/>
                <w:szCs w:val="21"/>
                <w14:textFill>
                  <w14:solidFill>
                    <w14:schemeClr w14:val="tx1"/>
                  </w14:solidFill>
                </w14:textFill>
              </w:rPr>
              <w:t>范围</w:t>
            </w:r>
          </w:p>
        </w:tc>
        <w:tc>
          <w:tcPr>
            <w:tcW w:w="68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hint="default" w:ascii="Times New Roman" w:eastAsia="宋体" w:cs="Times New Roman"/>
                <w:color w:val="000000" w:themeColor="text1"/>
                <w:sz w:val="21"/>
                <w:szCs w:val="21"/>
                <w:lang w:val="en-US" w:eastAsia="zh-CN"/>
                <w14:textFill>
                  <w14:solidFill>
                    <w14:schemeClr w14:val="tx1"/>
                  </w14:solidFill>
                </w14:textFill>
              </w:rPr>
            </w:pPr>
            <w:r>
              <w:rPr>
                <w:rFonts w:hint="eastAsia" w:ascii="Times New Roman" w:cs="Times New Roman"/>
                <w:color w:val="000000" w:themeColor="text1"/>
                <w:sz w:val="21"/>
                <w:szCs w:val="21"/>
                <w14:textFill>
                  <w14:solidFill>
                    <w14:schemeClr w14:val="tx1"/>
                  </w14:solidFill>
                </w14:textFill>
              </w:rPr>
              <w:t>厂区雨水</w:t>
            </w:r>
            <w:r>
              <w:rPr>
                <w:rFonts w:hint="eastAsia" w:ascii="Times New Roman" w:cs="Times New Roman"/>
                <w:color w:val="000000" w:themeColor="text1"/>
                <w:sz w:val="21"/>
                <w:szCs w:val="21"/>
                <w:lang w:eastAsia="zh-CN"/>
                <w14:textFill>
                  <w14:solidFill>
                    <w14:schemeClr w14:val="tx1"/>
                  </w14:solidFill>
                </w14:textFill>
              </w:rPr>
              <w:t>、</w:t>
            </w:r>
            <w:r>
              <w:rPr>
                <w:rFonts w:hint="eastAsia" w:ascii="Times New Roman" w:cs="Times New Roman"/>
                <w:color w:val="000000" w:themeColor="text1"/>
                <w:sz w:val="21"/>
                <w:szCs w:val="21"/>
                <w:lang w:val="en-US" w:eastAsia="zh-CN"/>
                <w14:textFill>
                  <w14:solidFill>
                    <w14:schemeClr w14:val="tx1"/>
                  </w14:solidFill>
                </w14:textFill>
              </w:rPr>
              <w:t>进入雨水管网的事故废水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2" w:type="dxa"/>
            <w:tcBorders>
              <w:top w:val="single" w:color="auto" w:sz="4" w:space="0"/>
              <w:left w:val="single" w:color="auto" w:sz="4" w:space="0"/>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日常维护要求</w:t>
            </w:r>
          </w:p>
        </w:tc>
        <w:tc>
          <w:tcPr>
            <w:tcW w:w="68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hint="eastAsia" w:ascii="Times New Roman" w:cs="Times New Roman"/>
                <w:color w:val="000000" w:themeColor="text1"/>
                <w:sz w:val="21"/>
                <w:szCs w:val="21"/>
                <w14:textFill>
                  <w14:solidFill>
                    <w14:schemeClr w14:val="tx1"/>
                  </w14:solidFill>
                </w14:textFill>
              </w:rPr>
              <w:t>注意构件有无变形、裂纹、锈蚀、磨损、松动等现像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2" w:type="dxa"/>
            <w:tcBorders>
              <w:top w:val="single" w:color="auto" w:sz="4" w:space="0"/>
              <w:left w:val="single" w:color="auto" w:sz="4" w:space="0"/>
              <w:bottom w:val="single" w:color="auto" w:sz="4" w:space="0"/>
              <w:right w:val="single" w:color="auto" w:sz="4" w:space="0"/>
            </w:tcBorders>
          </w:tcPr>
          <w:p>
            <w:pPr>
              <w:pStyle w:val="2"/>
              <w:spacing w:before="120" w:beforeLines="50" w:line="360" w:lineRule="auto"/>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应急操作流程</w:t>
            </w:r>
          </w:p>
        </w:tc>
        <w:tc>
          <w:tcPr>
            <w:tcW w:w="6860" w:type="dxa"/>
            <w:gridSpan w:val="3"/>
            <w:tcBorders>
              <w:top w:val="single" w:color="auto" w:sz="4" w:space="0"/>
              <w:left w:val="nil"/>
              <w:bottom w:val="single" w:color="auto" w:sz="4" w:space="0"/>
              <w:right w:val="single" w:color="auto" w:sz="4" w:space="0"/>
            </w:tcBorders>
          </w:tcPr>
          <w:p>
            <w:pPr>
              <w:pStyle w:val="2"/>
              <w:spacing w:before="120" w:beforeLines="50" w:line="360" w:lineRule="auto"/>
              <w:jc w:val="center"/>
              <w:rPr>
                <w:rFonts w:hint="default" w:ascii="Times New Roman" w:eastAsia="宋体" w:cs="Times New Roman"/>
                <w:color w:val="000000" w:themeColor="text1"/>
                <w:sz w:val="21"/>
                <w:szCs w:val="21"/>
                <w:lang w:val="en-US" w:eastAsia="zh-CN"/>
                <w14:textFill>
                  <w14:solidFill>
                    <w14:schemeClr w14:val="tx1"/>
                  </w14:solidFill>
                </w14:textFill>
              </w:rPr>
            </w:pPr>
            <w:r>
              <w:rPr>
                <w:rFonts w:hint="eastAsia" w:ascii="Times New Roman" w:cs="Times New Roman"/>
                <w:color w:val="000000" w:themeColor="text1"/>
                <w:sz w:val="21"/>
                <w:szCs w:val="21"/>
                <w14:textFill>
                  <w14:solidFill>
                    <w14:schemeClr w14:val="tx1"/>
                  </w14:solidFill>
                </w14:textFill>
              </w:rPr>
              <w:t>发生事故</w:t>
            </w:r>
            <w:r>
              <w:rPr>
                <w:rFonts w:ascii="Times New Roman" w:cs="Times New Roman"/>
                <w:color w:val="000000" w:themeColor="text1"/>
                <w:sz w:val="21"/>
                <w:szCs w:val="21"/>
                <w14:textFill>
                  <w14:solidFill>
                    <w14:schemeClr w14:val="tx1"/>
                  </w14:solidFill>
                </w14:textFill>
              </w:rPr>
              <w:t>时立即关闭</w:t>
            </w:r>
            <w:r>
              <w:rPr>
                <w:rFonts w:hint="eastAsia" w:ascii="Times New Roman" w:cs="Times New Roman"/>
                <w:color w:val="000000" w:themeColor="text1"/>
                <w:sz w:val="21"/>
                <w:szCs w:val="21"/>
                <w14:textFill>
                  <w14:solidFill>
                    <w14:schemeClr w14:val="tx1"/>
                  </w14:solidFill>
                </w14:textFill>
              </w:rPr>
              <w:t>雨水排放口闸门</w:t>
            </w:r>
            <w:r>
              <w:rPr>
                <w:rFonts w:hint="eastAsia" w:ascii="Times New Roman" w:cs="Times New Roman"/>
                <w:color w:val="000000" w:themeColor="text1"/>
                <w:sz w:val="21"/>
                <w:szCs w:val="21"/>
                <w:lang w:eastAsia="zh-CN"/>
                <w14:textFill>
                  <w14:solidFill>
                    <w14:schemeClr w14:val="tx1"/>
                  </w14:solidFill>
                </w14:textFill>
              </w:rPr>
              <w:t>，</w:t>
            </w:r>
            <w:r>
              <w:rPr>
                <w:rFonts w:hint="eastAsia" w:ascii="Times New Roman" w:cs="Times New Roman"/>
                <w:color w:val="000000" w:themeColor="text1"/>
                <w:sz w:val="21"/>
                <w:szCs w:val="21"/>
                <w:lang w:val="en-US" w:eastAsia="zh-CN"/>
                <w14:textFill>
                  <w14:solidFill>
                    <w14:schemeClr w14:val="tx1"/>
                  </w14:solidFill>
                </w14:textFill>
              </w:rPr>
              <w:t>将事故废水暂存于沉淀池内，然后用抽水泵泵回事故应急池</w:t>
            </w:r>
          </w:p>
        </w:tc>
      </w:tr>
    </w:tbl>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pStyle w:val="2"/>
        <w:spacing w:line="360" w:lineRule="auto"/>
        <w:ind w:firstLine="480" w:firstLineChars="200"/>
        <w:rPr>
          <w:rFonts w:ascii="Times New Roman" w:eastAsia="仿宋_GB2312" w:cs="Times New Roman"/>
          <w:color w:val="auto"/>
          <w:kern w:val="2"/>
        </w:rPr>
      </w:pPr>
    </w:p>
    <w:p>
      <w:pPr>
        <w:spacing w:before="120" w:beforeLines="50" w:line="360" w:lineRule="auto"/>
        <w:jc w:val="center"/>
        <w:outlineLvl w:val="1"/>
        <w:rPr>
          <w:rFonts w:hint="default" w:ascii="宋体" w:hAnsi="宋体" w:eastAsia="宋体"/>
          <w:b/>
          <w:bCs/>
          <w:sz w:val="36"/>
          <w:szCs w:val="36"/>
          <w:lang w:val="en-US" w:eastAsia="zh-CN"/>
        </w:rPr>
      </w:pPr>
      <w:bookmarkStart w:id="128" w:name="_Toc15309"/>
      <w:r>
        <w:rPr>
          <w:rFonts w:hint="eastAsia" w:ascii="宋体" w:hAnsi="宋体"/>
          <w:b/>
          <w:bCs/>
          <w:sz w:val="36"/>
          <w:szCs w:val="36"/>
          <w:lang w:val="en-US" w:eastAsia="zh-CN"/>
        </w:rPr>
        <w:t>专项应急预案</w:t>
      </w:r>
      <w:bookmarkEnd w:id="128"/>
    </w:p>
    <w:p>
      <w:pPr>
        <w:spacing w:before="328" w:line="184" w:lineRule="auto"/>
        <w:ind w:firstLine="407"/>
        <w:jc w:val="center"/>
        <w:outlineLvl w:val="0"/>
        <w:rPr>
          <w:rFonts w:ascii="宋体" w:hAnsi="宋体" w:eastAsia="宋体" w:cs="宋体"/>
          <w:sz w:val="32"/>
          <w:szCs w:val="32"/>
          <w14:textOutline w14:w="5793" w14:cap="sq" w14:cmpd="sng">
            <w14:solidFill>
              <w14:srgbClr w14:val="000000"/>
            </w14:solidFill>
            <w14:prstDash w14:val="solid"/>
            <w14:bevel/>
          </w14:textOutline>
        </w:rPr>
      </w:pPr>
      <w:bookmarkStart w:id="129" w:name="_Toc13691"/>
      <w:r>
        <w:rPr>
          <w:rFonts w:hint="eastAsia" w:ascii="宋体" w:hAnsi="宋体" w:eastAsia="宋体" w:cs="宋体"/>
          <w:sz w:val="32"/>
          <w:szCs w:val="32"/>
          <w:lang w:val="en-US" w:eastAsia="zh-CN"/>
          <w14:textOutline w14:w="5793" w14:cap="sq" w14:cmpd="sng">
            <w14:solidFill>
              <w14:srgbClr w14:val="000000"/>
            </w14:solidFill>
            <w14:prstDash w14:val="solid"/>
            <w14:bevel/>
          </w14:textOutline>
        </w:rPr>
        <w:t>一、</w:t>
      </w:r>
      <w:r>
        <w:rPr>
          <w:rFonts w:ascii="宋体" w:hAnsi="宋体" w:eastAsia="宋体" w:cs="宋体"/>
          <w:sz w:val="32"/>
          <w:szCs w:val="32"/>
          <w14:textOutline w14:w="5793" w14:cap="sq" w14:cmpd="sng">
            <w14:solidFill>
              <w14:srgbClr w14:val="000000"/>
            </w14:solidFill>
            <w14:prstDash w14:val="solid"/>
            <w14:bevel/>
          </w14:textOutline>
        </w:rPr>
        <w:t>氨水储罐泄漏突发环境事件专项应急预案</w:t>
      </w:r>
      <w:bookmarkEnd w:id="129"/>
    </w:p>
    <w:p>
      <w:pPr>
        <w:keepNext w:val="0"/>
        <w:keepLines w:val="0"/>
        <w:pageBreakBefore w:val="0"/>
        <w:widowControl w:val="0"/>
        <w:kinsoku/>
        <w:wordWrap/>
        <w:overflowPunct/>
        <w:topLinePunct w:val="0"/>
        <w:autoSpaceDE/>
        <w:autoSpaceDN/>
        <w:bidi w:val="0"/>
        <w:adjustRightInd w:val="0"/>
        <w:snapToGrid w:val="0"/>
        <w:spacing w:before="313" w:beforeLines="100" w:after="157" w:afterLines="50" w:line="360" w:lineRule="auto"/>
        <w:jc w:val="left"/>
        <w:textAlignment w:val="auto"/>
        <w:outlineLvl w:val="0"/>
        <w:rPr>
          <w:rFonts w:hint="eastAsia" w:ascii="宋体" w:hAnsi="宋体" w:eastAsia="宋体" w:cs="宋体"/>
          <w:b/>
          <w:sz w:val="28"/>
          <w:szCs w:val="28"/>
        </w:rPr>
      </w:pPr>
      <w:bookmarkStart w:id="130" w:name="_Toc25356"/>
      <w:bookmarkStart w:id="131" w:name="_Toc28060"/>
      <w:r>
        <w:rPr>
          <w:rFonts w:hint="eastAsia" w:ascii="宋体" w:hAnsi="宋体" w:eastAsia="宋体" w:cs="宋体"/>
          <w:b/>
          <w:sz w:val="28"/>
          <w:szCs w:val="28"/>
        </w:rPr>
        <w:t>1总则</w:t>
      </w:r>
      <w:bookmarkEnd w:id="130"/>
      <w:bookmarkEnd w:id="131"/>
    </w:p>
    <w:p>
      <w:pPr>
        <w:spacing w:before="120" w:beforeLines="50" w:line="360" w:lineRule="auto"/>
        <w:outlineLvl w:val="1"/>
        <w:rPr>
          <w:rFonts w:hint="eastAsia" w:ascii="Times New Roman" w:hAnsi="Times New Roman" w:cs="Times New Roman"/>
          <w:b/>
          <w:sz w:val="28"/>
          <w:szCs w:val="28"/>
          <w:lang w:val="zh-CN"/>
        </w:rPr>
      </w:pPr>
      <w:bookmarkStart w:id="132" w:name="_Toc22827"/>
      <w:bookmarkStart w:id="133" w:name="_Toc15988"/>
      <w:bookmarkStart w:id="134" w:name="_Toc278275648"/>
      <w:r>
        <w:rPr>
          <w:rFonts w:hint="eastAsia" w:ascii="Times New Roman" w:hAnsi="Times New Roman" w:cs="Times New Roman"/>
          <w:b/>
          <w:sz w:val="28"/>
          <w:szCs w:val="28"/>
          <w:lang w:val="zh-CN"/>
        </w:rPr>
        <w:t>1.1 编制目的：</w:t>
      </w:r>
      <w:bookmarkEnd w:id="132"/>
      <w:bookmarkEnd w:id="133"/>
      <w:bookmarkEnd w:id="134"/>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0" w:firstLineChars="0"/>
        <w:textAlignment w:val="auto"/>
        <w:rPr>
          <w:rFonts w:ascii="仿宋_GB2312" w:hAnsi="仿宋_GB2312" w:eastAsia="仿宋_GB2312" w:cs="仿宋_GB2312"/>
          <w:b/>
          <w:sz w:val="24"/>
          <w:szCs w:val="24"/>
        </w:rPr>
      </w:pPr>
      <w:r>
        <w:rPr>
          <w:rFonts w:hint="eastAsia" w:ascii="仿宋_GB2312" w:hAnsi="仿宋_GB2312" w:eastAsia="仿宋_GB2312" w:cs="仿宋_GB2312"/>
          <w:szCs w:val="24"/>
        </w:rPr>
        <w:t xml:space="preserve">    </w:t>
      </w:r>
      <w:r>
        <w:rPr>
          <w:rFonts w:hint="eastAsia" w:ascii="仿宋_GB2312" w:hAnsi="仿宋_GB2312" w:eastAsia="仿宋_GB2312" w:cs="仿宋_GB2312"/>
          <w:sz w:val="24"/>
          <w:szCs w:val="24"/>
        </w:rPr>
        <w:t>为规范</w:t>
      </w:r>
      <w:r>
        <w:rPr>
          <w:rFonts w:hint="eastAsia" w:ascii="仿宋_GB2312" w:hAnsi="仿宋_GB2312" w:eastAsia="仿宋_GB2312" w:cs="仿宋_GB2312"/>
          <w:sz w:val="24"/>
          <w:szCs w:val="24"/>
          <w:lang w:val="en-US" w:eastAsia="zh-CN"/>
        </w:rPr>
        <w:t>氨水储罐</w:t>
      </w:r>
      <w:r>
        <w:rPr>
          <w:rFonts w:hint="eastAsia" w:ascii="仿宋_GB2312" w:hAnsi="仿宋_GB2312" w:eastAsia="仿宋_GB2312" w:cs="仿宋_GB2312"/>
          <w:sz w:val="24"/>
          <w:szCs w:val="24"/>
        </w:rPr>
        <w:t>泄漏应急处理流程，加强对危险源的管理，及时有效地实施应急救援工作，最大限度地减少人员伤亡和财产损失，特制订本预案。</w:t>
      </w:r>
    </w:p>
    <w:p>
      <w:pPr>
        <w:spacing w:before="120" w:beforeLines="50" w:line="360" w:lineRule="auto"/>
        <w:outlineLvl w:val="1"/>
        <w:rPr>
          <w:rFonts w:hint="eastAsia" w:ascii="Times New Roman" w:hAnsi="Times New Roman" w:cs="Times New Roman"/>
          <w:b/>
          <w:sz w:val="28"/>
          <w:szCs w:val="28"/>
          <w:lang w:val="zh-CN"/>
        </w:rPr>
      </w:pPr>
      <w:bookmarkStart w:id="135" w:name="_Toc278275650"/>
      <w:bookmarkStart w:id="136" w:name="_Toc4186"/>
      <w:bookmarkStart w:id="137" w:name="_Toc4531"/>
      <w:r>
        <w:rPr>
          <w:rFonts w:hint="eastAsia" w:ascii="Times New Roman" w:hAnsi="Times New Roman" w:cs="Times New Roman"/>
          <w:b/>
          <w:sz w:val="28"/>
          <w:szCs w:val="28"/>
          <w:lang w:val="zh-CN"/>
        </w:rPr>
        <w:t>1.</w:t>
      </w:r>
      <w:r>
        <w:rPr>
          <w:rFonts w:hint="eastAsia" w:ascii="Times New Roman" w:hAnsi="Times New Roman" w:cs="Times New Roman"/>
          <w:b/>
          <w:sz w:val="28"/>
          <w:szCs w:val="28"/>
          <w:lang w:val="en-US" w:eastAsia="zh-CN"/>
        </w:rPr>
        <w:t>2</w:t>
      </w:r>
      <w:r>
        <w:rPr>
          <w:rFonts w:hint="eastAsia" w:ascii="Times New Roman" w:hAnsi="Times New Roman" w:cs="Times New Roman"/>
          <w:b/>
          <w:sz w:val="28"/>
          <w:szCs w:val="28"/>
          <w:lang w:val="zh-CN"/>
        </w:rPr>
        <w:t xml:space="preserve"> 适用范围</w:t>
      </w:r>
      <w:bookmarkEnd w:id="135"/>
      <w:bookmarkEnd w:id="136"/>
      <w:bookmarkEnd w:id="137"/>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本预案适用于公司</w:t>
      </w:r>
      <w:r>
        <w:rPr>
          <w:rFonts w:hint="eastAsia" w:ascii="仿宋_GB2312" w:hAnsi="仿宋_GB2312" w:eastAsia="仿宋_GB2312" w:cs="仿宋_GB2312"/>
          <w:sz w:val="24"/>
          <w:szCs w:val="24"/>
          <w:lang w:val="en-US" w:eastAsia="zh-CN"/>
        </w:rPr>
        <w:t>氨水储罐区发生氨水泄漏</w:t>
      </w:r>
      <w:r>
        <w:rPr>
          <w:rFonts w:hint="eastAsia" w:ascii="仿宋_GB2312" w:hAnsi="仿宋_GB2312" w:eastAsia="仿宋_GB2312" w:cs="仿宋_GB2312"/>
          <w:sz w:val="24"/>
          <w:szCs w:val="24"/>
        </w:rPr>
        <w:t>事故的应急准备和响应。</w:t>
      </w:r>
    </w:p>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jc w:val="left"/>
        <w:textAlignment w:val="auto"/>
        <w:outlineLvl w:val="0"/>
        <w:rPr>
          <w:rFonts w:hint="default" w:ascii="宋体" w:hAnsi="宋体" w:eastAsia="宋体" w:cs="宋体"/>
          <w:b/>
          <w:sz w:val="28"/>
          <w:szCs w:val="28"/>
          <w:lang w:val="en-US"/>
        </w:rPr>
      </w:pPr>
      <w:bookmarkStart w:id="138" w:name="_Toc7210"/>
      <w:r>
        <w:rPr>
          <w:rFonts w:hint="eastAsia" w:ascii="宋体" w:hAnsi="宋体" w:cs="宋体"/>
          <w:b/>
          <w:sz w:val="28"/>
          <w:szCs w:val="28"/>
          <w:lang w:val="en-US" w:eastAsia="zh-CN"/>
        </w:rPr>
        <w:t>2 事故风险分析</w:t>
      </w:r>
      <w:bookmarkEnd w:id="138"/>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公司现有一个氨水储罐，最大存储量约100t，构成重大危险源，氨水的具体使用情况见下表。</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firstLine="0"/>
        <w:jc w:val="center"/>
        <w:textAlignment w:val="auto"/>
        <w:rPr>
          <w:rFonts w:ascii="宋体" w:hAnsi="宋体" w:eastAsia="宋体" w:cs="宋体"/>
          <w:sz w:val="21"/>
          <w:szCs w:val="21"/>
        </w:rPr>
      </w:pPr>
      <w:r>
        <w:rPr>
          <w:rFonts w:hint="eastAsia" w:ascii="宋体" w:hAnsi="宋体" w:cs="宋体"/>
          <w:spacing w:val="-1"/>
          <w:sz w:val="21"/>
          <w:szCs w:val="21"/>
          <w:lang w:val="en-US" w:eastAsia="zh-CN"/>
          <w14:textOutline w14:w="4358" w14:cap="sq" w14:cmpd="sng">
            <w14:solidFill>
              <w14:srgbClr w14:val="000000"/>
            </w14:solidFill>
            <w14:prstDash w14:val="solid"/>
            <w14:bevel/>
          </w14:textOutline>
        </w:rPr>
        <w:t xml:space="preserve">表1  </w:t>
      </w:r>
      <w:r>
        <w:rPr>
          <w:rFonts w:ascii="宋体" w:hAnsi="宋体" w:eastAsia="宋体" w:cs="宋体"/>
          <w:spacing w:val="-1"/>
          <w:sz w:val="21"/>
          <w:szCs w:val="21"/>
          <w14:textOutline w14:w="4358" w14:cap="sq" w14:cmpd="sng">
            <w14:solidFill>
              <w14:srgbClr w14:val="000000"/>
            </w14:solidFill>
            <w14:prstDash w14:val="solid"/>
            <w14:bevel/>
          </w14:textOutline>
        </w:rPr>
        <w:t>氨水储存情况表</w:t>
      </w:r>
    </w:p>
    <w:p>
      <w:pPr>
        <w:spacing w:line="29" w:lineRule="exact"/>
      </w:pPr>
    </w:p>
    <w:tbl>
      <w:tblPr>
        <w:tblStyle w:val="98"/>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577"/>
        <w:gridCol w:w="1268"/>
        <w:gridCol w:w="2095"/>
        <w:gridCol w:w="1035"/>
        <w:gridCol w:w="1978"/>
        <w:gridCol w:w="136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9" w:hRule="atLeast"/>
          <w:jc w:val="center"/>
        </w:trPr>
        <w:tc>
          <w:tcPr>
            <w:tcW w:w="347" w:type="pct"/>
            <w:tcBorders>
              <w:top w:val="single" w:color="000000" w:sz="2" w:space="0"/>
              <w:left w:val="single" w:color="000000" w:sz="2" w:space="0"/>
            </w:tcBorders>
            <w:textDirection w:val="tbRlV"/>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eastAsia" w:ascii="宋体" w:hAnsi="宋体" w:eastAsia="宋体" w:cs="宋体"/>
                <w:spacing w:val="-2"/>
                <w:sz w:val="21"/>
                <w:szCs w:val="21"/>
                <w:lang w:val="en-US" w:eastAsia="zh-CN"/>
                <w14:textOutline w14:w="3795" w14:cap="sq" w14:cmpd="sng">
                  <w14:solidFill>
                    <w14:srgbClr w14:val="000000"/>
                  </w14:solidFill>
                  <w14:prstDash w14:val="solid"/>
                  <w14:bevel/>
                </w14:textOutline>
              </w:rPr>
            </w:pPr>
            <w:r>
              <w:rPr>
                <w:rFonts w:hint="eastAsia" w:ascii="宋体" w:hAnsi="宋体" w:cs="宋体"/>
                <w:spacing w:val="-2"/>
                <w:sz w:val="21"/>
                <w:szCs w:val="21"/>
                <w:lang w:val="en-US" w:eastAsia="zh-CN"/>
                <w14:textOutline w14:w="3795" w14:cap="sq" w14:cmpd="sng">
                  <w14:solidFill>
                    <w14:srgbClr w14:val="000000"/>
                  </w14:solidFill>
                  <w14:prstDash w14:val="solid"/>
                  <w14:bevel/>
                </w14:textOutline>
              </w:rPr>
              <w:t>序号</w:t>
            </w:r>
          </w:p>
        </w:tc>
        <w:tc>
          <w:tcPr>
            <w:tcW w:w="762" w:type="pct"/>
            <w:tcBorders>
              <w:top w:val="single" w:color="000000" w:sz="2" w:space="0"/>
            </w:tcBorders>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eastAsia" w:ascii="宋体" w:hAnsi="宋体" w:eastAsia="宋体" w:cs="宋体"/>
                <w:spacing w:val="-2"/>
                <w:sz w:val="21"/>
                <w:szCs w:val="21"/>
                <w14:textOutline w14:w="3795" w14:cap="sq" w14:cmpd="sng">
                  <w14:solidFill>
                    <w14:srgbClr w14:val="000000"/>
                  </w14:solidFill>
                  <w14:prstDash w14:val="solid"/>
                  <w14:bevel/>
                </w14:textOutline>
              </w:rPr>
            </w:pPr>
            <w:r>
              <w:rPr>
                <w:rFonts w:hint="eastAsia" w:ascii="宋体" w:hAnsi="宋体" w:eastAsia="宋体" w:cs="宋体"/>
                <w:spacing w:val="-2"/>
                <w:sz w:val="21"/>
                <w:szCs w:val="21"/>
                <w14:textOutline w14:w="3795" w14:cap="sq" w14:cmpd="sng">
                  <w14:solidFill>
                    <w14:srgbClr w14:val="000000"/>
                  </w14:solidFill>
                  <w14:prstDash w14:val="solid"/>
                  <w14:bevel/>
                </w14:textOutline>
              </w:rPr>
              <w:t>危险品名称</w:t>
            </w:r>
          </w:p>
        </w:tc>
        <w:tc>
          <w:tcPr>
            <w:tcW w:w="1259" w:type="pct"/>
            <w:tcBorders>
              <w:top w:val="single" w:color="000000" w:sz="2" w:space="0"/>
            </w:tcBorders>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eastAsia" w:ascii="宋体" w:hAnsi="宋体" w:eastAsia="宋体" w:cs="宋体"/>
                <w:sz w:val="21"/>
                <w:szCs w:val="21"/>
              </w:rPr>
            </w:pPr>
            <w:r>
              <w:rPr>
                <w:rFonts w:hint="eastAsia" w:ascii="宋体" w:hAnsi="宋体" w:eastAsia="宋体" w:cs="宋体"/>
                <w:spacing w:val="-3"/>
                <w:sz w:val="21"/>
                <w:szCs w:val="21"/>
                <w14:textOutline w14:w="3795" w14:cap="sq" w14:cmpd="sng">
                  <w14:solidFill>
                    <w14:srgbClr w14:val="000000"/>
                  </w14:solidFill>
                  <w14:prstDash w14:val="solid"/>
                  <w14:bevel/>
                </w14:textOutline>
              </w:rPr>
              <w:t>危险特性</w:t>
            </w:r>
          </w:p>
        </w:tc>
        <w:tc>
          <w:tcPr>
            <w:tcW w:w="622" w:type="pct"/>
            <w:tcBorders>
              <w:top w:val="single" w:color="000000" w:sz="2" w:space="0"/>
            </w:tcBorders>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eastAsia" w:ascii="宋体" w:hAnsi="宋体" w:eastAsia="宋体" w:cs="宋体"/>
                <w:sz w:val="21"/>
                <w:szCs w:val="21"/>
              </w:rPr>
            </w:pPr>
            <w:r>
              <w:rPr>
                <w:rFonts w:hint="eastAsia" w:ascii="宋体" w:hAnsi="宋体" w:eastAsia="宋体" w:cs="宋体"/>
                <w:spacing w:val="-2"/>
                <w:sz w:val="21"/>
                <w:szCs w:val="21"/>
                <w14:textOutline w14:w="3795" w14:cap="sq" w14:cmpd="sng">
                  <w14:solidFill>
                    <w14:srgbClr w14:val="000000"/>
                  </w14:solidFill>
                  <w14:prstDash w14:val="solid"/>
                  <w14:bevel/>
                </w14:textOutline>
              </w:rPr>
              <w:t>包装方式</w:t>
            </w:r>
          </w:p>
        </w:tc>
        <w:tc>
          <w:tcPr>
            <w:tcW w:w="1189" w:type="pct"/>
            <w:tcBorders>
              <w:top w:val="single" w:color="000000" w:sz="2" w:space="0"/>
            </w:tcBorders>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eastAsia" w:ascii="宋体" w:hAnsi="宋体" w:eastAsia="宋体" w:cs="宋体"/>
                <w:sz w:val="21"/>
                <w:szCs w:val="21"/>
              </w:rPr>
            </w:pPr>
            <w:r>
              <w:rPr>
                <w:rFonts w:hint="eastAsia" w:ascii="宋体" w:hAnsi="宋体" w:eastAsia="宋体" w:cs="宋体"/>
                <w:spacing w:val="-2"/>
                <w:sz w:val="21"/>
                <w:szCs w:val="21"/>
                <w14:textOutline w14:w="3795" w14:cap="sq" w14:cmpd="sng">
                  <w14:solidFill>
                    <w14:srgbClr w14:val="000000"/>
                  </w14:solidFill>
                  <w14:prstDash w14:val="solid"/>
                  <w14:bevel/>
                </w14:textOutline>
              </w:rPr>
              <w:t>储存地点</w:t>
            </w:r>
          </w:p>
        </w:tc>
        <w:tc>
          <w:tcPr>
            <w:tcW w:w="818" w:type="pct"/>
            <w:tcBorders>
              <w:top w:val="single" w:color="000000" w:sz="2" w:space="0"/>
              <w:right w:val="single" w:color="000000" w:sz="2" w:space="0"/>
            </w:tcBorders>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eastAsia" w:ascii="宋体" w:hAnsi="宋体" w:eastAsia="宋体" w:cs="宋体"/>
                <w:sz w:val="21"/>
                <w:szCs w:val="21"/>
              </w:rPr>
            </w:pPr>
            <w:r>
              <w:rPr>
                <w:rFonts w:hint="eastAsia" w:ascii="宋体" w:hAnsi="宋体" w:eastAsia="宋体" w:cs="宋体"/>
                <w:spacing w:val="-2"/>
                <w:sz w:val="21"/>
                <w:szCs w:val="21"/>
                <w14:textOutline w14:w="3795" w14:cap="sq" w14:cmpd="sng">
                  <w14:solidFill>
                    <w14:srgbClr w14:val="000000"/>
                  </w14:solidFill>
                  <w14:prstDash w14:val="solid"/>
                  <w14:bevel/>
                </w14:textOutline>
              </w:rPr>
              <w:t>最大储存量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jc w:val="center"/>
        </w:trPr>
        <w:tc>
          <w:tcPr>
            <w:tcW w:w="347" w:type="pct"/>
            <w:tcBorders>
              <w:left w:val="single" w:color="000000" w:sz="2" w:space="0"/>
              <w:bottom w:val="single" w:color="000000" w:sz="2" w:space="0"/>
            </w:tcBorders>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w:t>
            </w:r>
          </w:p>
        </w:tc>
        <w:tc>
          <w:tcPr>
            <w:tcW w:w="762" w:type="pct"/>
            <w:tcBorders>
              <w:bottom w:val="single" w:color="000000" w:sz="2" w:space="0"/>
            </w:tcBorders>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eastAsia" w:ascii="宋体" w:hAnsi="宋体" w:eastAsia="宋体" w:cs="宋体"/>
                <w:sz w:val="21"/>
                <w:szCs w:val="21"/>
              </w:rPr>
            </w:pPr>
            <w:r>
              <w:rPr>
                <w:rFonts w:hint="eastAsia" w:ascii="宋体" w:hAnsi="宋体" w:eastAsia="宋体" w:cs="宋体"/>
                <w:spacing w:val="-5"/>
                <w:sz w:val="21"/>
                <w:szCs w:val="21"/>
              </w:rPr>
              <w:t>氨水</w:t>
            </w:r>
          </w:p>
        </w:tc>
        <w:tc>
          <w:tcPr>
            <w:tcW w:w="1259" w:type="pct"/>
            <w:tcBorders>
              <w:bottom w:val="single" w:color="000000" w:sz="2" w:space="0"/>
            </w:tcBorders>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eastAsia" w:ascii="宋体" w:hAnsi="宋体" w:eastAsia="宋体" w:cs="宋体"/>
                <w:sz w:val="21"/>
                <w:szCs w:val="21"/>
              </w:rPr>
            </w:pPr>
            <w:r>
              <w:rPr>
                <w:rFonts w:hint="eastAsia" w:ascii="宋体" w:hAnsi="宋体" w:eastAsia="宋体" w:cs="宋体"/>
                <w:spacing w:val="-4"/>
                <w:sz w:val="21"/>
                <w:szCs w:val="21"/>
              </w:rPr>
              <w:t>第</w:t>
            </w:r>
            <w:r>
              <w:rPr>
                <w:rFonts w:hint="eastAsia" w:ascii="宋体" w:hAnsi="宋体" w:eastAsia="宋体" w:cs="宋体"/>
                <w:spacing w:val="-37"/>
                <w:sz w:val="21"/>
                <w:szCs w:val="21"/>
              </w:rPr>
              <w:t xml:space="preserve"> </w:t>
            </w:r>
            <w:r>
              <w:rPr>
                <w:rFonts w:hint="eastAsia" w:ascii="宋体" w:hAnsi="宋体" w:eastAsia="宋体" w:cs="宋体"/>
                <w:spacing w:val="-4"/>
                <w:sz w:val="21"/>
                <w:szCs w:val="21"/>
              </w:rPr>
              <w:t>2.3</w:t>
            </w:r>
            <w:r>
              <w:rPr>
                <w:rFonts w:hint="eastAsia" w:ascii="宋体" w:hAnsi="宋体" w:eastAsia="宋体" w:cs="宋体"/>
                <w:spacing w:val="16"/>
                <w:sz w:val="21"/>
                <w:szCs w:val="21"/>
              </w:rPr>
              <w:t xml:space="preserve"> </w:t>
            </w:r>
            <w:r>
              <w:rPr>
                <w:rFonts w:hint="eastAsia" w:ascii="宋体" w:hAnsi="宋体" w:eastAsia="宋体" w:cs="宋体"/>
                <w:spacing w:val="-4"/>
                <w:sz w:val="21"/>
                <w:szCs w:val="21"/>
              </w:rPr>
              <w:t>类有毒气体</w:t>
            </w:r>
          </w:p>
        </w:tc>
        <w:tc>
          <w:tcPr>
            <w:tcW w:w="622" w:type="pct"/>
            <w:tcBorders>
              <w:bottom w:val="single" w:color="000000" w:sz="2" w:space="0"/>
            </w:tcBorders>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eastAsia" w:ascii="宋体" w:hAnsi="宋体" w:eastAsia="宋体" w:cs="宋体"/>
                <w:sz w:val="21"/>
                <w:szCs w:val="21"/>
              </w:rPr>
            </w:pPr>
            <w:r>
              <w:rPr>
                <w:rFonts w:hint="eastAsia" w:ascii="宋体" w:hAnsi="宋体" w:eastAsia="宋体" w:cs="宋体"/>
                <w:spacing w:val="-6"/>
                <w:sz w:val="21"/>
                <w:szCs w:val="21"/>
              </w:rPr>
              <w:t>罐装</w:t>
            </w:r>
          </w:p>
        </w:tc>
        <w:tc>
          <w:tcPr>
            <w:tcW w:w="1189" w:type="pct"/>
            <w:tcBorders>
              <w:bottom w:val="single" w:color="000000" w:sz="2" w:space="0"/>
            </w:tcBorders>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eastAsia" w:ascii="宋体" w:hAnsi="宋体" w:eastAsia="宋体" w:cs="宋体"/>
                <w:sz w:val="21"/>
                <w:szCs w:val="21"/>
              </w:rPr>
            </w:pPr>
            <w:r>
              <w:rPr>
                <w:rFonts w:hint="eastAsia" w:ascii="宋体" w:hAnsi="宋体" w:eastAsia="宋体" w:cs="宋体"/>
                <w:spacing w:val="-10"/>
                <w:sz w:val="21"/>
                <w:szCs w:val="21"/>
              </w:rPr>
              <w:t>常压、低温氨</w:t>
            </w:r>
            <w:r>
              <w:rPr>
                <w:rFonts w:hint="eastAsia" w:ascii="宋体" w:hAnsi="宋体" w:eastAsia="宋体" w:cs="宋体"/>
                <w:spacing w:val="-4"/>
                <w:sz w:val="21"/>
                <w:szCs w:val="21"/>
              </w:rPr>
              <w:t>水储罐</w:t>
            </w:r>
          </w:p>
        </w:tc>
        <w:tc>
          <w:tcPr>
            <w:tcW w:w="818" w:type="pct"/>
            <w:tcBorders>
              <w:bottom w:val="single" w:color="000000" w:sz="2" w:space="0"/>
              <w:right w:val="single" w:color="000000" w:sz="2" w:space="0"/>
            </w:tcBorders>
            <w:vAlign w:val="top"/>
          </w:tcPr>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0"/>
              <w:jc w:val="center"/>
              <w:textAlignment w:val="auto"/>
              <w:rPr>
                <w:rFonts w:hint="eastAsia" w:ascii="宋体" w:hAnsi="宋体" w:eastAsia="宋体" w:cs="宋体"/>
                <w:sz w:val="21"/>
                <w:szCs w:val="21"/>
              </w:rPr>
            </w:pPr>
            <w:r>
              <w:rPr>
                <w:rFonts w:hint="eastAsia" w:ascii="宋体" w:hAnsi="宋体" w:cs="宋体"/>
                <w:spacing w:val="-3"/>
                <w:position w:val="1"/>
                <w:sz w:val="21"/>
                <w:szCs w:val="21"/>
                <w:lang w:val="en-US" w:eastAsia="zh-CN"/>
              </w:rPr>
              <w:t>100</w:t>
            </w:r>
            <w:r>
              <w:rPr>
                <w:rFonts w:hint="eastAsia" w:ascii="宋体" w:hAnsi="宋体" w:eastAsia="宋体" w:cs="宋体"/>
                <w:spacing w:val="-3"/>
                <w:position w:val="1"/>
                <w:sz w:val="21"/>
                <w:szCs w:val="21"/>
              </w:rPr>
              <w:t>t</w:t>
            </w:r>
          </w:p>
        </w:tc>
      </w:tr>
    </w:tbl>
    <w:p>
      <w:pPr>
        <w:keepNext w:val="0"/>
        <w:keepLines w:val="0"/>
        <w:pageBreakBefore w:val="0"/>
        <w:widowControl w:val="0"/>
        <w:kinsoku/>
        <w:wordWrap/>
        <w:overflowPunct/>
        <w:topLinePunct w:val="0"/>
        <w:autoSpaceDE/>
        <w:autoSpaceDN/>
        <w:bidi w:val="0"/>
        <w:adjustRightInd w:val="0"/>
        <w:snapToGrid w:val="0"/>
        <w:spacing w:before="313" w:beforeLines="100" w:line="360" w:lineRule="auto"/>
        <w:ind w:left="0" w:right="0" w:firstLine="488" w:firstLineChars="20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储存氨水的储罐，若遇高热、或安全阀、压力表等安全附件失效，容器压</w:t>
      </w:r>
      <w:r>
        <w:rPr>
          <w:rFonts w:hint="eastAsia" w:ascii="仿宋_GB2312" w:hAnsi="仿宋_GB2312" w:eastAsia="仿宋_GB2312" w:cs="仿宋_GB2312"/>
          <w:spacing w:val="-8"/>
          <w:sz w:val="24"/>
          <w:szCs w:val="24"/>
        </w:rPr>
        <w:t>力增大，有引发容器开裂爆炸危险；设备制造不良、超期服役、检修维护不佳，</w:t>
      </w:r>
      <w:r>
        <w:rPr>
          <w:rFonts w:hint="eastAsia" w:ascii="仿宋_GB2312" w:hAnsi="仿宋_GB2312" w:eastAsia="仿宋_GB2312" w:cs="仿宋_GB2312"/>
          <w:spacing w:val="-3"/>
          <w:sz w:val="24"/>
          <w:szCs w:val="24"/>
        </w:rPr>
        <w:t>可能出现氨水泄漏事故；操作失误，设备失常或其他意外事件可能会导致出现</w:t>
      </w:r>
      <w:r>
        <w:rPr>
          <w:rFonts w:hint="eastAsia" w:ascii="仿宋_GB2312" w:hAnsi="仿宋_GB2312" w:eastAsia="仿宋_GB2312" w:cs="仿宋_GB2312"/>
          <w:spacing w:val="-4"/>
          <w:sz w:val="24"/>
          <w:szCs w:val="24"/>
        </w:rPr>
        <w:t>满罐冒顶事故；防静电接地失效，可能引致静电积聚，人员不按规定穿着防护</w:t>
      </w:r>
      <w:r>
        <w:rPr>
          <w:rFonts w:hint="eastAsia" w:ascii="仿宋_GB2312" w:hAnsi="仿宋_GB2312" w:eastAsia="仿宋_GB2312" w:cs="仿宋_GB2312"/>
          <w:spacing w:val="-3"/>
          <w:sz w:val="24"/>
          <w:szCs w:val="24"/>
        </w:rPr>
        <w:t>服，可能产生静电火花，可能引发火灾爆炸事故；储罐基础不牢或安装失稳，</w:t>
      </w:r>
      <w:r>
        <w:rPr>
          <w:rFonts w:hint="eastAsia" w:ascii="仿宋_GB2312" w:hAnsi="仿宋_GB2312" w:eastAsia="仿宋_GB2312" w:cs="仿宋_GB2312"/>
          <w:spacing w:val="-1"/>
          <w:sz w:val="24"/>
          <w:szCs w:val="24"/>
        </w:rPr>
        <w:t>或发生地震，可能会导致储罐坍塌、破裂事故。</w:t>
      </w:r>
    </w:p>
    <w:p>
      <w:pPr>
        <w:keepNext w:val="0"/>
        <w:keepLines w:val="0"/>
        <w:pageBreakBefore w:val="0"/>
        <w:widowControl w:val="0"/>
        <w:kinsoku/>
        <w:wordWrap/>
        <w:overflowPunct/>
        <w:topLinePunct w:val="0"/>
        <w:bidi w:val="0"/>
        <w:adjustRightInd w:val="0"/>
        <w:snapToGrid w:val="0"/>
        <w:spacing w:before="0" w:beforeLines="50" w:line="360" w:lineRule="auto"/>
        <w:ind w:left="0" w:right="0" w:firstLine="46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3"/>
          <w:sz w:val="24"/>
          <w:szCs w:val="24"/>
        </w:rPr>
        <w:t>氨的沸点低（-33.5℃</w:t>
      </w:r>
      <w:r>
        <w:rPr>
          <w:rFonts w:hint="eastAsia" w:ascii="仿宋_GB2312" w:hAnsi="仿宋_GB2312" w:eastAsia="仿宋_GB2312" w:cs="仿宋_GB2312"/>
          <w:spacing w:val="-30"/>
          <w:sz w:val="24"/>
          <w:szCs w:val="24"/>
        </w:rPr>
        <w:t>）</w:t>
      </w:r>
      <w:r>
        <w:rPr>
          <w:rFonts w:hint="eastAsia" w:ascii="仿宋_GB2312" w:hAnsi="仿宋_GB2312" w:eastAsia="仿宋_GB2312" w:cs="仿宋_GB2312"/>
          <w:spacing w:val="48"/>
          <w:sz w:val="24"/>
          <w:szCs w:val="24"/>
        </w:rPr>
        <w:t xml:space="preserve"> </w:t>
      </w:r>
      <w:r>
        <w:rPr>
          <w:rFonts w:hint="eastAsia" w:ascii="仿宋_GB2312" w:hAnsi="仿宋_GB2312" w:eastAsia="仿宋_GB2312" w:cs="仿宋_GB2312"/>
          <w:spacing w:val="-30"/>
          <w:sz w:val="24"/>
          <w:szCs w:val="24"/>
        </w:rPr>
        <w:t>，</w:t>
      </w:r>
      <w:r>
        <w:rPr>
          <w:rFonts w:hint="eastAsia" w:ascii="仿宋_GB2312" w:hAnsi="仿宋_GB2312" w:eastAsia="仿宋_GB2312" w:cs="仿宋_GB2312"/>
          <w:spacing w:val="-3"/>
          <w:sz w:val="24"/>
          <w:szCs w:val="24"/>
        </w:rPr>
        <w:t>蒸气压高（4.7℃时为</w:t>
      </w:r>
      <w:r>
        <w:rPr>
          <w:rFonts w:hint="eastAsia" w:ascii="仿宋_GB2312" w:hAnsi="仿宋_GB2312" w:eastAsia="仿宋_GB2312" w:cs="仿宋_GB2312"/>
          <w:spacing w:val="-48"/>
          <w:sz w:val="24"/>
          <w:szCs w:val="24"/>
        </w:rPr>
        <w:t xml:space="preserve"> </w:t>
      </w:r>
      <w:r>
        <w:rPr>
          <w:rFonts w:hint="eastAsia" w:ascii="仿宋_GB2312" w:hAnsi="仿宋_GB2312" w:eastAsia="仿宋_GB2312" w:cs="仿宋_GB2312"/>
          <w:spacing w:val="-3"/>
          <w:sz w:val="24"/>
          <w:szCs w:val="24"/>
        </w:rPr>
        <w:t>506.62kPa</w:t>
      </w:r>
      <w:r>
        <w:rPr>
          <w:rFonts w:hint="eastAsia" w:ascii="仿宋_GB2312" w:hAnsi="仿宋_GB2312" w:eastAsia="仿宋_GB2312" w:cs="仿宋_GB2312"/>
          <w:spacing w:val="-30"/>
          <w:sz w:val="24"/>
          <w:szCs w:val="24"/>
        </w:rPr>
        <w:t>），</w:t>
      </w:r>
      <w:r>
        <w:rPr>
          <w:rFonts w:hint="eastAsia" w:ascii="仿宋_GB2312" w:hAnsi="仿宋_GB2312" w:eastAsia="仿宋_GB2312" w:cs="仿宋_GB2312"/>
          <w:spacing w:val="-3"/>
          <w:sz w:val="24"/>
          <w:szCs w:val="24"/>
        </w:rPr>
        <w:t>故挥发性强，</w:t>
      </w:r>
      <w:r>
        <w:rPr>
          <w:rFonts w:hint="eastAsia" w:ascii="仿宋_GB2312" w:hAnsi="仿宋_GB2312" w:eastAsia="仿宋_GB2312" w:cs="仿宋_GB2312"/>
          <w:sz w:val="24"/>
          <w:szCs w:val="24"/>
        </w:rPr>
        <w:t xml:space="preserve"> </w:t>
      </w:r>
      <w:r>
        <w:rPr>
          <w:rFonts w:hint="eastAsia" w:ascii="仿宋_GB2312" w:hAnsi="仿宋_GB2312" w:eastAsia="仿宋_GB2312" w:cs="仿宋_GB2312"/>
          <w:spacing w:val="2"/>
          <w:sz w:val="24"/>
          <w:szCs w:val="24"/>
        </w:rPr>
        <w:t>其相对密度比空气小，一旦发生泄漏，氨水立即蒸发成氨气，随风四处迅速扩</w:t>
      </w:r>
      <w:r>
        <w:rPr>
          <w:rFonts w:hint="eastAsia" w:ascii="仿宋_GB2312" w:hAnsi="仿宋_GB2312" w:eastAsia="仿宋_GB2312" w:cs="仿宋_GB2312"/>
          <w:spacing w:val="12"/>
          <w:sz w:val="24"/>
          <w:szCs w:val="24"/>
        </w:rPr>
        <w:t xml:space="preserve"> </w:t>
      </w:r>
      <w:r>
        <w:rPr>
          <w:rFonts w:hint="eastAsia" w:ascii="仿宋_GB2312" w:hAnsi="仿宋_GB2312" w:eastAsia="仿宋_GB2312" w:cs="仿宋_GB2312"/>
          <w:spacing w:val="2"/>
          <w:sz w:val="24"/>
          <w:szCs w:val="24"/>
        </w:rPr>
        <w:t>散，扩散面、扩散速度将视风力、风速情况而变化。当遇到明火易引起火灾或爆炸，另外氨是有毒气体，低浓度氨对粘膜有刺激作用，高浓度可造成组织溶</w:t>
      </w:r>
      <w:r>
        <w:rPr>
          <w:rFonts w:hint="eastAsia" w:ascii="仿宋_GB2312" w:hAnsi="仿宋_GB2312" w:eastAsia="仿宋_GB2312" w:cs="仿宋_GB2312"/>
          <w:spacing w:val="12"/>
          <w:sz w:val="24"/>
          <w:szCs w:val="24"/>
        </w:rPr>
        <w:t xml:space="preserve"> </w:t>
      </w:r>
      <w:r>
        <w:rPr>
          <w:rFonts w:hint="eastAsia" w:ascii="仿宋_GB2312" w:hAnsi="仿宋_GB2312" w:eastAsia="仿宋_GB2312" w:cs="仿宋_GB2312"/>
          <w:spacing w:val="2"/>
          <w:sz w:val="24"/>
          <w:szCs w:val="24"/>
        </w:rPr>
        <w:t>解环死，引起化学性肺炎及灼伤。氨水在自然环境条件下蒸发产生气体，并向</w:t>
      </w:r>
      <w:r>
        <w:rPr>
          <w:rFonts w:hint="eastAsia" w:ascii="仿宋_GB2312" w:hAnsi="仿宋_GB2312" w:eastAsia="仿宋_GB2312" w:cs="仿宋_GB2312"/>
          <w:spacing w:val="-3"/>
          <w:sz w:val="24"/>
          <w:szCs w:val="24"/>
        </w:rPr>
        <w:t>周围扩散，在安全扩散的环境中，氨气会对作业人员的身体健康产生不利影响，</w:t>
      </w:r>
      <w:r>
        <w:rPr>
          <w:rFonts w:hint="eastAsia" w:ascii="仿宋_GB2312" w:hAnsi="仿宋_GB2312" w:eastAsia="仿宋_GB2312" w:cs="仿宋_GB2312"/>
          <w:spacing w:val="11"/>
          <w:sz w:val="24"/>
          <w:szCs w:val="24"/>
        </w:rPr>
        <w:t xml:space="preserve"> </w:t>
      </w:r>
      <w:r>
        <w:rPr>
          <w:rFonts w:hint="eastAsia" w:ascii="仿宋_GB2312" w:hAnsi="仿宋_GB2312" w:eastAsia="仿宋_GB2312" w:cs="仿宋_GB2312"/>
          <w:spacing w:val="-3"/>
          <w:sz w:val="24"/>
          <w:szCs w:val="24"/>
        </w:rPr>
        <w:t>当浓度达到</w:t>
      </w:r>
      <w:r>
        <w:rPr>
          <w:rFonts w:hint="eastAsia" w:ascii="仿宋_GB2312" w:hAnsi="仿宋_GB2312" w:eastAsia="仿宋_GB2312" w:cs="仿宋_GB2312"/>
          <w:spacing w:val="-36"/>
          <w:sz w:val="24"/>
          <w:szCs w:val="24"/>
        </w:rPr>
        <w:t xml:space="preserve"> </w:t>
      </w:r>
      <w:r>
        <w:rPr>
          <w:rFonts w:hint="eastAsia" w:ascii="仿宋_GB2312" w:hAnsi="仿宋_GB2312" w:eastAsia="仿宋_GB2312" w:cs="仿宋_GB2312"/>
          <w:spacing w:val="-3"/>
          <w:sz w:val="24"/>
          <w:szCs w:val="24"/>
        </w:rPr>
        <w:t>30mg/</w:t>
      </w:r>
      <w:r>
        <w:rPr>
          <w:rFonts w:hint="eastAsia" w:ascii="仿宋_GB2312" w:hAnsi="仿宋_GB2312" w:eastAsia="仿宋_GB2312" w:cs="仿宋_GB2312"/>
          <w:spacing w:val="-3"/>
          <w:sz w:val="24"/>
          <w:szCs w:val="24"/>
          <w:lang w:val="en-US" w:eastAsia="zh-CN"/>
        </w:rPr>
        <w:t>m³</w:t>
      </w:r>
      <w:r>
        <w:rPr>
          <w:rFonts w:hint="eastAsia" w:ascii="仿宋_GB2312" w:hAnsi="仿宋_GB2312" w:eastAsia="仿宋_GB2312" w:cs="仿宋_GB2312"/>
          <w:spacing w:val="-3"/>
          <w:sz w:val="24"/>
          <w:szCs w:val="24"/>
        </w:rPr>
        <w:t>时，会造成作业人员轻微中毒，产生头晕，呕吐，较高时还</w:t>
      </w:r>
      <w:r>
        <w:rPr>
          <w:rFonts w:hint="eastAsia" w:ascii="仿宋_GB2312" w:hAnsi="仿宋_GB2312" w:eastAsia="仿宋_GB2312" w:cs="仿宋_GB2312"/>
          <w:spacing w:val="-1"/>
          <w:sz w:val="24"/>
          <w:szCs w:val="24"/>
        </w:rPr>
        <w:t>可能造成该区域人员急性中毒甚至死亡。</w:t>
      </w:r>
    </w:p>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jc w:val="left"/>
        <w:textAlignment w:val="auto"/>
        <w:outlineLvl w:val="0"/>
        <w:rPr>
          <w:rFonts w:hint="eastAsia" w:ascii="宋体" w:hAnsi="宋体" w:cs="宋体"/>
          <w:b/>
          <w:sz w:val="28"/>
          <w:szCs w:val="28"/>
          <w:lang w:val="zh-CN" w:eastAsia="zh-CN"/>
        </w:rPr>
      </w:pPr>
      <w:bookmarkStart w:id="139" w:name="_Toc278275656"/>
      <w:bookmarkStart w:id="140" w:name="_Toc13482"/>
      <w:bookmarkStart w:id="141" w:name="_Toc18382"/>
      <w:r>
        <w:rPr>
          <w:rFonts w:hint="eastAsia" w:ascii="宋体" w:hAnsi="宋体" w:cs="宋体"/>
          <w:b/>
          <w:sz w:val="28"/>
          <w:szCs w:val="28"/>
          <w:lang w:val="zh-CN" w:eastAsia="zh-CN"/>
        </w:rPr>
        <w:t xml:space="preserve">3 </w:t>
      </w:r>
      <w:bookmarkEnd w:id="139"/>
      <w:r>
        <w:rPr>
          <w:rFonts w:hint="eastAsia" w:ascii="宋体" w:hAnsi="宋体" w:cs="宋体"/>
          <w:b/>
          <w:sz w:val="28"/>
          <w:szCs w:val="28"/>
          <w:lang w:val="zh-CN" w:eastAsia="zh-CN"/>
        </w:rPr>
        <w:t>应急组织机构及职责</w:t>
      </w:r>
      <w:bookmarkEnd w:id="140"/>
      <w:bookmarkEnd w:id="141"/>
      <w:r>
        <w:rPr>
          <w:rFonts w:hint="eastAsia" w:ascii="宋体" w:hAnsi="宋体" w:cs="宋体"/>
          <w:b/>
          <w:sz w:val="28"/>
          <w:szCs w:val="28"/>
          <w:lang w:val="zh-CN" w:eastAsia="zh-CN"/>
        </w:rPr>
        <w:t>　</w:t>
      </w:r>
    </w:p>
    <w:p>
      <w:pPr>
        <w:keepNext w:val="0"/>
        <w:keepLines w:val="0"/>
        <w:pageBreakBefore w:val="0"/>
        <w:widowControl w:val="0"/>
        <w:kinsoku/>
        <w:wordWrap/>
        <w:overflowPunct/>
        <w:topLinePunct w:val="0"/>
        <w:bidi w:val="0"/>
        <w:adjustRightInd w:val="0"/>
        <w:snapToGrid w:val="0"/>
        <w:spacing w:before="0" w:beforeLines="50" w:line="360" w:lineRule="auto"/>
        <w:ind w:left="0" w:right="0" w:firstLine="468" w:firstLineChars="200"/>
        <w:textAlignment w:val="auto"/>
        <w:rPr>
          <w:rFonts w:hint="default" w:ascii="仿宋_GB2312" w:hAnsi="仿宋_GB2312" w:eastAsia="仿宋_GB2312" w:cs="仿宋_GB2312"/>
          <w:spacing w:val="-3"/>
          <w:sz w:val="24"/>
          <w:szCs w:val="24"/>
          <w:lang w:val="en-US" w:eastAsia="zh-CN"/>
        </w:rPr>
      </w:pPr>
      <w:bookmarkStart w:id="142" w:name="_Toc278275657"/>
      <w:r>
        <w:rPr>
          <w:rFonts w:hint="eastAsia" w:ascii="仿宋_GB2312" w:hAnsi="仿宋_GB2312" w:eastAsia="仿宋_GB2312" w:cs="仿宋_GB2312"/>
          <w:spacing w:val="-3"/>
          <w:sz w:val="24"/>
          <w:szCs w:val="24"/>
          <w:lang w:val="en-US" w:eastAsia="zh-CN"/>
        </w:rPr>
        <w:t>见综合应急预案第3章组织体系及职责。</w:t>
      </w:r>
    </w:p>
    <w:bookmarkEnd w:id="142"/>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jc w:val="left"/>
        <w:textAlignment w:val="auto"/>
        <w:outlineLvl w:val="0"/>
        <w:rPr>
          <w:rFonts w:hint="eastAsia" w:ascii="宋体" w:hAnsi="宋体" w:cs="宋体"/>
          <w:b/>
          <w:sz w:val="28"/>
          <w:szCs w:val="28"/>
          <w:lang w:val="zh-CN" w:eastAsia="zh-CN"/>
        </w:rPr>
      </w:pPr>
      <w:bookmarkStart w:id="143" w:name="_Toc28185"/>
      <w:r>
        <w:rPr>
          <w:rFonts w:hint="eastAsia" w:ascii="宋体" w:hAnsi="宋体" w:cs="宋体"/>
          <w:b/>
          <w:sz w:val="28"/>
          <w:szCs w:val="28"/>
          <w:lang w:val="en-US" w:eastAsia="zh-CN"/>
        </w:rPr>
        <w:t xml:space="preserve">4 </w:t>
      </w:r>
      <w:r>
        <w:rPr>
          <w:rFonts w:hint="eastAsia" w:ascii="宋体" w:hAnsi="宋体" w:cs="宋体"/>
          <w:b/>
          <w:sz w:val="28"/>
          <w:szCs w:val="28"/>
          <w:lang w:val="zh-CN" w:eastAsia="zh-CN"/>
        </w:rPr>
        <w:t>预防措施和预警机制</w:t>
      </w:r>
      <w:bookmarkEnd w:id="143"/>
    </w:p>
    <w:p>
      <w:pPr>
        <w:spacing w:before="120" w:beforeLines="50" w:line="360" w:lineRule="auto"/>
        <w:outlineLvl w:val="1"/>
        <w:rPr>
          <w:rFonts w:hint="eastAsia" w:ascii="Times New Roman" w:hAnsi="Times New Roman" w:cs="Times New Roman"/>
          <w:b/>
          <w:sz w:val="28"/>
          <w:szCs w:val="28"/>
          <w:lang w:val="zh-CN"/>
        </w:rPr>
      </w:pPr>
      <w:bookmarkStart w:id="144" w:name="_Toc31810"/>
      <w:r>
        <w:rPr>
          <w:rFonts w:hint="eastAsia" w:ascii="Times New Roman" w:hAnsi="Times New Roman" w:cs="Times New Roman"/>
          <w:b/>
          <w:sz w:val="28"/>
          <w:szCs w:val="28"/>
          <w:lang w:val="en-US" w:eastAsia="zh-CN"/>
        </w:rPr>
        <w:t>4</w:t>
      </w:r>
      <w:r>
        <w:rPr>
          <w:rFonts w:hint="eastAsia" w:ascii="Times New Roman" w:hAnsi="Times New Roman" w:cs="Times New Roman"/>
          <w:b/>
          <w:sz w:val="28"/>
          <w:szCs w:val="28"/>
          <w:lang w:val="zh-CN"/>
        </w:rPr>
        <w:t>.1  预防</w:t>
      </w:r>
      <w:bookmarkEnd w:id="144"/>
    </w:p>
    <w:p>
      <w:pPr>
        <w:spacing w:before="120" w:beforeLines="50" w:line="360" w:lineRule="auto"/>
        <w:outlineLvl w:val="2"/>
        <w:rPr>
          <w:rFonts w:hint="eastAsia" w:ascii="Times New Roman" w:hAnsi="Times New Roman" w:cs="Times New Roman"/>
          <w:b/>
          <w:sz w:val="28"/>
          <w:szCs w:val="28"/>
        </w:rPr>
      </w:pPr>
      <w:bookmarkStart w:id="145" w:name="_Toc6298"/>
      <w:r>
        <w:rPr>
          <w:rFonts w:hint="eastAsia" w:ascii="Times New Roman" w:hAnsi="Times New Roman" w:cs="Times New Roman"/>
          <w:b/>
          <w:sz w:val="28"/>
          <w:szCs w:val="28"/>
          <w:lang w:val="en-US" w:eastAsia="zh-CN"/>
        </w:rPr>
        <w:t>4</w:t>
      </w:r>
      <w:r>
        <w:rPr>
          <w:rFonts w:hint="eastAsia" w:ascii="Times New Roman" w:hAnsi="Times New Roman" w:cs="Times New Roman"/>
          <w:b/>
          <w:sz w:val="28"/>
          <w:szCs w:val="28"/>
        </w:rPr>
        <w:t>.1.1 制度建设</w:t>
      </w:r>
      <w:bookmarkEnd w:id="145"/>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firstLine="518"/>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（1）遵守操作规程。不得超压、超振动、超位移、超负荷生产；</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firstLine="518"/>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（2）对可燃气体报警器要正确维护，保证灵敏可靠。</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firstLine="518"/>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（3）掌握全面的堵漏技术，备好堵漏工具和材料。</w:t>
      </w:r>
    </w:p>
    <w:p>
      <w:pPr>
        <w:spacing w:before="120" w:beforeLines="50" w:line="360" w:lineRule="auto"/>
        <w:outlineLvl w:val="2"/>
        <w:rPr>
          <w:rFonts w:hint="eastAsia" w:ascii="Times New Roman" w:hAnsi="Times New Roman" w:cs="Times New Roman"/>
          <w:b/>
          <w:sz w:val="28"/>
          <w:szCs w:val="28"/>
          <w:lang w:val="en-US" w:eastAsia="zh-CN"/>
        </w:rPr>
      </w:pPr>
      <w:bookmarkStart w:id="146" w:name="_Toc20811"/>
      <w:r>
        <w:rPr>
          <w:rFonts w:hint="eastAsia" w:ascii="Times New Roman" w:hAnsi="Times New Roman" w:cs="Times New Roman"/>
          <w:b/>
          <w:sz w:val="28"/>
          <w:szCs w:val="28"/>
          <w:lang w:val="en-US" w:eastAsia="zh-CN"/>
        </w:rPr>
        <w:t>4.1.2 预防措施</w:t>
      </w:r>
      <w:bookmarkEnd w:id="146"/>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firstLine="522"/>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3"/>
          <w:sz w:val="24"/>
          <w:szCs w:val="24"/>
        </w:rPr>
        <w:t>1</w:t>
      </w:r>
      <w:r>
        <w:rPr>
          <w:rFonts w:hint="eastAsia" w:ascii="仿宋_GB2312" w:hAnsi="仿宋_GB2312" w:eastAsia="仿宋_GB2312" w:cs="仿宋_GB2312"/>
          <w:spacing w:val="-8"/>
          <w:sz w:val="24"/>
          <w:szCs w:val="24"/>
        </w:rPr>
        <w:t xml:space="preserve"> </w:t>
      </w:r>
      <w:r>
        <w:rPr>
          <w:rFonts w:hint="eastAsia" w:ascii="仿宋_GB2312" w:hAnsi="仿宋_GB2312" w:eastAsia="仿宋_GB2312" w:cs="仿宋_GB2312"/>
          <w:spacing w:val="-3"/>
          <w:sz w:val="24"/>
          <w:szCs w:val="24"/>
        </w:rPr>
        <w:t>、氨水储罐设置压力监测系统，安装了泄压装置。</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30" w:right="64" w:firstLine="485"/>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3"/>
          <w:sz w:val="24"/>
          <w:szCs w:val="24"/>
        </w:rPr>
        <w:t>2</w:t>
      </w:r>
      <w:r>
        <w:rPr>
          <w:rFonts w:hint="eastAsia" w:ascii="仿宋_GB2312" w:hAnsi="仿宋_GB2312" w:eastAsia="仿宋_GB2312" w:cs="仿宋_GB2312"/>
          <w:spacing w:val="-30"/>
          <w:sz w:val="24"/>
          <w:szCs w:val="24"/>
        </w:rPr>
        <w:t xml:space="preserve"> </w:t>
      </w:r>
      <w:r>
        <w:rPr>
          <w:rFonts w:hint="eastAsia" w:ascii="仿宋_GB2312" w:hAnsi="仿宋_GB2312" w:eastAsia="仿宋_GB2312" w:cs="仿宋_GB2312"/>
          <w:spacing w:val="-3"/>
          <w:sz w:val="24"/>
          <w:szCs w:val="24"/>
        </w:rPr>
        <w:t>、在氨水罐区内设置了</w:t>
      </w:r>
      <w:r>
        <w:rPr>
          <w:rFonts w:hint="eastAsia" w:ascii="仿宋_GB2312" w:hAnsi="仿宋_GB2312" w:eastAsia="仿宋_GB2312" w:cs="仿宋_GB2312"/>
          <w:spacing w:val="-39"/>
          <w:sz w:val="24"/>
          <w:szCs w:val="24"/>
        </w:rPr>
        <w:t xml:space="preserve"> </w:t>
      </w:r>
      <w:r>
        <w:rPr>
          <w:rFonts w:hint="eastAsia" w:ascii="仿宋_GB2312" w:hAnsi="仿宋_GB2312" w:eastAsia="仿宋_GB2312" w:cs="仿宋_GB2312"/>
          <w:spacing w:val="-3"/>
          <w:sz w:val="24"/>
          <w:szCs w:val="24"/>
        </w:rPr>
        <w:t>1个氨气浓度检测报警仪，进行泄漏检查。当氨浓度达至</w:t>
      </w:r>
      <w:r>
        <w:rPr>
          <w:rFonts w:hint="eastAsia" w:ascii="仿宋_GB2312" w:hAnsi="仿宋_GB2312" w:eastAsia="仿宋_GB2312" w:cs="仿宋_GB2312"/>
          <w:spacing w:val="-15"/>
          <w:sz w:val="24"/>
          <w:szCs w:val="24"/>
        </w:rPr>
        <w:t xml:space="preserve"> </w:t>
      </w:r>
      <w:r>
        <w:rPr>
          <w:rFonts w:hint="eastAsia" w:ascii="仿宋_GB2312" w:hAnsi="仿宋_GB2312" w:eastAsia="仿宋_GB2312" w:cs="仿宋_GB2312"/>
          <w:spacing w:val="-3"/>
          <w:sz w:val="24"/>
          <w:szCs w:val="24"/>
        </w:rPr>
        <w:t>30mg/</w:t>
      </w:r>
      <w:r>
        <w:rPr>
          <w:rFonts w:hint="eastAsia" w:ascii="仿宋_GB2312" w:hAnsi="仿宋_GB2312" w:eastAsia="仿宋_GB2312" w:cs="仿宋_GB2312"/>
          <w:spacing w:val="-3"/>
          <w:sz w:val="24"/>
          <w:szCs w:val="24"/>
          <w:lang w:val="en-US" w:eastAsia="zh-CN"/>
        </w:rPr>
        <w:t>m³</w:t>
      </w:r>
      <w:r>
        <w:rPr>
          <w:rFonts w:hint="eastAsia" w:ascii="仿宋_GB2312" w:hAnsi="仿宋_GB2312" w:eastAsia="仿宋_GB2312" w:cs="仿宋_GB2312"/>
          <w:spacing w:val="-3"/>
          <w:sz w:val="24"/>
          <w:szCs w:val="24"/>
        </w:rPr>
        <w:t>，设在控制室的氨气浓度检测报警仪报警装置发出报警。储罐进</w:t>
      </w:r>
      <w:r>
        <w:rPr>
          <w:rFonts w:hint="eastAsia" w:ascii="仿宋_GB2312" w:hAnsi="仿宋_GB2312" w:eastAsia="仿宋_GB2312" w:cs="仿宋_GB2312"/>
          <w:spacing w:val="-1"/>
          <w:sz w:val="24"/>
          <w:szCs w:val="24"/>
        </w:rPr>
        <w:t>出口阀都安装了紧急切断阀。</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33" w:right="68" w:firstLine="48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3"/>
          <w:sz w:val="24"/>
          <w:szCs w:val="24"/>
        </w:rPr>
        <w:t>3</w:t>
      </w:r>
      <w:r>
        <w:rPr>
          <w:rFonts w:hint="eastAsia" w:ascii="仿宋_GB2312" w:hAnsi="仿宋_GB2312" w:eastAsia="仿宋_GB2312" w:cs="仿宋_GB2312"/>
          <w:spacing w:val="-1"/>
          <w:sz w:val="24"/>
          <w:szCs w:val="24"/>
        </w:rPr>
        <w:t xml:space="preserve"> </w:t>
      </w:r>
      <w:r>
        <w:rPr>
          <w:rFonts w:hint="eastAsia" w:ascii="仿宋_GB2312" w:hAnsi="仿宋_GB2312" w:eastAsia="仿宋_GB2312" w:cs="仿宋_GB2312"/>
          <w:spacing w:val="-3"/>
          <w:sz w:val="24"/>
          <w:szCs w:val="24"/>
        </w:rPr>
        <w:t>、氨水储罐均采用灌顶固定式消防水喷淋水雾系统，中控室可通过消防水</w:t>
      </w:r>
      <w:r>
        <w:rPr>
          <w:rFonts w:hint="eastAsia" w:ascii="仿宋_GB2312" w:hAnsi="仿宋_GB2312" w:eastAsia="仿宋_GB2312" w:cs="仿宋_GB2312"/>
          <w:sz w:val="24"/>
          <w:szCs w:val="24"/>
        </w:rPr>
        <w:t xml:space="preserve"> </w:t>
      </w:r>
      <w:r>
        <w:rPr>
          <w:rFonts w:hint="eastAsia" w:ascii="仿宋_GB2312" w:hAnsi="仿宋_GB2312" w:eastAsia="仿宋_GB2312" w:cs="仿宋_GB2312"/>
          <w:spacing w:val="-1"/>
          <w:sz w:val="24"/>
          <w:szCs w:val="24"/>
        </w:rPr>
        <w:t>炮对储罐进行灭火，同时罐顶的喷淋系统对储罐进行降温灭火。</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firstLine="508"/>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4</w:t>
      </w:r>
      <w:r>
        <w:rPr>
          <w:rFonts w:hint="eastAsia" w:ascii="仿宋_GB2312" w:hAnsi="仿宋_GB2312" w:eastAsia="仿宋_GB2312" w:cs="仿宋_GB2312"/>
          <w:spacing w:val="-14"/>
          <w:sz w:val="24"/>
          <w:szCs w:val="24"/>
        </w:rPr>
        <w:t xml:space="preserve"> </w:t>
      </w:r>
      <w:r>
        <w:rPr>
          <w:rFonts w:hint="eastAsia" w:ascii="仿宋_GB2312" w:hAnsi="仿宋_GB2312" w:eastAsia="仿宋_GB2312" w:cs="仿宋_GB2312"/>
          <w:spacing w:val="-2"/>
          <w:sz w:val="24"/>
          <w:szCs w:val="24"/>
        </w:rPr>
        <w:t>、安全员每小时对罐区进行巡检，可保障罐区安全。</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35" w:right="19" w:firstLine="478"/>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5</w:t>
      </w:r>
      <w:r>
        <w:rPr>
          <w:rFonts w:hint="eastAsia" w:ascii="仿宋_GB2312" w:hAnsi="仿宋_GB2312" w:eastAsia="仿宋_GB2312" w:cs="仿宋_GB2312"/>
          <w:spacing w:val="5"/>
          <w:w w:val="101"/>
          <w:sz w:val="24"/>
          <w:szCs w:val="24"/>
        </w:rPr>
        <w:t xml:space="preserve"> </w:t>
      </w:r>
      <w:r>
        <w:rPr>
          <w:rFonts w:hint="eastAsia" w:ascii="仿宋_GB2312" w:hAnsi="仿宋_GB2312" w:eastAsia="仿宋_GB2312" w:cs="仿宋_GB2312"/>
          <w:spacing w:val="-1"/>
          <w:sz w:val="24"/>
          <w:szCs w:val="24"/>
        </w:rPr>
        <w:t>、氨水储罐设有围堰，约</w:t>
      </w:r>
      <w:r>
        <w:rPr>
          <w:rFonts w:hint="eastAsia" w:ascii="仿宋_GB2312" w:hAnsi="仿宋_GB2312" w:eastAsia="仿宋_GB2312" w:cs="仿宋_GB2312"/>
          <w:spacing w:val="-52"/>
          <w:sz w:val="24"/>
          <w:szCs w:val="24"/>
        </w:rPr>
        <w:t xml:space="preserve"> </w:t>
      </w:r>
      <w:r>
        <w:rPr>
          <w:rFonts w:hint="eastAsia" w:ascii="仿宋_GB2312" w:hAnsi="仿宋_GB2312" w:eastAsia="仿宋_GB2312" w:cs="仿宋_GB2312"/>
          <w:spacing w:val="-1"/>
          <w:position w:val="1"/>
          <w:sz w:val="24"/>
          <w:szCs w:val="24"/>
        </w:rPr>
        <w:t>48</w:t>
      </w:r>
      <w:r>
        <w:rPr>
          <w:rFonts w:hint="eastAsia" w:ascii="仿宋_GB2312" w:hAnsi="仿宋_GB2312" w:eastAsia="仿宋_GB2312" w:cs="仿宋_GB2312"/>
          <w:spacing w:val="-1"/>
          <w:position w:val="1"/>
          <w:sz w:val="24"/>
          <w:szCs w:val="24"/>
          <w:lang w:val="en-US" w:eastAsia="zh-CN"/>
        </w:rPr>
        <w:t>m³</w:t>
      </w:r>
      <w:r>
        <w:rPr>
          <w:rFonts w:hint="eastAsia" w:ascii="仿宋_GB2312" w:hAnsi="仿宋_GB2312" w:eastAsia="仿宋_GB2312" w:cs="仿宋_GB2312"/>
          <w:spacing w:val="-1"/>
          <w:sz w:val="24"/>
          <w:szCs w:val="24"/>
        </w:rPr>
        <w:t>围堰可以对泄漏的氨水或者消防废水进</w:t>
      </w:r>
      <w:r>
        <w:rPr>
          <w:rFonts w:hint="eastAsia" w:ascii="仿宋_GB2312" w:hAnsi="仿宋_GB2312" w:eastAsia="仿宋_GB2312" w:cs="仿宋_GB2312"/>
          <w:spacing w:val="-2"/>
          <w:sz w:val="24"/>
          <w:szCs w:val="24"/>
        </w:rPr>
        <w:t>行收集，防止事故扩大。</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35" w:right="19" w:firstLine="478"/>
        <w:textAlignment w:val="auto"/>
        <w:rPr>
          <w:rFonts w:hint="eastAsia" w:ascii="仿宋_GB2312" w:hAnsi="仿宋_GB2312" w:eastAsia="仿宋_GB2312" w:cs="仿宋_GB2312"/>
          <w:spacing w:val="-1"/>
          <w:sz w:val="24"/>
          <w:szCs w:val="24"/>
        </w:rPr>
      </w:pPr>
      <w:r>
        <w:rPr>
          <w:rFonts w:hint="eastAsia" w:ascii="仿宋_GB2312" w:hAnsi="仿宋_GB2312" w:eastAsia="仿宋_GB2312" w:cs="仿宋_GB2312"/>
          <w:spacing w:val="-1"/>
          <w:sz w:val="24"/>
          <w:szCs w:val="24"/>
        </w:rPr>
        <w:t>6 、公司建有</w:t>
      </w:r>
      <w:r>
        <w:rPr>
          <w:rFonts w:hint="eastAsia" w:ascii="仿宋_GB2312" w:hAnsi="仿宋_GB2312" w:eastAsia="仿宋_GB2312" w:cs="仿宋_GB2312"/>
          <w:spacing w:val="-1"/>
          <w:sz w:val="24"/>
          <w:szCs w:val="24"/>
          <w:lang w:val="en-US" w:eastAsia="zh-CN"/>
        </w:rPr>
        <w:t>1个</w:t>
      </w:r>
      <w:r>
        <w:rPr>
          <w:rFonts w:hint="eastAsia" w:ascii="仿宋_GB2312" w:hAnsi="仿宋_GB2312" w:eastAsia="仿宋_GB2312" w:cs="仿宋_GB2312"/>
          <w:spacing w:val="-1"/>
          <w:sz w:val="24"/>
          <w:szCs w:val="24"/>
        </w:rPr>
        <w:t xml:space="preserve"> </w:t>
      </w:r>
      <w:r>
        <w:rPr>
          <w:rFonts w:hint="eastAsia" w:ascii="仿宋_GB2312" w:hAnsi="仿宋_GB2312" w:eastAsia="仿宋_GB2312" w:cs="仿宋_GB2312"/>
          <w:spacing w:val="-1"/>
          <w:position w:val="0"/>
          <w:sz w:val="24"/>
          <w:szCs w:val="24"/>
          <w:lang w:eastAsia="zh-CN"/>
        </w:rPr>
        <w:t>150m³</w:t>
      </w:r>
      <w:r>
        <w:rPr>
          <w:rFonts w:hint="eastAsia" w:ascii="仿宋_GB2312" w:hAnsi="仿宋_GB2312" w:eastAsia="仿宋_GB2312" w:cs="仿宋_GB2312"/>
          <w:spacing w:val="-1"/>
          <w:sz w:val="24"/>
          <w:szCs w:val="24"/>
        </w:rPr>
        <w:t>的事故应急池，</w:t>
      </w:r>
      <w:r>
        <w:rPr>
          <w:rFonts w:hint="eastAsia" w:ascii="仿宋_GB2312" w:hAnsi="仿宋_GB2312" w:eastAsia="仿宋_GB2312" w:cs="仿宋_GB2312"/>
          <w:spacing w:val="-1"/>
          <w:sz w:val="24"/>
          <w:szCs w:val="24"/>
          <w:lang w:val="en-US" w:eastAsia="zh-CN"/>
        </w:rPr>
        <w:t>25.4m³的沉淀池1个，18m³的沉淀池3个（沉淀池兼事故应急池），</w:t>
      </w:r>
      <w:r>
        <w:rPr>
          <w:rFonts w:hint="eastAsia" w:ascii="仿宋_GB2312" w:hAnsi="仿宋_GB2312" w:eastAsia="仿宋_GB2312" w:cs="仿宋_GB2312"/>
          <w:spacing w:val="-1"/>
          <w:sz w:val="24"/>
          <w:szCs w:val="24"/>
        </w:rPr>
        <w:t>当发生泄漏、火灾时产生的消防废水可流入该事故应急池。</w:t>
      </w:r>
    </w:p>
    <w:p>
      <w:pPr>
        <w:pStyle w:val="2"/>
        <w:rPr>
          <w:rFonts w:hint="eastAsia" w:ascii="仿宋_GB2312" w:hAnsi="仿宋_GB2312" w:eastAsia="仿宋_GB2312" w:cs="仿宋_GB2312"/>
          <w:spacing w:val="-1"/>
          <w:sz w:val="24"/>
          <w:szCs w:val="24"/>
        </w:rPr>
      </w:pPr>
    </w:p>
    <w:p>
      <w:pPr>
        <w:pStyle w:val="2"/>
        <w:rPr>
          <w:rFonts w:hint="eastAsia" w:ascii="仿宋_GB2312" w:hAnsi="仿宋_GB2312" w:eastAsia="仿宋_GB2312" w:cs="仿宋_GB2312"/>
          <w:spacing w:val="-1"/>
          <w:sz w:val="24"/>
          <w:szCs w:val="24"/>
        </w:rPr>
      </w:pPr>
    </w:p>
    <w:p>
      <w:pPr>
        <w:spacing w:before="120" w:beforeLines="50" w:line="360" w:lineRule="auto"/>
        <w:outlineLvl w:val="1"/>
        <w:rPr>
          <w:rFonts w:hint="eastAsia" w:ascii="Times New Roman" w:hAnsi="Times New Roman" w:cs="Times New Roman"/>
          <w:b/>
          <w:sz w:val="28"/>
          <w:szCs w:val="28"/>
          <w:lang w:val="en-US" w:eastAsia="zh-CN"/>
        </w:rPr>
      </w:pPr>
      <w:bookmarkStart w:id="147" w:name="_Toc6016"/>
      <w:r>
        <w:rPr>
          <w:rFonts w:hint="eastAsia" w:ascii="Times New Roman" w:hAnsi="Times New Roman" w:cs="Times New Roman"/>
          <w:b/>
          <w:sz w:val="28"/>
          <w:szCs w:val="28"/>
          <w:lang w:val="en-US" w:eastAsia="zh-CN"/>
        </w:rPr>
        <w:t>4.2  预警行动</w:t>
      </w:r>
      <w:bookmarkEnd w:id="147"/>
    </w:p>
    <w:p>
      <w:pPr>
        <w:spacing w:before="120" w:beforeLines="50" w:line="360" w:lineRule="auto"/>
        <w:outlineLvl w:val="2"/>
        <w:rPr>
          <w:rFonts w:hint="eastAsia" w:ascii="Times New Roman" w:hAnsi="Times New Roman" w:cs="Times New Roman"/>
          <w:b/>
          <w:sz w:val="28"/>
          <w:szCs w:val="28"/>
          <w:lang w:val="en-US" w:eastAsia="zh-CN"/>
        </w:rPr>
      </w:pPr>
      <w:bookmarkStart w:id="148" w:name="_Toc26549"/>
      <w:r>
        <w:rPr>
          <w:rFonts w:hint="eastAsia" w:ascii="Times New Roman" w:hAnsi="Times New Roman" w:cs="Times New Roman"/>
          <w:b/>
          <w:sz w:val="28"/>
          <w:szCs w:val="28"/>
          <w:lang w:val="en-US" w:eastAsia="zh-CN"/>
        </w:rPr>
        <w:t>4.2.1 预警条件</w:t>
      </w:r>
      <w:bookmarkEnd w:id="148"/>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8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若收集到的有关信息证明氨水污染环境事件即将发生</w:t>
      </w:r>
      <w:r>
        <w:rPr>
          <w:rFonts w:hint="eastAsia" w:ascii="仿宋_GB2312" w:hAnsi="仿宋_GB2312" w:eastAsia="仿宋_GB2312" w:cs="仿宋_GB2312"/>
          <w:spacing w:val="2"/>
          <w:sz w:val="24"/>
          <w:szCs w:val="24"/>
          <w:lang w:eastAsia="zh-CN"/>
        </w:rPr>
        <w:t>（</w:t>
      </w:r>
      <w:r>
        <w:rPr>
          <w:rFonts w:hint="eastAsia" w:ascii="仿宋_GB2312" w:hAnsi="仿宋_GB2312" w:eastAsia="仿宋_GB2312" w:cs="仿宋_GB2312"/>
          <w:spacing w:val="2"/>
          <w:sz w:val="24"/>
          <w:szCs w:val="24"/>
          <w:lang w:val="en-US" w:eastAsia="zh-CN"/>
        </w:rPr>
        <w:t>泄漏报警装置报警、肉眼可见的泄漏</w:t>
      </w:r>
      <w:r>
        <w:rPr>
          <w:rFonts w:hint="eastAsia" w:ascii="仿宋_GB2312" w:hAnsi="仿宋_GB2312" w:eastAsia="仿宋_GB2312" w:cs="仿宋_GB2312"/>
          <w:spacing w:val="2"/>
          <w:sz w:val="24"/>
          <w:szCs w:val="24"/>
          <w:lang w:eastAsia="zh-CN"/>
        </w:rPr>
        <w:t>）</w:t>
      </w:r>
      <w:r>
        <w:rPr>
          <w:rFonts w:hint="eastAsia" w:ascii="仿宋_GB2312" w:hAnsi="仿宋_GB2312" w:eastAsia="仿宋_GB2312" w:cs="仿宋_GB2312"/>
          <w:spacing w:val="2"/>
          <w:sz w:val="24"/>
          <w:szCs w:val="24"/>
        </w:rPr>
        <w:t>，由应急指挥中心确</w:t>
      </w:r>
      <w:r>
        <w:rPr>
          <w:rFonts w:hint="eastAsia" w:ascii="仿宋_GB2312" w:hAnsi="仿宋_GB2312" w:eastAsia="仿宋_GB2312" w:cs="仿宋_GB2312"/>
          <w:spacing w:val="14"/>
          <w:sz w:val="24"/>
          <w:szCs w:val="24"/>
        </w:rPr>
        <w:t xml:space="preserve"> </w:t>
      </w:r>
      <w:r>
        <w:rPr>
          <w:rFonts w:hint="eastAsia" w:ascii="仿宋_GB2312" w:hAnsi="仿宋_GB2312" w:eastAsia="仿宋_GB2312" w:cs="仿宋_GB2312"/>
          <w:spacing w:val="-1"/>
          <w:sz w:val="24"/>
          <w:szCs w:val="24"/>
        </w:rPr>
        <w:t>定预警等级，采取相应的预警措施。</w:t>
      </w:r>
    </w:p>
    <w:p>
      <w:pPr>
        <w:spacing w:before="120" w:beforeLines="50" w:line="360" w:lineRule="auto"/>
        <w:outlineLvl w:val="2"/>
        <w:rPr>
          <w:rFonts w:hint="eastAsia" w:ascii="Times New Roman" w:hAnsi="Times New Roman" w:cs="Times New Roman"/>
          <w:b/>
          <w:sz w:val="28"/>
          <w:szCs w:val="28"/>
          <w:lang w:val="en-US" w:eastAsia="zh-CN"/>
        </w:rPr>
      </w:pPr>
      <w:bookmarkStart w:id="149" w:name="_Toc29578"/>
      <w:r>
        <w:rPr>
          <w:rFonts w:hint="eastAsia" w:ascii="Times New Roman" w:hAnsi="Times New Roman" w:cs="Times New Roman"/>
          <w:b/>
          <w:sz w:val="28"/>
          <w:szCs w:val="28"/>
          <w:lang w:val="en-US" w:eastAsia="zh-CN"/>
        </w:rPr>
        <w:t>4.2.2 预警分级</w:t>
      </w:r>
      <w:bookmarkEnd w:id="149"/>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6"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公司根据氨水污染环境事件造成的环境危害将预警级别分为三级。</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5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6"/>
          <w:w w:val="99"/>
          <w:sz w:val="24"/>
          <w:szCs w:val="24"/>
        </w:rPr>
        <w:t>I</w:t>
      </w:r>
      <w:r>
        <w:rPr>
          <w:rFonts w:hint="eastAsia" w:ascii="仿宋_GB2312" w:hAnsi="仿宋_GB2312" w:eastAsia="仿宋_GB2312" w:cs="仿宋_GB2312"/>
          <w:spacing w:val="25"/>
          <w:sz w:val="24"/>
          <w:szCs w:val="24"/>
        </w:rPr>
        <w:t xml:space="preserve"> </w:t>
      </w:r>
      <w:r>
        <w:rPr>
          <w:rFonts w:hint="eastAsia" w:ascii="仿宋_GB2312" w:hAnsi="仿宋_GB2312" w:eastAsia="仿宋_GB2312" w:cs="仿宋_GB2312"/>
          <w:spacing w:val="-6"/>
          <w:w w:val="99"/>
          <w:sz w:val="24"/>
          <w:szCs w:val="24"/>
        </w:rPr>
        <w:t>级预警：</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6"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氨储罐发生大量泄漏，且泄漏事件即将扩大至公司围墙外；</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56"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6"/>
          <w:sz w:val="24"/>
          <w:szCs w:val="24"/>
        </w:rPr>
        <w:t>II</w:t>
      </w:r>
      <w:r>
        <w:rPr>
          <w:rFonts w:hint="eastAsia" w:ascii="仿宋_GB2312" w:hAnsi="仿宋_GB2312" w:eastAsia="仿宋_GB2312" w:cs="仿宋_GB2312"/>
          <w:spacing w:val="20"/>
          <w:w w:val="101"/>
          <w:sz w:val="24"/>
          <w:szCs w:val="24"/>
        </w:rPr>
        <w:t xml:space="preserve"> </w:t>
      </w:r>
      <w:r>
        <w:rPr>
          <w:rFonts w:hint="eastAsia" w:ascii="仿宋_GB2312" w:hAnsi="仿宋_GB2312" w:eastAsia="仿宋_GB2312" w:cs="仿宋_GB2312"/>
          <w:spacing w:val="-6"/>
          <w:sz w:val="24"/>
          <w:szCs w:val="24"/>
        </w:rPr>
        <w:t>级预警：</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8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氨储罐发生泄漏，扩散范围仍在公司控制范围内，可以通过实施压堵漏</w:t>
      </w:r>
      <w:r>
        <w:rPr>
          <w:rFonts w:hint="eastAsia" w:ascii="仿宋_GB2312" w:hAnsi="仿宋_GB2312" w:eastAsia="仿宋_GB2312" w:cs="仿宋_GB2312"/>
          <w:spacing w:val="-1"/>
          <w:sz w:val="24"/>
          <w:szCs w:val="24"/>
        </w:rPr>
        <w:t>等特殊处理控制氨水继续泄漏；</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6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5"/>
          <w:sz w:val="24"/>
          <w:szCs w:val="24"/>
        </w:rPr>
        <w:t>III</w:t>
      </w:r>
      <w:r>
        <w:rPr>
          <w:rFonts w:hint="eastAsia" w:ascii="仿宋_GB2312" w:hAnsi="仿宋_GB2312" w:eastAsia="仿宋_GB2312" w:cs="仿宋_GB2312"/>
          <w:spacing w:val="19"/>
          <w:sz w:val="24"/>
          <w:szCs w:val="24"/>
        </w:rPr>
        <w:t xml:space="preserve"> </w:t>
      </w:r>
      <w:r>
        <w:rPr>
          <w:rFonts w:hint="eastAsia" w:ascii="仿宋_GB2312" w:hAnsi="仿宋_GB2312" w:eastAsia="仿宋_GB2312" w:cs="仿宋_GB2312"/>
          <w:spacing w:val="-5"/>
          <w:sz w:val="24"/>
          <w:szCs w:val="24"/>
        </w:rPr>
        <w:t>级预警：</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88" w:firstLineChars="200"/>
        <w:textAlignment w:val="auto"/>
        <w:rPr>
          <w:rFonts w:hint="eastAsia" w:ascii="仿宋_GB2312" w:hAnsi="仿宋_GB2312" w:eastAsia="仿宋_GB2312" w:cs="仿宋_GB2312"/>
          <w:sz w:val="24"/>
          <w:szCs w:val="24"/>
          <w:lang w:eastAsia="zh-CN"/>
        </w:rPr>
      </w:pPr>
      <w:r>
        <w:rPr>
          <w:rFonts w:hint="eastAsia" w:ascii="仿宋_GB2312" w:hAnsi="仿宋_GB2312" w:eastAsia="仿宋_GB2312" w:cs="仿宋_GB2312"/>
          <w:spacing w:val="2"/>
          <w:sz w:val="24"/>
          <w:szCs w:val="24"/>
        </w:rPr>
        <w:t>氨水储罐阀门等发生氨水少量泄漏，泄漏事件发生部门就能处理，不会</w:t>
      </w:r>
      <w:r>
        <w:rPr>
          <w:rFonts w:hint="eastAsia" w:ascii="仿宋_GB2312" w:hAnsi="仿宋_GB2312" w:eastAsia="仿宋_GB2312" w:cs="仿宋_GB2312"/>
          <w:spacing w:val="-1"/>
          <w:sz w:val="24"/>
          <w:szCs w:val="24"/>
        </w:rPr>
        <w:t>造成大的环境影响</w:t>
      </w:r>
      <w:r>
        <w:rPr>
          <w:rFonts w:hint="eastAsia" w:ascii="仿宋_GB2312" w:hAnsi="仿宋_GB2312" w:eastAsia="仿宋_GB2312" w:cs="仿宋_GB2312"/>
          <w:spacing w:val="-1"/>
          <w:sz w:val="24"/>
          <w:szCs w:val="24"/>
          <w:lang w:eastAsia="zh-CN"/>
        </w:rPr>
        <w:t>。</w:t>
      </w:r>
    </w:p>
    <w:p>
      <w:pPr>
        <w:spacing w:before="120" w:beforeLines="50" w:line="360" w:lineRule="auto"/>
        <w:outlineLvl w:val="2"/>
        <w:rPr>
          <w:rFonts w:hint="eastAsia" w:ascii="Times New Roman" w:hAnsi="Times New Roman" w:cs="Times New Roman"/>
          <w:b/>
          <w:sz w:val="28"/>
          <w:szCs w:val="28"/>
          <w:lang w:val="en-US" w:eastAsia="zh-CN"/>
        </w:rPr>
      </w:pPr>
      <w:bookmarkStart w:id="150" w:name="_Toc27619"/>
      <w:r>
        <w:rPr>
          <w:rFonts w:hint="eastAsia" w:ascii="Times New Roman" w:hAnsi="Times New Roman" w:cs="Times New Roman"/>
          <w:b/>
          <w:sz w:val="28"/>
          <w:szCs w:val="28"/>
          <w:lang w:val="en-US" w:eastAsia="zh-CN"/>
        </w:rPr>
        <w:t>4.2.3 预警程序</w:t>
      </w:r>
      <w:bookmarkEnd w:id="150"/>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8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在确认进入预警状态之后，根据预警相应级别</w:t>
      </w:r>
      <w:r>
        <w:rPr>
          <w:rFonts w:hint="eastAsia" w:ascii="仿宋_GB2312" w:hAnsi="仿宋_GB2312" w:eastAsia="仿宋_GB2312" w:cs="仿宋_GB2312"/>
          <w:spacing w:val="2"/>
          <w:sz w:val="24"/>
          <w:szCs w:val="24"/>
          <w:lang w:eastAsia="zh-CN"/>
        </w:rPr>
        <w:t>应急指挥部</w:t>
      </w:r>
      <w:r>
        <w:rPr>
          <w:rFonts w:hint="eastAsia" w:ascii="仿宋_GB2312" w:hAnsi="仿宋_GB2312" w:eastAsia="仿宋_GB2312" w:cs="仿宋_GB2312"/>
          <w:spacing w:val="2"/>
          <w:sz w:val="24"/>
          <w:szCs w:val="24"/>
        </w:rPr>
        <w:t>按照相关程序</w:t>
      </w:r>
      <w:r>
        <w:rPr>
          <w:rFonts w:hint="eastAsia" w:ascii="仿宋_GB2312" w:hAnsi="仿宋_GB2312" w:eastAsia="仿宋_GB2312" w:cs="仿宋_GB2312"/>
          <w:spacing w:val="16"/>
          <w:sz w:val="24"/>
          <w:szCs w:val="24"/>
        </w:rPr>
        <w:t xml:space="preserve"> </w:t>
      </w:r>
      <w:r>
        <w:rPr>
          <w:rFonts w:hint="eastAsia" w:ascii="仿宋_GB2312" w:hAnsi="仿宋_GB2312" w:eastAsia="仿宋_GB2312" w:cs="仿宋_GB2312"/>
          <w:spacing w:val="-2"/>
          <w:sz w:val="24"/>
          <w:szCs w:val="24"/>
        </w:rPr>
        <w:t>可采取以下行动：</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6"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（1）按照环境污染事故发布预警的等级。</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（2）根据预警级别准备转移、撤离或者疏散可能受到危害的人员，并进行</w:t>
      </w:r>
      <w:r>
        <w:rPr>
          <w:rFonts w:hint="eastAsia" w:ascii="仿宋_GB2312" w:hAnsi="仿宋_GB2312" w:eastAsia="仿宋_GB2312" w:cs="仿宋_GB2312"/>
          <w:spacing w:val="-3"/>
          <w:sz w:val="24"/>
          <w:szCs w:val="24"/>
        </w:rPr>
        <w:t>妥善安置。</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52"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7"/>
          <w:sz w:val="24"/>
          <w:szCs w:val="24"/>
        </w:rPr>
        <w:t>（3）指令各应急专业队伍进入应急状态，环境监测人员立即开展应急监测，</w:t>
      </w:r>
      <w:r>
        <w:rPr>
          <w:rFonts w:hint="eastAsia" w:ascii="仿宋_GB2312" w:hAnsi="仿宋_GB2312" w:eastAsia="仿宋_GB2312" w:cs="仿宋_GB2312"/>
          <w:spacing w:val="-2"/>
          <w:sz w:val="24"/>
          <w:szCs w:val="24"/>
        </w:rPr>
        <w:t>随时掌握并报告事态进展情况。</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（4）针对突发事件可能造成的危害，封闭、隔离或者限制有关场所，中止</w:t>
      </w:r>
      <w:r>
        <w:rPr>
          <w:rFonts w:hint="eastAsia" w:ascii="仿宋_GB2312" w:hAnsi="仿宋_GB2312" w:eastAsia="仿宋_GB2312" w:cs="仿宋_GB2312"/>
          <w:spacing w:val="-1"/>
          <w:sz w:val="24"/>
          <w:szCs w:val="24"/>
        </w:rPr>
        <w:t>可能导致危害扩大的行为和活动。</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6" w:firstLineChars="200"/>
        <w:textAlignment w:val="auto"/>
        <w:rPr>
          <w:rFonts w:hint="eastAsia" w:ascii="仿宋_GB2312" w:hAnsi="仿宋_GB2312" w:eastAsia="仿宋_GB2312" w:cs="仿宋_GB2312"/>
          <w:spacing w:val="-1"/>
          <w:sz w:val="24"/>
          <w:szCs w:val="24"/>
        </w:rPr>
      </w:pPr>
      <w:r>
        <w:rPr>
          <w:rFonts w:hint="eastAsia" w:ascii="仿宋_GB2312" w:hAnsi="仿宋_GB2312" w:eastAsia="仿宋_GB2312" w:cs="仿宋_GB2312"/>
          <w:spacing w:val="-1"/>
          <w:sz w:val="24"/>
          <w:szCs w:val="24"/>
        </w:rPr>
        <w:t>（5）调集应急处置所需物资和设备，做好其它应急保障工作。</w:t>
      </w:r>
    </w:p>
    <w:p>
      <w:pPr>
        <w:pStyle w:val="2"/>
        <w:rPr>
          <w:rFonts w:hint="eastAsia"/>
        </w:rPr>
      </w:pPr>
    </w:p>
    <w:p>
      <w:pPr>
        <w:spacing w:before="120" w:beforeLines="50" w:line="360" w:lineRule="auto"/>
        <w:outlineLvl w:val="2"/>
        <w:rPr>
          <w:rFonts w:hint="eastAsia" w:ascii="Times New Roman" w:hAnsi="Times New Roman" w:cs="Times New Roman"/>
          <w:b/>
          <w:sz w:val="28"/>
          <w:szCs w:val="28"/>
          <w:lang w:val="en-US" w:eastAsia="zh-CN"/>
        </w:rPr>
      </w:pPr>
      <w:bookmarkStart w:id="151" w:name="_Toc15294"/>
      <w:r>
        <w:rPr>
          <w:rFonts w:hint="eastAsia" w:ascii="Times New Roman" w:hAnsi="Times New Roman" w:cs="Times New Roman"/>
          <w:b/>
          <w:sz w:val="28"/>
          <w:szCs w:val="28"/>
          <w:lang w:val="en-US" w:eastAsia="zh-CN"/>
        </w:rPr>
        <w:t>4.2.4 预警解除</w:t>
      </w:r>
      <w:bookmarkEnd w:id="151"/>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88" w:firstLineChars="200"/>
        <w:textAlignment w:val="auto"/>
        <w:rPr>
          <w:rFonts w:hint="eastAsia" w:ascii="仿宋_GB2312" w:hAnsi="仿宋_GB2312" w:eastAsia="仿宋_GB2312" w:cs="仿宋_GB2312"/>
          <w:spacing w:val="-1"/>
          <w:sz w:val="24"/>
          <w:szCs w:val="24"/>
        </w:rPr>
      </w:pPr>
      <w:r>
        <w:rPr>
          <w:rFonts w:hint="eastAsia" w:ascii="仿宋_GB2312" w:hAnsi="仿宋_GB2312" w:eastAsia="仿宋_GB2312" w:cs="仿宋_GB2312"/>
          <w:spacing w:val="2"/>
          <w:sz w:val="24"/>
          <w:szCs w:val="24"/>
        </w:rPr>
        <w:t>当氨水储罐泄漏引发的次生环境事件的危险已经消除，经过公司应急指挥</w:t>
      </w:r>
      <w:r>
        <w:rPr>
          <w:rFonts w:hint="eastAsia" w:ascii="仿宋_GB2312" w:hAnsi="仿宋_GB2312" w:eastAsia="仿宋_GB2312" w:cs="仿宋_GB2312"/>
          <w:sz w:val="24"/>
          <w:szCs w:val="24"/>
        </w:rPr>
        <w:t xml:space="preserve"> </w:t>
      </w:r>
      <w:r>
        <w:rPr>
          <w:rFonts w:hint="eastAsia" w:ascii="仿宋_GB2312" w:hAnsi="仿宋_GB2312" w:eastAsia="仿宋_GB2312" w:cs="仿宋_GB2312"/>
          <w:spacing w:val="2"/>
          <w:sz w:val="24"/>
          <w:szCs w:val="24"/>
        </w:rPr>
        <w:t>部评估确认后，公司应急指挥部可适时下达预警解除指令，信息联络组将指令</w:t>
      </w:r>
      <w:r>
        <w:rPr>
          <w:rFonts w:hint="eastAsia" w:ascii="仿宋_GB2312" w:hAnsi="仿宋_GB2312" w:eastAsia="仿宋_GB2312" w:cs="仿宋_GB2312"/>
          <w:spacing w:val="11"/>
          <w:sz w:val="24"/>
          <w:szCs w:val="24"/>
        </w:rPr>
        <w:t xml:space="preserve"> </w:t>
      </w:r>
      <w:r>
        <w:rPr>
          <w:rFonts w:hint="eastAsia" w:ascii="仿宋_GB2312" w:hAnsi="仿宋_GB2312" w:eastAsia="仿宋_GB2312" w:cs="仿宋_GB2312"/>
          <w:spacing w:val="-1"/>
          <w:sz w:val="24"/>
          <w:szCs w:val="24"/>
        </w:rPr>
        <w:t>信息及时传达至各相关职能部门。</w:t>
      </w:r>
    </w:p>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jc w:val="left"/>
        <w:textAlignment w:val="auto"/>
        <w:outlineLvl w:val="0"/>
        <w:rPr>
          <w:rFonts w:hint="eastAsia" w:ascii="宋体" w:hAnsi="宋体" w:cs="宋体"/>
          <w:b/>
          <w:sz w:val="28"/>
          <w:szCs w:val="28"/>
          <w:lang w:val="en-US" w:eastAsia="zh-CN"/>
        </w:rPr>
      </w:pPr>
      <w:bookmarkStart w:id="152" w:name="_Toc15400"/>
      <w:r>
        <w:rPr>
          <w:rFonts w:hint="eastAsia" w:ascii="宋体" w:hAnsi="宋体" w:cs="宋体"/>
          <w:b/>
          <w:sz w:val="28"/>
          <w:szCs w:val="28"/>
          <w:lang w:val="en-US" w:eastAsia="zh-CN"/>
        </w:rPr>
        <w:t>5  应急处置与响应</w:t>
      </w:r>
      <w:bookmarkEnd w:id="152"/>
    </w:p>
    <w:p>
      <w:pPr>
        <w:spacing w:before="120" w:beforeLines="50" w:line="360" w:lineRule="auto"/>
        <w:outlineLvl w:val="1"/>
        <w:rPr>
          <w:rFonts w:hint="eastAsia" w:ascii="Times New Roman" w:hAnsi="Times New Roman" w:cs="Times New Roman"/>
          <w:b/>
          <w:sz w:val="28"/>
          <w:szCs w:val="28"/>
          <w:lang w:val="en-US" w:eastAsia="zh-CN"/>
        </w:rPr>
      </w:pPr>
      <w:bookmarkStart w:id="153" w:name="_Toc23271"/>
      <w:r>
        <w:rPr>
          <w:rFonts w:hint="eastAsia" w:ascii="Times New Roman" w:hAnsi="Times New Roman" w:cs="Times New Roman"/>
          <w:b/>
          <w:sz w:val="28"/>
          <w:szCs w:val="28"/>
          <w:lang w:val="en-US" w:eastAsia="zh-CN"/>
        </w:rPr>
        <w:t>5.1 应急响应程序</w:t>
      </w:r>
      <w:bookmarkEnd w:id="153"/>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8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氨水储罐泄漏引发的次生环境事件发生时，第一责任人应立即通知上级主管，同时事发部门立即实施部门现场处置方案，控制事件扩大。一旦部门应变</w:t>
      </w:r>
      <w:r>
        <w:rPr>
          <w:rFonts w:hint="eastAsia" w:ascii="仿宋_GB2312" w:hAnsi="仿宋_GB2312" w:eastAsia="仿宋_GB2312" w:cs="仿宋_GB2312"/>
          <w:spacing w:val="-3"/>
          <w:sz w:val="24"/>
          <w:szCs w:val="24"/>
        </w:rPr>
        <w:t>处置不成功，立即向公司应急指挥部报告，各有关应急小组迅速到达事件现场，</w:t>
      </w:r>
      <w:r>
        <w:rPr>
          <w:rFonts w:hint="eastAsia" w:ascii="仿宋_GB2312" w:hAnsi="仿宋_GB2312" w:eastAsia="仿宋_GB2312" w:cs="仿宋_GB2312"/>
          <w:spacing w:val="6"/>
          <w:sz w:val="24"/>
          <w:szCs w:val="24"/>
        </w:rPr>
        <w:t xml:space="preserve"> </w:t>
      </w:r>
      <w:r>
        <w:rPr>
          <w:rFonts w:hint="eastAsia" w:ascii="仿宋_GB2312" w:hAnsi="仿宋_GB2312" w:eastAsia="仿宋_GB2312" w:cs="仿宋_GB2312"/>
          <w:spacing w:val="-1"/>
          <w:sz w:val="24"/>
          <w:szCs w:val="24"/>
        </w:rPr>
        <w:t>按各自职责，展开各项紧急应急处置。</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position w:val="1"/>
          <w:sz w:val="24"/>
          <w:szCs w:val="24"/>
        </w:rPr>
        <w:t>I级响应行动(公司救援力量能力范围外，需要请求外部支援的事故)</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8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企业立即启动</w:t>
      </w:r>
      <w:r>
        <w:rPr>
          <w:rFonts w:hint="eastAsia" w:ascii="仿宋_GB2312" w:hAnsi="仿宋_GB2312" w:eastAsia="仿宋_GB2312" w:cs="仿宋_GB2312"/>
          <w:spacing w:val="2"/>
          <w:sz w:val="24"/>
          <w:szCs w:val="24"/>
          <w:lang w:val="en-US" w:eastAsia="zh-CN"/>
        </w:rPr>
        <w:t>社会级</w:t>
      </w:r>
      <w:r>
        <w:rPr>
          <w:rFonts w:hint="eastAsia" w:ascii="仿宋_GB2312" w:hAnsi="仿宋_GB2312" w:eastAsia="仿宋_GB2312" w:cs="仿宋_GB2312"/>
          <w:spacing w:val="2"/>
          <w:sz w:val="24"/>
          <w:szCs w:val="24"/>
        </w:rPr>
        <w:t>应急预案，第一时间内向韶关市生态环境局翁源分局或其它</w:t>
      </w:r>
      <w:r>
        <w:rPr>
          <w:rFonts w:hint="eastAsia" w:ascii="仿宋_GB2312" w:hAnsi="仿宋_GB2312" w:eastAsia="仿宋_GB2312" w:cs="仿宋_GB2312"/>
          <w:spacing w:val="-4"/>
          <w:sz w:val="24"/>
          <w:szCs w:val="24"/>
        </w:rPr>
        <w:t>外部应急救援力量报警，请求支援；在上级应急指挥中心为到达现场前根据应</w:t>
      </w:r>
      <w:r>
        <w:rPr>
          <w:rFonts w:hint="eastAsia" w:ascii="仿宋_GB2312" w:hAnsi="仿宋_GB2312" w:eastAsia="仿宋_GB2312" w:cs="仿宋_GB2312"/>
          <w:sz w:val="24"/>
          <w:szCs w:val="24"/>
        </w:rPr>
        <w:t xml:space="preserve"> </w:t>
      </w:r>
      <w:r>
        <w:rPr>
          <w:rFonts w:hint="eastAsia" w:ascii="仿宋_GB2312" w:hAnsi="仿宋_GB2312" w:eastAsia="仿宋_GB2312" w:cs="仿宋_GB2312"/>
          <w:spacing w:val="-1"/>
          <w:sz w:val="24"/>
          <w:szCs w:val="24"/>
        </w:rPr>
        <w:t>急预案或外部的有关指示采取先期应急措施。</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position w:val="1"/>
          <w:sz w:val="24"/>
          <w:szCs w:val="24"/>
        </w:rPr>
        <w:t>II级响应行动(公司内部能处理的事故)</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56"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6"/>
          <w:sz w:val="24"/>
          <w:szCs w:val="24"/>
        </w:rPr>
        <w:t>启动</w:t>
      </w:r>
      <w:r>
        <w:rPr>
          <w:rFonts w:hint="eastAsia" w:ascii="仿宋_GB2312" w:hAnsi="仿宋_GB2312" w:eastAsia="仿宋_GB2312" w:cs="仿宋_GB2312"/>
          <w:spacing w:val="-6"/>
          <w:sz w:val="24"/>
          <w:szCs w:val="24"/>
          <w:lang w:val="en-US" w:eastAsia="zh-CN"/>
        </w:rPr>
        <w:t>企业级</w:t>
      </w:r>
      <w:r>
        <w:rPr>
          <w:rFonts w:hint="eastAsia" w:ascii="仿宋_GB2312" w:hAnsi="仿宋_GB2312" w:eastAsia="仿宋_GB2312" w:cs="仿宋_GB2312"/>
          <w:spacing w:val="-6"/>
          <w:sz w:val="24"/>
          <w:szCs w:val="24"/>
        </w:rPr>
        <w:t>应急预案，需要调度本公司力量进行应急处置；必要时向外部应急/救</w:t>
      </w:r>
      <w:r>
        <w:rPr>
          <w:rFonts w:hint="eastAsia" w:ascii="仿宋_GB2312" w:hAnsi="仿宋_GB2312" w:eastAsia="仿宋_GB2312" w:cs="仿宋_GB2312"/>
          <w:spacing w:val="-2"/>
          <w:sz w:val="24"/>
          <w:szCs w:val="24"/>
        </w:rPr>
        <w:t>援力量请求援助。</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position w:val="1"/>
          <w:sz w:val="24"/>
          <w:szCs w:val="24"/>
        </w:rPr>
        <w:t>III级响应行动(部门内部能处理的事故)</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6"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由现场处置小组组长指挥，</w:t>
      </w:r>
      <w:r>
        <w:rPr>
          <w:rFonts w:hint="eastAsia" w:ascii="仿宋_GB2312" w:hAnsi="仿宋_GB2312" w:eastAsia="仿宋_GB2312" w:cs="仿宋_GB2312"/>
          <w:spacing w:val="-6"/>
          <w:sz w:val="24"/>
          <w:szCs w:val="24"/>
        </w:rPr>
        <w:t>启动</w:t>
      </w:r>
      <w:r>
        <w:rPr>
          <w:rFonts w:hint="eastAsia" w:ascii="仿宋_GB2312" w:hAnsi="仿宋_GB2312" w:eastAsia="仿宋_GB2312" w:cs="仿宋_GB2312"/>
          <w:spacing w:val="-6"/>
          <w:sz w:val="24"/>
          <w:szCs w:val="24"/>
          <w:lang w:val="en-US" w:eastAsia="zh-CN"/>
        </w:rPr>
        <w:t>车间级</w:t>
      </w:r>
      <w:r>
        <w:rPr>
          <w:rFonts w:hint="eastAsia" w:ascii="仿宋_GB2312" w:hAnsi="仿宋_GB2312" w:eastAsia="仿宋_GB2312" w:cs="仿宋_GB2312"/>
          <w:spacing w:val="-6"/>
          <w:sz w:val="24"/>
          <w:szCs w:val="24"/>
        </w:rPr>
        <w:t>应急预案，</w:t>
      </w:r>
      <w:r>
        <w:rPr>
          <w:rFonts w:hint="eastAsia" w:ascii="仿宋_GB2312" w:hAnsi="仿宋_GB2312" w:eastAsia="仿宋_GB2312" w:cs="仿宋_GB2312"/>
          <w:spacing w:val="-1"/>
          <w:sz w:val="24"/>
          <w:szCs w:val="24"/>
        </w:rPr>
        <w:t>可以控制和消除的事故，</w:t>
      </w:r>
      <w:r>
        <w:rPr>
          <w:rFonts w:hint="eastAsia" w:ascii="仿宋_GB2312" w:hAnsi="仿宋_GB2312" w:eastAsia="仿宋_GB2312" w:cs="仿宋_GB2312"/>
          <w:spacing w:val="-2"/>
          <w:sz w:val="24"/>
          <w:szCs w:val="24"/>
        </w:rPr>
        <w:t>上报公司应急指挥部。</w:t>
      </w:r>
    </w:p>
    <w:p>
      <w:pPr>
        <w:spacing w:before="120" w:beforeLines="50" w:line="360" w:lineRule="auto"/>
        <w:outlineLvl w:val="1"/>
        <w:rPr>
          <w:rFonts w:hint="eastAsia" w:ascii="Times New Roman" w:hAnsi="Times New Roman" w:cs="Times New Roman"/>
          <w:b/>
          <w:sz w:val="28"/>
          <w:szCs w:val="28"/>
          <w:lang w:val="en-US" w:eastAsia="zh-CN"/>
        </w:rPr>
      </w:pPr>
      <w:bookmarkStart w:id="154" w:name="_Toc3808"/>
      <w:r>
        <w:rPr>
          <w:rFonts w:hint="eastAsia" w:ascii="Times New Roman" w:hAnsi="Times New Roman" w:cs="Times New Roman"/>
          <w:b/>
          <w:sz w:val="28"/>
          <w:szCs w:val="28"/>
          <w:lang w:val="en-US" w:eastAsia="zh-CN"/>
        </w:rPr>
        <w:t>5.2 应急处置</w:t>
      </w:r>
      <w:bookmarkEnd w:id="154"/>
    </w:p>
    <w:p>
      <w:pPr>
        <w:spacing w:before="120" w:beforeLines="50" w:line="360" w:lineRule="auto"/>
        <w:outlineLvl w:val="2"/>
        <w:rPr>
          <w:rFonts w:hint="eastAsia" w:ascii="Times New Roman" w:hAnsi="Times New Roman" w:cs="Times New Roman"/>
          <w:b/>
          <w:sz w:val="28"/>
          <w:szCs w:val="28"/>
          <w:lang w:val="en-US" w:eastAsia="zh-CN"/>
        </w:rPr>
      </w:pPr>
      <w:bookmarkStart w:id="155" w:name="_Toc12743"/>
      <w:r>
        <w:rPr>
          <w:rFonts w:hint="eastAsia" w:ascii="Times New Roman" w:hAnsi="Times New Roman" w:cs="Times New Roman"/>
          <w:b/>
          <w:sz w:val="28"/>
          <w:szCs w:val="28"/>
          <w:lang w:val="en-US" w:eastAsia="zh-CN"/>
        </w:rPr>
        <w:t>5.2.1 应急处置程序</w:t>
      </w:r>
      <w:bookmarkEnd w:id="155"/>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8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氨水储罐发生泄漏发生时，事故地点工作人员应立即按照相关规定进行处理，疏散附近人群，并及时报告应急指挥部，报告内容包括环境污染事故的类型、发生时间、发生地点、主要污染物质等，应急指挥部立即派遣事故调查组</w:t>
      </w:r>
      <w:r>
        <w:rPr>
          <w:rFonts w:hint="eastAsia" w:ascii="仿宋_GB2312" w:hAnsi="仿宋_GB2312" w:eastAsia="仿宋_GB2312" w:cs="仿宋_GB2312"/>
          <w:spacing w:val="-3"/>
          <w:sz w:val="24"/>
          <w:szCs w:val="24"/>
        </w:rPr>
        <w:t>对报告内容进行核实，并将核实过的事故信息上报韶关市生态环境局翁源分局。</w:t>
      </w:r>
      <w:r>
        <w:rPr>
          <w:rFonts w:hint="eastAsia" w:ascii="仿宋_GB2312" w:hAnsi="仿宋_GB2312" w:eastAsia="仿宋_GB2312" w:cs="仿宋_GB2312"/>
          <w:spacing w:val="5"/>
          <w:sz w:val="24"/>
          <w:szCs w:val="24"/>
        </w:rPr>
        <w:t>公司应急指挥部根据发生环境事件的级别启动相应级别的应急响应，如启动</w:t>
      </w:r>
      <w:r>
        <w:rPr>
          <w:rFonts w:hint="eastAsia" w:ascii="仿宋_GB2312" w:hAnsi="仿宋_GB2312" w:eastAsia="仿宋_GB2312" w:cs="仿宋_GB2312"/>
          <w:spacing w:val="-30"/>
          <w:sz w:val="24"/>
          <w:szCs w:val="24"/>
        </w:rPr>
        <w:t xml:space="preserve"> </w:t>
      </w:r>
      <w:r>
        <w:rPr>
          <w:rFonts w:hint="eastAsia" w:ascii="仿宋_GB2312" w:hAnsi="仿宋_GB2312" w:eastAsia="仿宋_GB2312" w:cs="仿宋_GB2312"/>
          <w:spacing w:val="5"/>
          <w:sz w:val="24"/>
          <w:szCs w:val="24"/>
        </w:rPr>
        <w:t>I</w:t>
      </w:r>
      <w:r>
        <w:rPr>
          <w:rFonts w:hint="eastAsia" w:ascii="仿宋_GB2312" w:hAnsi="仿宋_GB2312" w:eastAsia="仿宋_GB2312" w:cs="仿宋_GB2312"/>
          <w:sz w:val="24"/>
          <w:szCs w:val="24"/>
        </w:rPr>
        <w:t xml:space="preserve"> </w:t>
      </w:r>
      <w:r>
        <w:rPr>
          <w:rFonts w:hint="eastAsia" w:ascii="仿宋_GB2312" w:hAnsi="仿宋_GB2312" w:eastAsia="仿宋_GB2312" w:cs="仿宋_GB2312"/>
          <w:spacing w:val="2"/>
          <w:sz w:val="24"/>
          <w:szCs w:val="24"/>
        </w:rPr>
        <w:t>级应急响应级别时，事故现场的应急指挥工作交由韶关市生态环境局翁源分局</w:t>
      </w:r>
      <w:r>
        <w:rPr>
          <w:rFonts w:hint="eastAsia" w:ascii="仿宋_GB2312" w:hAnsi="仿宋_GB2312" w:eastAsia="仿宋_GB2312" w:cs="仿宋_GB2312"/>
          <w:spacing w:val="1"/>
          <w:sz w:val="24"/>
          <w:szCs w:val="24"/>
        </w:rPr>
        <w:t>或翁源县人民政府应急办公室，企业应急指挥部协作。如启动</w:t>
      </w:r>
      <w:r>
        <w:rPr>
          <w:rFonts w:hint="eastAsia" w:ascii="仿宋_GB2312" w:hAnsi="仿宋_GB2312" w:eastAsia="仿宋_GB2312" w:cs="仿宋_GB2312"/>
          <w:spacing w:val="-31"/>
          <w:sz w:val="24"/>
          <w:szCs w:val="24"/>
        </w:rPr>
        <w:t xml:space="preserve"> </w:t>
      </w:r>
      <w:r>
        <w:rPr>
          <w:rFonts w:hint="eastAsia" w:ascii="仿宋_GB2312" w:hAnsi="仿宋_GB2312" w:eastAsia="仿宋_GB2312" w:cs="仿宋_GB2312"/>
          <w:spacing w:val="1"/>
          <w:sz w:val="24"/>
          <w:szCs w:val="24"/>
        </w:rPr>
        <w:t>II级应急响应级</w:t>
      </w:r>
      <w:r>
        <w:rPr>
          <w:rFonts w:hint="eastAsia" w:ascii="仿宋_GB2312" w:hAnsi="仿宋_GB2312" w:eastAsia="仿宋_GB2312" w:cs="仿宋_GB2312"/>
          <w:spacing w:val="-1"/>
          <w:sz w:val="24"/>
          <w:szCs w:val="24"/>
        </w:rPr>
        <w:t>别时，则由企业应急指挥部全权负责应急指挥工作。</w:t>
      </w:r>
    </w:p>
    <w:p>
      <w:pPr>
        <w:spacing w:before="120" w:beforeLines="50" w:line="360" w:lineRule="auto"/>
        <w:outlineLvl w:val="2"/>
        <w:rPr>
          <w:rFonts w:hint="eastAsia" w:ascii="Times New Roman" w:hAnsi="Times New Roman" w:cs="Times New Roman"/>
          <w:b/>
          <w:sz w:val="28"/>
          <w:szCs w:val="28"/>
          <w:lang w:val="en-US" w:eastAsia="zh-CN"/>
        </w:rPr>
      </w:pPr>
      <w:bookmarkStart w:id="156" w:name="_Toc32334"/>
      <w:r>
        <w:rPr>
          <w:rFonts w:hint="eastAsia" w:ascii="Times New Roman" w:hAnsi="Times New Roman" w:cs="Times New Roman"/>
          <w:b/>
          <w:sz w:val="28"/>
          <w:szCs w:val="28"/>
          <w:lang w:val="en-US" w:eastAsia="zh-CN"/>
        </w:rPr>
        <w:t>5.2.2 现场应急处置</w:t>
      </w:r>
      <w:bookmarkEnd w:id="156"/>
    </w:p>
    <w:p>
      <w:pPr>
        <w:keepNext w:val="0"/>
        <w:keepLines w:val="0"/>
        <w:pageBreakBefore w:val="0"/>
        <w:widowControl w:val="0"/>
        <w:kinsoku/>
        <w:wordWrap/>
        <w:overflowPunct/>
        <w:topLinePunct w:val="0"/>
        <w:autoSpaceDE/>
        <w:autoSpaceDN/>
        <w:bidi w:val="0"/>
        <w:adjustRightInd w:val="0"/>
        <w:snapToGrid w:val="0"/>
        <w:spacing w:before="0" w:beforeLines="50" w:line="312" w:lineRule="auto"/>
        <w:ind w:left="0" w:right="0" w:firstLine="472"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（1）进入泄漏现场处置进行处置时，应注意安全防护，救援人员必须配备</w:t>
      </w:r>
      <w:r>
        <w:rPr>
          <w:rFonts w:hint="eastAsia" w:ascii="仿宋_GB2312" w:hAnsi="仿宋_GB2312" w:eastAsia="仿宋_GB2312" w:cs="仿宋_GB2312"/>
          <w:spacing w:val="-1"/>
          <w:sz w:val="24"/>
          <w:szCs w:val="24"/>
        </w:rPr>
        <w:t>必要的防护工具，应急处置时严禁单独行动，要有监护人。</w:t>
      </w:r>
    </w:p>
    <w:p>
      <w:pPr>
        <w:keepNext w:val="0"/>
        <w:keepLines w:val="0"/>
        <w:pageBreakBefore w:val="0"/>
        <w:widowControl w:val="0"/>
        <w:kinsoku/>
        <w:wordWrap/>
        <w:overflowPunct/>
        <w:topLinePunct w:val="0"/>
        <w:autoSpaceDE/>
        <w:autoSpaceDN/>
        <w:bidi w:val="0"/>
        <w:adjustRightInd w:val="0"/>
        <w:snapToGrid w:val="0"/>
        <w:spacing w:before="0" w:beforeLines="50" w:line="312" w:lineRule="auto"/>
        <w:ind w:left="0" w:right="0" w:firstLine="472"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（2）氨水是易燃易爆物质，应严禁火种，切断电源，禁止车辆进入。设定</w:t>
      </w:r>
      <w:r>
        <w:rPr>
          <w:rFonts w:hint="eastAsia" w:ascii="仿宋_GB2312" w:hAnsi="仿宋_GB2312" w:eastAsia="仿宋_GB2312" w:cs="仿宋_GB2312"/>
          <w:spacing w:val="2"/>
          <w:sz w:val="24"/>
          <w:szCs w:val="24"/>
        </w:rPr>
        <w:t>隔离区，封闭事故现场，根据事故发展情况，紧急疏散转移隔离区内所有无关人员。当氨水泄漏事故发生火灾爆炸次生灾害后，同事启动火灾、爆炸次生环</w:t>
      </w:r>
      <w:r>
        <w:rPr>
          <w:rFonts w:hint="eastAsia" w:ascii="仿宋_GB2312" w:hAnsi="仿宋_GB2312" w:eastAsia="仿宋_GB2312" w:cs="仿宋_GB2312"/>
          <w:spacing w:val="-2"/>
          <w:sz w:val="24"/>
          <w:szCs w:val="24"/>
        </w:rPr>
        <w:t>境事件专项应急预案。</w:t>
      </w:r>
    </w:p>
    <w:p>
      <w:pPr>
        <w:keepNext w:val="0"/>
        <w:keepLines w:val="0"/>
        <w:pageBreakBefore w:val="0"/>
        <w:widowControl w:val="0"/>
        <w:kinsoku/>
        <w:wordWrap/>
        <w:overflowPunct/>
        <w:topLinePunct w:val="0"/>
        <w:autoSpaceDE/>
        <w:autoSpaceDN/>
        <w:bidi w:val="0"/>
        <w:adjustRightInd w:val="0"/>
        <w:snapToGrid w:val="0"/>
        <w:spacing w:before="0" w:beforeLines="50" w:line="312" w:lineRule="auto"/>
        <w:ind w:left="0" w:right="0" w:firstLine="472"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（3）氨水大量泄漏，人员应紧急疏散，根据风向，撤离至指定的安全地点后清点人数。</w:t>
      </w:r>
    </w:p>
    <w:p>
      <w:pPr>
        <w:keepNext w:val="0"/>
        <w:keepLines w:val="0"/>
        <w:pageBreakBefore w:val="0"/>
        <w:widowControl w:val="0"/>
        <w:kinsoku/>
        <w:wordWrap/>
        <w:overflowPunct/>
        <w:topLinePunct w:val="0"/>
        <w:autoSpaceDE/>
        <w:autoSpaceDN/>
        <w:bidi w:val="0"/>
        <w:adjustRightInd w:val="0"/>
        <w:snapToGrid w:val="0"/>
        <w:spacing w:before="0" w:beforeLines="50" w:line="312" w:lineRule="auto"/>
        <w:ind w:left="0" w:right="0" w:firstLine="476"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（4）控制泄漏源，关闭雨水闸门，防止次生灾害发生。</w:t>
      </w:r>
    </w:p>
    <w:p>
      <w:pPr>
        <w:keepNext w:val="0"/>
        <w:keepLines w:val="0"/>
        <w:pageBreakBefore w:val="0"/>
        <w:widowControl w:val="0"/>
        <w:kinsoku/>
        <w:wordWrap/>
        <w:overflowPunct/>
        <w:topLinePunct w:val="0"/>
        <w:autoSpaceDE/>
        <w:autoSpaceDN/>
        <w:bidi w:val="0"/>
        <w:adjustRightInd w:val="0"/>
        <w:snapToGrid w:val="0"/>
        <w:spacing w:before="0" w:beforeLines="50" w:line="312" w:lineRule="auto"/>
        <w:ind w:left="0" w:right="0" w:firstLine="472"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（5）实施堵漏时，使用防爆工具。</w:t>
      </w:r>
    </w:p>
    <w:p>
      <w:pPr>
        <w:keepNext w:val="0"/>
        <w:keepLines w:val="0"/>
        <w:pageBreakBefore w:val="0"/>
        <w:widowControl w:val="0"/>
        <w:kinsoku/>
        <w:wordWrap/>
        <w:overflowPunct/>
        <w:topLinePunct w:val="0"/>
        <w:autoSpaceDE/>
        <w:autoSpaceDN/>
        <w:bidi w:val="0"/>
        <w:adjustRightInd w:val="0"/>
        <w:snapToGrid w:val="0"/>
        <w:spacing w:before="0" w:beforeLines="50" w:line="312" w:lineRule="auto"/>
        <w:ind w:left="0" w:right="0" w:firstLine="472"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（6）如发现人员受伤、中毒时，应急救援人员必须佩戴空去呼吸器进入现</w:t>
      </w:r>
      <w:r>
        <w:rPr>
          <w:rFonts w:hint="eastAsia" w:ascii="仿宋_GB2312" w:hAnsi="仿宋_GB2312" w:eastAsia="仿宋_GB2312" w:cs="仿宋_GB2312"/>
          <w:spacing w:val="2"/>
          <w:sz w:val="24"/>
          <w:szCs w:val="24"/>
        </w:rPr>
        <w:t>场危险区，沿逆风方向将伤者转移至空气新鲜处，保持伤者呼吸道通常，根据</w:t>
      </w:r>
      <w:r>
        <w:rPr>
          <w:rFonts w:hint="eastAsia" w:ascii="仿宋_GB2312" w:hAnsi="仿宋_GB2312" w:eastAsia="仿宋_GB2312" w:cs="仿宋_GB2312"/>
          <w:spacing w:val="-2"/>
          <w:sz w:val="24"/>
          <w:szCs w:val="24"/>
        </w:rPr>
        <w:t>受伤情况进行现场急救，并拨打电话</w:t>
      </w:r>
      <w:r>
        <w:rPr>
          <w:rFonts w:hint="eastAsia" w:ascii="仿宋_GB2312" w:hAnsi="仿宋_GB2312" w:eastAsia="仿宋_GB2312" w:cs="仿宋_GB2312"/>
          <w:spacing w:val="-35"/>
          <w:sz w:val="24"/>
          <w:szCs w:val="24"/>
        </w:rPr>
        <w:t xml:space="preserve"> </w:t>
      </w:r>
      <w:r>
        <w:rPr>
          <w:rFonts w:hint="eastAsia" w:ascii="仿宋_GB2312" w:hAnsi="仿宋_GB2312" w:eastAsia="仿宋_GB2312" w:cs="仿宋_GB2312"/>
          <w:spacing w:val="-2"/>
          <w:sz w:val="24"/>
          <w:szCs w:val="24"/>
        </w:rPr>
        <w:t>120</w:t>
      </w:r>
      <w:r>
        <w:rPr>
          <w:rFonts w:hint="eastAsia" w:ascii="仿宋_GB2312" w:hAnsi="仿宋_GB2312" w:eastAsia="仿宋_GB2312" w:cs="仿宋_GB2312"/>
          <w:spacing w:val="-26"/>
          <w:sz w:val="24"/>
          <w:szCs w:val="24"/>
        </w:rPr>
        <w:t xml:space="preserve"> </w:t>
      </w:r>
      <w:r>
        <w:rPr>
          <w:rFonts w:hint="eastAsia" w:ascii="仿宋_GB2312" w:hAnsi="仿宋_GB2312" w:eastAsia="仿宋_GB2312" w:cs="仿宋_GB2312"/>
          <w:spacing w:val="-2"/>
          <w:sz w:val="24"/>
          <w:szCs w:val="24"/>
        </w:rPr>
        <w:t>，将受伤人员送医院抢救。</w:t>
      </w:r>
    </w:p>
    <w:p>
      <w:pPr>
        <w:keepNext w:val="0"/>
        <w:keepLines w:val="0"/>
        <w:pageBreakBefore w:val="0"/>
        <w:widowControl w:val="0"/>
        <w:kinsoku/>
        <w:wordWrap/>
        <w:overflowPunct/>
        <w:topLinePunct w:val="0"/>
        <w:autoSpaceDE/>
        <w:autoSpaceDN/>
        <w:bidi w:val="0"/>
        <w:adjustRightInd w:val="0"/>
        <w:snapToGrid w:val="0"/>
        <w:spacing w:line="360" w:lineRule="auto"/>
        <w:ind w:firstLine="261"/>
        <w:textAlignment w:val="center"/>
      </w:pPr>
      <w:r>
        <w:drawing>
          <wp:inline distT="0" distB="0" distL="0" distR="0">
            <wp:extent cx="5194935" cy="2329815"/>
            <wp:effectExtent l="0" t="0" r="1905" b="1905"/>
            <wp:docPr id="1" name="IM 69"/>
            <wp:cNvGraphicFramePr/>
            <a:graphic xmlns:a="http://schemas.openxmlformats.org/drawingml/2006/main">
              <a:graphicData uri="http://schemas.openxmlformats.org/drawingml/2006/picture">
                <pic:pic xmlns:pic="http://schemas.openxmlformats.org/drawingml/2006/picture">
                  <pic:nvPicPr>
                    <pic:cNvPr id="1" name="IM 69"/>
                    <pic:cNvPicPr/>
                  </pic:nvPicPr>
                  <pic:blipFill>
                    <a:blip r:embed="rId31"/>
                    <a:stretch>
                      <a:fillRect/>
                    </a:stretch>
                  </pic:blipFill>
                  <pic:spPr>
                    <a:xfrm>
                      <a:off x="0" y="0"/>
                      <a:ext cx="5195315" cy="2329815"/>
                    </a:xfrm>
                    <a:prstGeom prst="rect">
                      <a:avLst/>
                    </a:prstGeom>
                  </pic:spPr>
                </pic:pic>
              </a:graphicData>
            </a:graphic>
          </wp:inline>
        </w:drawing>
      </w:r>
    </w:p>
    <w:p>
      <w:pPr>
        <w:spacing w:before="79" w:line="184" w:lineRule="auto"/>
        <w:ind w:firstLine="2597"/>
        <w:rPr>
          <w:rFonts w:ascii="宋体" w:hAnsi="宋体" w:eastAsia="宋体" w:cs="宋体"/>
          <w:sz w:val="21"/>
          <w:szCs w:val="21"/>
        </w:rPr>
      </w:pPr>
      <w:r>
        <w:rPr>
          <w:rFonts w:hint="eastAsia" w:ascii="宋体" w:hAnsi="宋体" w:cs="宋体"/>
          <w:sz w:val="21"/>
          <w:szCs w:val="21"/>
          <w:lang w:val="en-US" w:eastAsia="zh-CN"/>
          <w14:textOutline w14:w="4358" w14:cap="sq" w14:cmpd="sng">
            <w14:solidFill>
              <w14:srgbClr w14:val="000000"/>
            </w14:solidFill>
            <w14:prstDash w14:val="solid"/>
            <w14:bevel/>
          </w14:textOutline>
        </w:rPr>
        <w:t xml:space="preserve">图1 </w:t>
      </w:r>
      <w:r>
        <w:rPr>
          <w:rFonts w:ascii="宋体" w:hAnsi="宋体" w:eastAsia="宋体" w:cs="宋体"/>
          <w:sz w:val="21"/>
          <w:szCs w:val="21"/>
          <w14:textOutline w14:w="4358" w14:cap="sq" w14:cmpd="sng">
            <w14:solidFill>
              <w14:srgbClr w14:val="000000"/>
            </w14:solidFill>
            <w14:prstDash w14:val="solid"/>
            <w14:bevel/>
          </w14:textOutline>
        </w:rPr>
        <w:t>氨水储罐泄露事件应急处置程序</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pacing w:val="-2"/>
          <w:sz w:val="24"/>
          <w:szCs w:val="24"/>
        </w:rPr>
      </w:pP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pacing w:val="-2"/>
          <w:sz w:val="24"/>
          <w:szCs w:val="24"/>
        </w:rPr>
      </w:pPr>
      <w:r>
        <w:rPr>
          <w:rFonts w:hint="eastAsia" w:ascii="仿宋_GB2312" w:hAnsi="仿宋_GB2312" w:eastAsia="仿宋_GB2312" w:cs="仿宋_GB2312"/>
          <w:spacing w:val="-2"/>
          <w:sz w:val="24"/>
          <w:szCs w:val="24"/>
        </w:rPr>
        <w:t>如出现险情扩大或局势不能控制，现场指挥部应立即向韶关市政府应急办、 韶关市生态环境局、韶关市生态环境局翁源分局等请求增援配合和服从上级政 府部门的应急指挥系统的领导。</w:t>
      </w:r>
    </w:p>
    <w:p>
      <w:pPr>
        <w:spacing w:before="120" w:beforeLines="50" w:line="360" w:lineRule="auto"/>
        <w:outlineLvl w:val="1"/>
        <w:rPr>
          <w:rFonts w:hint="eastAsia" w:ascii="Times New Roman" w:hAnsi="Times New Roman" w:cs="Times New Roman"/>
          <w:b/>
          <w:sz w:val="28"/>
          <w:szCs w:val="28"/>
          <w:lang w:val="en-US" w:eastAsia="zh-CN"/>
        </w:rPr>
      </w:pPr>
      <w:bookmarkStart w:id="157" w:name="_Toc25585"/>
      <w:r>
        <w:rPr>
          <w:rFonts w:hint="eastAsia" w:ascii="Times New Roman" w:hAnsi="Times New Roman" w:cs="Times New Roman"/>
          <w:b/>
          <w:sz w:val="28"/>
          <w:szCs w:val="28"/>
          <w:lang w:val="en-US" w:eastAsia="zh-CN"/>
        </w:rPr>
        <w:t>5.3 应急监测</w:t>
      </w:r>
      <w:bookmarkEnd w:id="157"/>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default" w:ascii="仿宋_GB2312" w:hAnsi="仿宋_GB2312" w:eastAsia="仿宋_GB2312" w:cs="仿宋_GB2312"/>
          <w:spacing w:val="-2"/>
          <w:sz w:val="24"/>
          <w:szCs w:val="24"/>
          <w:lang w:val="en-US" w:eastAsia="zh-CN"/>
        </w:rPr>
      </w:pPr>
      <w:r>
        <w:rPr>
          <w:rFonts w:hint="eastAsia" w:ascii="仿宋_GB2312" w:hAnsi="仿宋_GB2312" w:eastAsia="仿宋_GB2312" w:cs="仿宋_GB2312"/>
          <w:spacing w:val="-2"/>
          <w:sz w:val="24"/>
          <w:szCs w:val="24"/>
        </w:rPr>
        <w:t>根据5.4.1应急监测方案的确定，公司应急监测计划表5.4-1</w:t>
      </w:r>
      <w:r>
        <w:rPr>
          <w:rFonts w:hint="eastAsia" w:ascii="仿宋_GB2312" w:hAnsi="仿宋_GB2312" w:eastAsia="仿宋_GB2312" w:cs="仿宋_GB2312"/>
          <w:spacing w:val="-2"/>
          <w:sz w:val="24"/>
          <w:szCs w:val="24"/>
          <w:lang w:val="en-US" w:eastAsia="zh-CN"/>
        </w:rPr>
        <w:t>的检测计划检测。</w:t>
      </w:r>
    </w:p>
    <w:p>
      <w:pPr>
        <w:spacing w:before="120" w:beforeLines="50" w:line="360" w:lineRule="auto"/>
        <w:outlineLvl w:val="1"/>
        <w:rPr>
          <w:rFonts w:hint="eastAsia" w:ascii="Times New Roman" w:hAnsi="Times New Roman" w:cs="Times New Roman"/>
          <w:b/>
          <w:sz w:val="28"/>
          <w:szCs w:val="28"/>
          <w:lang w:val="en-US" w:eastAsia="zh-CN"/>
        </w:rPr>
      </w:pPr>
      <w:bookmarkStart w:id="158" w:name="_Toc20630"/>
      <w:r>
        <w:rPr>
          <w:rFonts w:hint="eastAsia" w:ascii="Times New Roman" w:hAnsi="Times New Roman" w:cs="Times New Roman"/>
          <w:b/>
          <w:sz w:val="28"/>
          <w:szCs w:val="28"/>
          <w:lang w:val="en-US" w:eastAsia="zh-CN"/>
        </w:rPr>
        <w:t>5.4 应急终止</w:t>
      </w:r>
      <w:bookmarkEnd w:id="158"/>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pacing w:val="-2"/>
          <w:sz w:val="24"/>
          <w:szCs w:val="24"/>
        </w:rPr>
      </w:pPr>
      <w:r>
        <w:rPr>
          <w:rFonts w:hint="eastAsia" w:ascii="仿宋_GB2312" w:hAnsi="仿宋_GB2312" w:eastAsia="仿宋_GB2312" w:cs="仿宋_GB2312"/>
          <w:spacing w:val="-2"/>
          <w:sz w:val="24"/>
          <w:szCs w:val="24"/>
        </w:rPr>
        <w:t>当事故得以控制，消除环境污染和危害，导致次生、衍生事故隐患消除后，经事故现场应急指挥机构批准后，并已经进行取证工作后，现场应急结束。</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pacing w:val="-2"/>
          <w:sz w:val="24"/>
          <w:szCs w:val="24"/>
        </w:rPr>
      </w:pPr>
      <w:r>
        <w:rPr>
          <w:rFonts w:hint="eastAsia" w:ascii="仿宋_GB2312" w:hAnsi="仿宋_GB2312" w:eastAsia="仿宋_GB2312" w:cs="仿宋_GB2312"/>
          <w:spacing w:val="-2"/>
          <w:sz w:val="24"/>
          <w:szCs w:val="24"/>
        </w:rPr>
        <w:t>由总指挥下达解除应急救援的命令，由应急指挥部通知事故单位解除警报，由各单位安全环保部保卫负责人通知警戒人员撤离，在涉及到周边社区和单位的疏散时，由总指挥通知周边单位负责人员或者社区负责人解除警报。</w:t>
      </w:r>
    </w:p>
    <w:p>
      <w:pPr>
        <w:pStyle w:val="2"/>
        <w:keepNext w:val="0"/>
        <w:keepLines w:val="0"/>
        <w:pageBreakBefore w:val="0"/>
        <w:widowControl w:val="0"/>
        <w:kinsoku/>
        <w:wordWrap/>
        <w:overflowPunct/>
        <w:topLinePunct w:val="0"/>
        <w:autoSpaceDE w:val="0"/>
        <w:autoSpaceDN w:val="0"/>
        <w:bidi w:val="0"/>
        <w:adjustRightInd w:val="0"/>
        <w:snapToGrid w:val="0"/>
        <w:spacing w:before="0" w:beforeLines="50" w:line="360" w:lineRule="auto"/>
        <w:ind w:left="0" w:right="0" w:firstLine="0" w:firstLineChars="0"/>
        <w:textAlignment w:val="auto"/>
        <w:rPr>
          <w:rFonts w:hint="eastAsia" w:ascii="仿宋_GB2312" w:hAnsi="仿宋_GB2312" w:eastAsia="仿宋_GB2312" w:cs="仿宋_GB2312"/>
          <w:color w:val="auto"/>
          <w:kern w:val="2"/>
          <w:sz w:val="24"/>
          <w:szCs w:val="24"/>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ascii="Times New Roman" w:eastAsia="仿宋_GB2312" w:cs="Times New Roman"/>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ascii="Times New Roman" w:eastAsia="仿宋_GB2312" w:cs="Times New Roman"/>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ascii="Times New Roman" w:eastAsia="仿宋_GB2312" w:cs="Times New Roman"/>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ascii="Times New Roman" w:eastAsia="仿宋_GB2312" w:cs="Times New Roman"/>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ascii="Times New Roman" w:eastAsia="仿宋_GB2312" w:cs="Times New Roman"/>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ascii="Times New Roman" w:eastAsia="仿宋_GB2312" w:cs="Times New Roman"/>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ascii="Times New Roman" w:eastAsia="仿宋_GB2312" w:cs="Times New Roman"/>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ascii="Times New Roman" w:eastAsia="仿宋_GB2312" w:cs="Times New Roman"/>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hint="eastAsia" w:ascii="仿宋_GB2312" w:hAnsi="仿宋_GB2312" w:eastAsia="仿宋_GB2312" w:cs="仿宋_GB2312"/>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hint="eastAsia" w:ascii="仿宋_GB2312" w:hAnsi="仿宋_GB2312" w:eastAsia="仿宋_GB2312" w:cs="仿宋_GB2312"/>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hint="eastAsia" w:ascii="仿宋_GB2312" w:hAnsi="仿宋_GB2312" w:eastAsia="仿宋_GB2312" w:cs="仿宋_GB2312"/>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hint="eastAsia" w:ascii="仿宋_GB2312" w:hAnsi="仿宋_GB2312" w:eastAsia="仿宋_GB2312" w:cs="仿宋_GB2312"/>
          <w:color w:val="auto"/>
          <w:kern w:val="2"/>
        </w:rPr>
      </w:pPr>
    </w:p>
    <w:p>
      <w:pPr>
        <w:keepNext w:val="0"/>
        <w:keepLines w:val="0"/>
        <w:pageBreakBefore w:val="0"/>
        <w:widowControl w:val="0"/>
        <w:kinsoku/>
        <w:wordWrap/>
        <w:overflowPunct/>
        <w:topLinePunct w:val="0"/>
        <w:autoSpaceDE/>
        <w:autoSpaceDN/>
        <w:bidi w:val="0"/>
        <w:adjustRightInd/>
        <w:snapToGrid w:val="0"/>
        <w:spacing w:before="157" w:beforeLines="50" w:line="360" w:lineRule="auto"/>
        <w:ind w:firstLine="0"/>
        <w:jc w:val="center"/>
        <w:textAlignment w:val="auto"/>
        <w:outlineLvl w:val="0"/>
        <w:rPr>
          <w:rFonts w:ascii="宋体" w:hAnsi="宋体" w:eastAsia="宋体" w:cs="宋体"/>
          <w:sz w:val="32"/>
          <w:szCs w:val="32"/>
          <w14:textOutline w14:w="5793" w14:cap="sq" w14:cmpd="sng">
            <w14:solidFill>
              <w14:srgbClr w14:val="000000"/>
            </w14:solidFill>
            <w14:prstDash w14:val="solid"/>
            <w14:bevel/>
          </w14:textOutline>
        </w:rPr>
      </w:pPr>
      <w:bookmarkStart w:id="159" w:name="_Toc29805"/>
      <w:r>
        <w:rPr>
          <w:rFonts w:hint="eastAsia" w:ascii="宋体" w:hAnsi="宋体" w:cs="宋体"/>
          <w:sz w:val="32"/>
          <w:szCs w:val="32"/>
          <w:lang w:val="en-US" w:eastAsia="zh-CN"/>
          <w14:textOutline w14:w="5793" w14:cap="sq" w14:cmpd="sng">
            <w14:solidFill>
              <w14:srgbClr w14:val="000000"/>
            </w14:solidFill>
            <w14:prstDash w14:val="solid"/>
            <w14:bevel/>
          </w14:textOutline>
        </w:rPr>
        <w:t>二</w:t>
      </w:r>
      <w:r>
        <w:rPr>
          <w:rFonts w:hint="eastAsia" w:ascii="宋体" w:hAnsi="宋体" w:eastAsia="宋体" w:cs="宋体"/>
          <w:sz w:val="32"/>
          <w:szCs w:val="32"/>
          <w:lang w:val="en-US" w:eastAsia="zh-CN"/>
          <w14:textOutline w14:w="5793" w14:cap="sq" w14:cmpd="sng">
            <w14:solidFill>
              <w14:srgbClr w14:val="000000"/>
            </w14:solidFill>
            <w14:prstDash w14:val="solid"/>
            <w14:bevel/>
          </w14:textOutline>
        </w:rPr>
        <w:t>、雾霾天气</w:t>
      </w:r>
      <w:r>
        <w:rPr>
          <w:rFonts w:ascii="宋体" w:hAnsi="宋体" w:eastAsia="宋体" w:cs="宋体"/>
          <w:sz w:val="32"/>
          <w:szCs w:val="32"/>
          <w14:textOutline w14:w="5793" w14:cap="sq" w14:cmpd="sng">
            <w14:solidFill>
              <w14:srgbClr w14:val="000000"/>
            </w14:solidFill>
            <w14:prstDash w14:val="solid"/>
            <w14:bevel/>
          </w14:textOutline>
        </w:rPr>
        <w:t>专项应急预案</w:t>
      </w:r>
      <w:bookmarkEnd w:id="159"/>
    </w:p>
    <w:p>
      <w:pPr>
        <w:keepNext w:val="0"/>
        <w:keepLines w:val="0"/>
        <w:pageBreakBefore w:val="0"/>
        <w:widowControl w:val="0"/>
        <w:kinsoku/>
        <w:wordWrap/>
        <w:overflowPunct/>
        <w:topLinePunct w:val="0"/>
        <w:autoSpaceDE/>
        <w:autoSpaceDN/>
        <w:bidi w:val="0"/>
        <w:adjustRightInd w:val="0"/>
        <w:snapToGrid w:val="0"/>
        <w:spacing w:before="313" w:beforeLines="100" w:after="157" w:afterLines="50" w:line="360" w:lineRule="auto"/>
        <w:jc w:val="left"/>
        <w:textAlignment w:val="auto"/>
        <w:outlineLvl w:val="0"/>
        <w:rPr>
          <w:rFonts w:hint="eastAsia" w:ascii="宋体" w:hAnsi="宋体" w:eastAsia="宋体" w:cs="宋体"/>
          <w:b/>
          <w:sz w:val="28"/>
          <w:szCs w:val="28"/>
        </w:rPr>
      </w:pPr>
      <w:bookmarkStart w:id="160" w:name="_Toc17476"/>
      <w:r>
        <w:rPr>
          <w:rFonts w:hint="eastAsia" w:ascii="宋体" w:hAnsi="宋体" w:eastAsia="宋体" w:cs="宋体"/>
          <w:b/>
          <w:sz w:val="28"/>
          <w:szCs w:val="28"/>
        </w:rPr>
        <w:t>1总则</w:t>
      </w:r>
      <w:bookmarkEnd w:id="160"/>
    </w:p>
    <w:p>
      <w:pPr>
        <w:spacing w:before="120" w:beforeLines="50" w:line="360" w:lineRule="auto"/>
        <w:outlineLvl w:val="1"/>
        <w:rPr>
          <w:rFonts w:hint="eastAsia" w:ascii="Times New Roman" w:hAnsi="Times New Roman" w:cs="Times New Roman"/>
          <w:b/>
          <w:sz w:val="28"/>
          <w:szCs w:val="28"/>
          <w:lang w:val="zh-CN"/>
        </w:rPr>
      </w:pPr>
      <w:bookmarkStart w:id="161" w:name="_Toc30874"/>
      <w:r>
        <w:rPr>
          <w:rFonts w:hint="eastAsia" w:ascii="Times New Roman" w:hAnsi="Times New Roman" w:cs="Times New Roman"/>
          <w:b/>
          <w:sz w:val="28"/>
          <w:szCs w:val="28"/>
          <w:lang w:val="zh-CN"/>
        </w:rPr>
        <w:t>1.1 编制目的：</w:t>
      </w:r>
      <w:bookmarkEnd w:id="161"/>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0" w:firstLineChars="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Cs w:val="24"/>
        </w:rPr>
        <w:t xml:space="preserve">  </w:t>
      </w:r>
      <w:r>
        <w:rPr>
          <w:rFonts w:hint="eastAsia" w:ascii="仿宋_GB2312" w:hAnsi="仿宋_GB2312" w:eastAsia="仿宋_GB2312" w:cs="仿宋_GB2312"/>
          <w:sz w:val="24"/>
          <w:szCs w:val="24"/>
        </w:rPr>
        <w:t xml:space="preserve"> </w:t>
      </w:r>
      <w:r>
        <w:rPr>
          <w:rFonts w:hint="eastAsia" w:ascii="仿宋_GB2312" w:hAnsi="仿宋_GB2312" w:eastAsia="仿宋_GB2312" w:cs="仿宋_GB2312"/>
          <w:sz w:val="24"/>
          <w:szCs w:val="24"/>
          <w:lang w:val="en-US" w:eastAsia="zh-CN"/>
        </w:rPr>
        <w:t xml:space="preserve"> </w:t>
      </w:r>
      <w:r>
        <w:rPr>
          <w:rFonts w:hint="eastAsia" w:ascii="仿宋_GB2312" w:hAnsi="仿宋_GB2312" w:eastAsia="仿宋_GB2312" w:cs="仿宋_GB2312"/>
          <w:sz w:val="24"/>
          <w:szCs w:val="24"/>
        </w:rPr>
        <w:t>为建立健全我公司雾霾天气应急响应机制，提高我公司全体员工对污染天气的预防、预警和应对能力，及时有效应对雾霾天气，最大限度降低对大气的污染，维护社会稳定，保障市民生命健康和财产安全，保护环境，促进社会全面、协调、可持续发展，特制订本预案。</w:t>
      </w:r>
    </w:p>
    <w:p>
      <w:pPr>
        <w:spacing w:before="120" w:beforeLines="50" w:line="360" w:lineRule="auto"/>
        <w:outlineLvl w:val="1"/>
        <w:rPr>
          <w:rFonts w:hint="eastAsia" w:ascii="Times New Roman" w:hAnsi="Times New Roman" w:cs="Times New Roman"/>
          <w:b/>
          <w:sz w:val="28"/>
          <w:szCs w:val="28"/>
          <w:lang w:val="zh-CN"/>
        </w:rPr>
      </w:pPr>
      <w:bookmarkStart w:id="162" w:name="_Toc11835"/>
      <w:r>
        <w:rPr>
          <w:rFonts w:hint="eastAsia" w:ascii="Times New Roman" w:hAnsi="Times New Roman" w:cs="Times New Roman"/>
          <w:b/>
          <w:sz w:val="28"/>
          <w:szCs w:val="28"/>
          <w:lang w:val="zh-CN"/>
        </w:rPr>
        <w:t>1.</w:t>
      </w:r>
      <w:r>
        <w:rPr>
          <w:rFonts w:hint="eastAsia" w:ascii="Times New Roman" w:hAnsi="Times New Roman" w:cs="Times New Roman"/>
          <w:b/>
          <w:sz w:val="28"/>
          <w:szCs w:val="28"/>
          <w:lang w:val="en-US" w:eastAsia="zh-CN"/>
        </w:rPr>
        <w:t>2</w:t>
      </w:r>
      <w:r>
        <w:rPr>
          <w:rFonts w:hint="eastAsia" w:ascii="Times New Roman" w:hAnsi="Times New Roman" w:cs="Times New Roman"/>
          <w:b/>
          <w:sz w:val="28"/>
          <w:szCs w:val="28"/>
          <w:lang w:val="zh-CN"/>
        </w:rPr>
        <w:t xml:space="preserve"> 适用范围</w:t>
      </w:r>
      <w:bookmarkEnd w:id="162"/>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本预案适用于本公司范围内雾霾天气紧急情况的应急处理。</w:t>
      </w:r>
    </w:p>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jc w:val="left"/>
        <w:textAlignment w:val="auto"/>
        <w:outlineLvl w:val="0"/>
        <w:rPr>
          <w:rFonts w:hint="eastAsia" w:ascii="宋体" w:hAnsi="宋体" w:cs="宋体"/>
          <w:b/>
          <w:sz w:val="28"/>
          <w:szCs w:val="28"/>
          <w:lang w:val="zh-CN" w:eastAsia="zh-CN"/>
        </w:rPr>
      </w:pPr>
      <w:bookmarkStart w:id="163" w:name="_Toc6879"/>
      <w:r>
        <w:rPr>
          <w:rFonts w:hint="eastAsia" w:ascii="宋体" w:hAnsi="宋体" w:cs="宋体"/>
          <w:b/>
          <w:sz w:val="28"/>
          <w:szCs w:val="28"/>
          <w:lang w:val="en-US" w:eastAsia="zh-CN"/>
        </w:rPr>
        <w:t>2</w:t>
      </w:r>
      <w:r>
        <w:rPr>
          <w:rFonts w:hint="eastAsia" w:ascii="宋体" w:hAnsi="宋体" w:cs="宋体"/>
          <w:b/>
          <w:sz w:val="28"/>
          <w:szCs w:val="28"/>
          <w:lang w:val="zh-CN" w:eastAsia="zh-CN"/>
        </w:rPr>
        <w:t xml:space="preserve"> 应急组织机构及职责</w:t>
      </w:r>
      <w:bookmarkEnd w:id="163"/>
      <w:r>
        <w:rPr>
          <w:rFonts w:hint="eastAsia" w:ascii="宋体" w:hAnsi="宋体" w:cs="宋体"/>
          <w:b/>
          <w:sz w:val="28"/>
          <w:szCs w:val="28"/>
          <w:lang w:val="zh-CN" w:eastAsia="zh-CN"/>
        </w:rPr>
        <w:t>　</w:t>
      </w:r>
    </w:p>
    <w:p>
      <w:pPr>
        <w:keepNext w:val="0"/>
        <w:keepLines w:val="0"/>
        <w:pageBreakBefore w:val="0"/>
        <w:widowControl w:val="0"/>
        <w:kinsoku/>
        <w:wordWrap/>
        <w:overflowPunct/>
        <w:topLinePunct w:val="0"/>
        <w:bidi w:val="0"/>
        <w:adjustRightInd w:val="0"/>
        <w:snapToGrid w:val="0"/>
        <w:spacing w:before="0" w:beforeLines="50" w:line="360" w:lineRule="auto"/>
        <w:ind w:left="0" w:right="0" w:firstLine="468" w:firstLineChars="200"/>
        <w:textAlignment w:val="auto"/>
        <w:rPr>
          <w:rFonts w:hint="eastAsia" w:ascii="仿宋_GB2312" w:hAnsi="仿宋_GB2312" w:eastAsia="仿宋_GB2312" w:cs="仿宋_GB2312"/>
          <w:spacing w:val="-3"/>
          <w:sz w:val="24"/>
          <w:szCs w:val="24"/>
          <w:lang w:val="en-US" w:eastAsia="zh-CN"/>
        </w:rPr>
      </w:pPr>
      <w:r>
        <w:rPr>
          <w:rFonts w:hint="eastAsia" w:ascii="仿宋_GB2312" w:hAnsi="仿宋_GB2312" w:eastAsia="仿宋_GB2312" w:cs="仿宋_GB2312"/>
          <w:spacing w:val="-3"/>
          <w:sz w:val="24"/>
          <w:szCs w:val="24"/>
          <w:lang w:val="en-US" w:eastAsia="zh-CN"/>
        </w:rPr>
        <w:t>见综合应急预案第3章组织体系及职责。</w:t>
      </w:r>
    </w:p>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jc w:val="left"/>
        <w:textAlignment w:val="auto"/>
        <w:outlineLvl w:val="0"/>
        <w:rPr>
          <w:rFonts w:hint="eastAsia" w:ascii="宋体" w:hAnsi="宋体" w:cs="宋体"/>
          <w:b/>
          <w:sz w:val="28"/>
          <w:szCs w:val="28"/>
          <w:lang w:val="en-US" w:eastAsia="zh-CN"/>
        </w:rPr>
      </w:pPr>
      <w:bookmarkStart w:id="164" w:name="_Toc23564"/>
      <w:r>
        <w:rPr>
          <w:rFonts w:hint="eastAsia" w:ascii="宋体" w:hAnsi="宋体" w:cs="宋体"/>
          <w:b/>
          <w:sz w:val="28"/>
          <w:szCs w:val="28"/>
          <w:lang w:val="en-US" w:eastAsia="zh-CN"/>
        </w:rPr>
        <w:t>3 预警行动</w:t>
      </w:r>
      <w:bookmarkEnd w:id="164"/>
    </w:p>
    <w:p>
      <w:pPr>
        <w:spacing w:before="120" w:beforeLines="50" w:line="360" w:lineRule="auto"/>
        <w:outlineLvl w:val="1"/>
        <w:rPr>
          <w:rFonts w:hint="eastAsia" w:ascii="Times New Roman" w:hAnsi="Times New Roman" w:cs="Times New Roman"/>
          <w:b/>
          <w:sz w:val="28"/>
          <w:szCs w:val="28"/>
          <w:lang w:val="en-US" w:eastAsia="zh-CN"/>
        </w:rPr>
      </w:pPr>
      <w:bookmarkStart w:id="165" w:name="_Toc13358"/>
      <w:r>
        <w:rPr>
          <w:rFonts w:hint="eastAsia" w:ascii="Times New Roman" w:hAnsi="Times New Roman" w:cs="Times New Roman"/>
          <w:b/>
          <w:sz w:val="28"/>
          <w:szCs w:val="28"/>
          <w:lang w:val="en-US" w:eastAsia="zh-CN"/>
        </w:rPr>
        <w:t>3.1 预警条件</w:t>
      </w:r>
      <w:bookmarkEnd w:id="165"/>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8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若收集到的有关信息证明氨水污染环境事件即将发生</w:t>
      </w:r>
      <w:r>
        <w:rPr>
          <w:rFonts w:hint="eastAsia" w:ascii="仿宋_GB2312" w:hAnsi="仿宋_GB2312" w:eastAsia="仿宋_GB2312" w:cs="仿宋_GB2312"/>
          <w:spacing w:val="2"/>
          <w:sz w:val="24"/>
          <w:szCs w:val="24"/>
          <w:lang w:eastAsia="zh-CN"/>
        </w:rPr>
        <w:t>（</w:t>
      </w:r>
      <w:r>
        <w:rPr>
          <w:rFonts w:hint="eastAsia" w:ascii="仿宋_GB2312" w:hAnsi="仿宋_GB2312" w:eastAsia="仿宋_GB2312" w:cs="仿宋_GB2312"/>
          <w:spacing w:val="2"/>
          <w:sz w:val="24"/>
          <w:szCs w:val="24"/>
          <w:lang w:val="en-US" w:eastAsia="zh-CN"/>
        </w:rPr>
        <w:t>泄漏报警装置报警、肉眼可见的泄漏</w:t>
      </w:r>
      <w:r>
        <w:rPr>
          <w:rFonts w:hint="eastAsia" w:ascii="仿宋_GB2312" w:hAnsi="仿宋_GB2312" w:eastAsia="仿宋_GB2312" w:cs="仿宋_GB2312"/>
          <w:spacing w:val="2"/>
          <w:sz w:val="24"/>
          <w:szCs w:val="24"/>
          <w:lang w:eastAsia="zh-CN"/>
        </w:rPr>
        <w:t>）</w:t>
      </w:r>
      <w:r>
        <w:rPr>
          <w:rFonts w:hint="eastAsia" w:ascii="仿宋_GB2312" w:hAnsi="仿宋_GB2312" w:eastAsia="仿宋_GB2312" w:cs="仿宋_GB2312"/>
          <w:spacing w:val="2"/>
          <w:sz w:val="24"/>
          <w:szCs w:val="24"/>
        </w:rPr>
        <w:t>，由应急指挥中心确</w:t>
      </w:r>
      <w:r>
        <w:rPr>
          <w:rFonts w:hint="eastAsia" w:ascii="仿宋_GB2312" w:hAnsi="仿宋_GB2312" w:eastAsia="仿宋_GB2312" w:cs="仿宋_GB2312"/>
          <w:spacing w:val="14"/>
          <w:sz w:val="24"/>
          <w:szCs w:val="24"/>
        </w:rPr>
        <w:t xml:space="preserve"> </w:t>
      </w:r>
      <w:r>
        <w:rPr>
          <w:rFonts w:hint="eastAsia" w:ascii="仿宋_GB2312" w:hAnsi="仿宋_GB2312" w:eastAsia="仿宋_GB2312" w:cs="仿宋_GB2312"/>
          <w:spacing w:val="-1"/>
          <w:sz w:val="24"/>
          <w:szCs w:val="24"/>
        </w:rPr>
        <w:t>定预警等级，采取相应的预警措施。</w:t>
      </w:r>
    </w:p>
    <w:p>
      <w:pPr>
        <w:spacing w:before="120" w:beforeLines="50" w:line="360" w:lineRule="auto"/>
        <w:outlineLvl w:val="1"/>
        <w:rPr>
          <w:rFonts w:hint="eastAsia" w:ascii="Times New Roman" w:hAnsi="Times New Roman" w:cs="Times New Roman"/>
          <w:b/>
          <w:sz w:val="28"/>
          <w:szCs w:val="28"/>
          <w:lang w:val="en-US" w:eastAsia="zh-CN"/>
        </w:rPr>
      </w:pPr>
      <w:bookmarkStart w:id="166" w:name="_Toc1529"/>
      <w:r>
        <w:rPr>
          <w:rFonts w:hint="eastAsia" w:ascii="Times New Roman" w:hAnsi="Times New Roman" w:cs="Times New Roman"/>
          <w:b/>
          <w:sz w:val="28"/>
          <w:szCs w:val="28"/>
          <w:lang w:val="en-US" w:eastAsia="zh-CN"/>
        </w:rPr>
        <w:t>3.2 预警分级</w:t>
      </w:r>
      <w:bookmarkEnd w:id="166"/>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6"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公司根据</w:t>
      </w:r>
      <w:r>
        <w:rPr>
          <w:rFonts w:hint="eastAsia" w:ascii="仿宋_GB2312" w:hAnsi="仿宋_GB2312" w:eastAsia="仿宋_GB2312" w:cs="仿宋_GB2312"/>
          <w:spacing w:val="-1"/>
          <w:sz w:val="24"/>
          <w:szCs w:val="24"/>
          <w:lang w:val="en-US" w:eastAsia="zh-CN"/>
        </w:rPr>
        <w:t>空气质量指数</w:t>
      </w:r>
      <w:r>
        <w:rPr>
          <w:rFonts w:hint="eastAsia" w:ascii="仿宋_GB2312" w:hAnsi="仿宋_GB2312" w:eastAsia="仿宋_GB2312" w:cs="仿宋_GB2312"/>
          <w:spacing w:val="-1"/>
          <w:sz w:val="24"/>
          <w:szCs w:val="24"/>
        </w:rPr>
        <w:t>将预警级别分为三级。</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5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6"/>
          <w:w w:val="99"/>
          <w:sz w:val="24"/>
          <w:szCs w:val="24"/>
        </w:rPr>
        <w:t>I</w:t>
      </w:r>
      <w:r>
        <w:rPr>
          <w:rFonts w:hint="eastAsia" w:ascii="仿宋_GB2312" w:hAnsi="仿宋_GB2312" w:eastAsia="仿宋_GB2312" w:cs="仿宋_GB2312"/>
          <w:spacing w:val="25"/>
          <w:sz w:val="24"/>
          <w:szCs w:val="24"/>
        </w:rPr>
        <w:t xml:space="preserve"> </w:t>
      </w:r>
      <w:r>
        <w:rPr>
          <w:rFonts w:hint="eastAsia" w:ascii="仿宋_GB2312" w:hAnsi="仿宋_GB2312" w:eastAsia="仿宋_GB2312" w:cs="仿宋_GB2312"/>
          <w:spacing w:val="-6"/>
          <w:w w:val="99"/>
          <w:sz w:val="24"/>
          <w:szCs w:val="24"/>
        </w:rPr>
        <w:t>级预警：在空气质量指数出现“重度污染”（AQI201—300）时</w:t>
      </w:r>
      <w:r>
        <w:rPr>
          <w:rFonts w:hint="eastAsia" w:ascii="仿宋_GB2312" w:hAnsi="仿宋_GB2312" w:eastAsia="仿宋_GB2312" w:cs="仿宋_GB2312"/>
          <w:spacing w:val="-1"/>
          <w:sz w:val="24"/>
          <w:szCs w:val="24"/>
        </w:rPr>
        <w:t>；</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56" w:firstLineChars="200"/>
        <w:textAlignment w:val="auto"/>
        <w:rPr>
          <w:rFonts w:hint="eastAsia" w:ascii="仿宋_GB2312" w:hAnsi="仿宋_GB2312" w:eastAsia="仿宋_GB2312" w:cs="仿宋_GB2312"/>
          <w:sz w:val="24"/>
          <w:szCs w:val="24"/>
          <w:lang w:eastAsia="zh-CN"/>
        </w:rPr>
      </w:pPr>
      <w:r>
        <w:rPr>
          <w:rFonts w:hint="eastAsia" w:ascii="仿宋_GB2312" w:hAnsi="仿宋_GB2312" w:eastAsia="仿宋_GB2312" w:cs="仿宋_GB2312"/>
          <w:spacing w:val="-6"/>
          <w:sz w:val="24"/>
          <w:szCs w:val="24"/>
        </w:rPr>
        <w:t>II</w:t>
      </w:r>
      <w:r>
        <w:rPr>
          <w:rFonts w:hint="eastAsia" w:ascii="仿宋_GB2312" w:hAnsi="仿宋_GB2312" w:eastAsia="仿宋_GB2312" w:cs="仿宋_GB2312"/>
          <w:spacing w:val="20"/>
          <w:w w:val="101"/>
          <w:sz w:val="24"/>
          <w:szCs w:val="24"/>
        </w:rPr>
        <w:t xml:space="preserve"> </w:t>
      </w:r>
      <w:r>
        <w:rPr>
          <w:rFonts w:hint="eastAsia" w:ascii="仿宋_GB2312" w:hAnsi="仿宋_GB2312" w:eastAsia="仿宋_GB2312" w:cs="仿宋_GB2312"/>
          <w:spacing w:val="-6"/>
          <w:sz w:val="24"/>
          <w:szCs w:val="24"/>
        </w:rPr>
        <w:t>级预警：在空气质量指数出现“中度污染”（AQI151—200）时</w:t>
      </w:r>
      <w:r>
        <w:rPr>
          <w:rFonts w:hint="eastAsia" w:ascii="仿宋_GB2312" w:hAnsi="仿宋_GB2312" w:eastAsia="仿宋_GB2312" w:cs="仿宋_GB2312"/>
          <w:spacing w:val="-6"/>
          <w:sz w:val="24"/>
          <w:szCs w:val="24"/>
          <w:lang w:eastAsia="zh-CN"/>
        </w:rPr>
        <w:t>；</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60" w:firstLineChars="200"/>
        <w:textAlignment w:val="auto"/>
        <w:rPr>
          <w:rFonts w:hint="eastAsia" w:ascii="仿宋_GB2312" w:hAnsi="仿宋_GB2312" w:eastAsia="仿宋_GB2312" w:cs="仿宋_GB2312"/>
          <w:sz w:val="24"/>
          <w:szCs w:val="24"/>
          <w:lang w:eastAsia="zh-CN"/>
        </w:rPr>
      </w:pPr>
      <w:r>
        <w:rPr>
          <w:rFonts w:hint="eastAsia" w:ascii="仿宋_GB2312" w:hAnsi="仿宋_GB2312" w:eastAsia="仿宋_GB2312" w:cs="仿宋_GB2312"/>
          <w:spacing w:val="-5"/>
          <w:sz w:val="24"/>
          <w:szCs w:val="24"/>
        </w:rPr>
        <w:t>III</w:t>
      </w:r>
      <w:r>
        <w:rPr>
          <w:rFonts w:hint="eastAsia" w:ascii="仿宋_GB2312" w:hAnsi="仿宋_GB2312" w:eastAsia="仿宋_GB2312" w:cs="仿宋_GB2312"/>
          <w:spacing w:val="19"/>
          <w:sz w:val="24"/>
          <w:szCs w:val="24"/>
        </w:rPr>
        <w:t xml:space="preserve"> </w:t>
      </w:r>
      <w:r>
        <w:rPr>
          <w:rFonts w:hint="eastAsia" w:ascii="仿宋_GB2312" w:hAnsi="仿宋_GB2312" w:eastAsia="仿宋_GB2312" w:cs="仿宋_GB2312"/>
          <w:spacing w:val="-5"/>
          <w:sz w:val="24"/>
          <w:szCs w:val="24"/>
        </w:rPr>
        <w:t>级预警：</w:t>
      </w:r>
      <w:r>
        <w:rPr>
          <w:rFonts w:hint="eastAsia" w:ascii="仿宋_GB2312" w:hAnsi="仿宋_GB2312" w:eastAsia="仿宋_GB2312" w:cs="仿宋_GB2312"/>
          <w:spacing w:val="2"/>
          <w:sz w:val="24"/>
          <w:szCs w:val="24"/>
        </w:rPr>
        <w:t>在空气质量指数出现“轻污染”（AQI101—150）时</w:t>
      </w:r>
      <w:r>
        <w:rPr>
          <w:rFonts w:hint="eastAsia" w:ascii="仿宋_GB2312" w:hAnsi="仿宋_GB2312" w:eastAsia="仿宋_GB2312" w:cs="仿宋_GB2312"/>
          <w:spacing w:val="-1"/>
          <w:sz w:val="24"/>
          <w:szCs w:val="24"/>
          <w:lang w:eastAsia="zh-CN"/>
        </w:rPr>
        <w:t>。</w:t>
      </w:r>
    </w:p>
    <w:p>
      <w:pPr>
        <w:spacing w:before="120" w:beforeLines="50" w:line="360" w:lineRule="auto"/>
        <w:outlineLvl w:val="1"/>
        <w:rPr>
          <w:rFonts w:hint="eastAsia" w:ascii="Times New Roman" w:hAnsi="Times New Roman" w:cs="Times New Roman"/>
          <w:b/>
          <w:sz w:val="28"/>
          <w:szCs w:val="28"/>
          <w:lang w:val="en-US" w:eastAsia="zh-CN"/>
        </w:rPr>
      </w:pPr>
      <w:bookmarkStart w:id="167" w:name="_Toc14959"/>
      <w:r>
        <w:rPr>
          <w:rFonts w:hint="eastAsia" w:ascii="Times New Roman" w:hAnsi="Times New Roman" w:cs="Times New Roman"/>
          <w:b/>
          <w:sz w:val="28"/>
          <w:szCs w:val="28"/>
          <w:lang w:val="en-US" w:eastAsia="zh-CN"/>
        </w:rPr>
        <w:t>3.3 预警程序</w:t>
      </w:r>
      <w:bookmarkEnd w:id="167"/>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88"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2"/>
          <w:sz w:val="24"/>
          <w:szCs w:val="24"/>
        </w:rPr>
        <w:t>在确认进入预警状态之后，根据预警相应级别</w:t>
      </w:r>
      <w:r>
        <w:rPr>
          <w:rFonts w:hint="eastAsia" w:ascii="仿宋_GB2312" w:hAnsi="仿宋_GB2312" w:eastAsia="仿宋_GB2312" w:cs="仿宋_GB2312"/>
          <w:spacing w:val="2"/>
          <w:sz w:val="24"/>
          <w:szCs w:val="24"/>
          <w:lang w:eastAsia="zh-CN"/>
        </w:rPr>
        <w:t>应急指挥部</w:t>
      </w:r>
      <w:r>
        <w:rPr>
          <w:rFonts w:hint="eastAsia" w:ascii="仿宋_GB2312" w:hAnsi="仿宋_GB2312" w:eastAsia="仿宋_GB2312" w:cs="仿宋_GB2312"/>
          <w:spacing w:val="2"/>
          <w:sz w:val="24"/>
          <w:szCs w:val="24"/>
        </w:rPr>
        <w:t>按照相关程序</w:t>
      </w:r>
      <w:r>
        <w:rPr>
          <w:rFonts w:hint="eastAsia" w:ascii="仿宋_GB2312" w:hAnsi="仿宋_GB2312" w:eastAsia="仿宋_GB2312" w:cs="仿宋_GB2312"/>
          <w:spacing w:val="16"/>
          <w:sz w:val="24"/>
          <w:szCs w:val="24"/>
        </w:rPr>
        <w:t xml:space="preserve"> </w:t>
      </w:r>
      <w:r>
        <w:rPr>
          <w:rFonts w:hint="eastAsia" w:ascii="仿宋_GB2312" w:hAnsi="仿宋_GB2312" w:eastAsia="仿宋_GB2312" w:cs="仿宋_GB2312"/>
          <w:spacing w:val="-2"/>
          <w:sz w:val="24"/>
          <w:szCs w:val="24"/>
        </w:rPr>
        <w:t>可采取以下行动：</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6"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pacing w:val="-1"/>
          <w:sz w:val="24"/>
          <w:szCs w:val="24"/>
        </w:rPr>
        <w:t>（1）按照</w:t>
      </w:r>
      <w:r>
        <w:rPr>
          <w:rFonts w:hint="eastAsia" w:ascii="仿宋_GB2312" w:hAnsi="仿宋_GB2312" w:eastAsia="仿宋_GB2312" w:cs="仿宋_GB2312"/>
          <w:spacing w:val="2"/>
          <w:sz w:val="24"/>
          <w:szCs w:val="24"/>
        </w:rPr>
        <w:t>空气质量指数</w:t>
      </w:r>
      <w:r>
        <w:rPr>
          <w:rFonts w:hint="eastAsia" w:ascii="仿宋_GB2312" w:hAnsi="仿宋_GB2312" w:eastAsia="仿宋_GB2312" w:cs="仿宋_GB2312"/>
          <w:spacing w:val="-1"/>
          <w:sz w:val="24"/>
          <w:szCs w:val="24"/>
        </w:rPr>
        <w:t>发布预警的等级。</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6" w:firstLineChars="200"/>
        <w:textAlignment w:val="auto"/>
        <w:rPr>
          <w:rFonts w:hint="eastAsia" w:ascii="仿宋_GB2312" w:hAnsi="仿宋_GB2312" w:eastAsia="仿宋_GB2312" w:cs="仿宋_GB2312"/>
          <w:spacing w:val="-1"/>
          <w:sz w:val="24"/>
          <w:szCs w:val="24"/>
        </w:rPr>
      </w:pPr>
      <w:r>
        <w:rPr>
          <w:rFonts w:hint="eastAsia" w:ascii="仿宋_GB2312" w:hAnsi="仿宋_GB2312" w:eastAsia="仿宋_GB2312" w:cs="仿宋_GB2312"/>
          <w:spacing w:val="-1"/>
          <w:sz w:val="24"/>
          <w:szCs w:val="24"/>
        </w:rPr>
        <w:t>（</w:t>
      </w:r>
      <w:r>
        <w:rPr>
          <w:rFonts w:hint="eastAsia" w:ascii="仿宋_GB2312" w:hAnsi="仿宋_GB2312" w:eastAsia="仿宋_GB2312" w:cs="仿宋_GB2312"/>
          <w:spacing w:val="-1"/>
          <w:sz w:val="24"/>
          <w:szCs w:val="24"/>
          <w:lang w:val="en-US" w:eastAsia="zh-CN"/>
        </w:rPr>
        <w:t>2</w:t>
      </w:r>
      <w:r>
        <w:rPr>
          <w:rFonts w:hint="eastAsia" w:ascii="仿宋_GB2312" w:hAnsi="仿宋_GB2312" w:eastAsia="仿宋_GB2312" w:cs="仿宋_GB2312"/>
          <w:spacing w:val="-1"/>
          <w:sz w:val="24"/>
          <w:szCs w:val="24"/>
        </w:rPr>
        <w:t>）调集应急处置所需物资和设备，做好其它应急保障工作。</w:t>
      </w:r>
    </w:p>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360" w:lineRule="auto"/>
        <w:jc w:val="left"/>
        <w:textAlignment w:val="auto"/>
        <w:outlineLvl w:val="0"/>
        <w:rPr>
          <w:rFonts w:hint="eastAsia" w:ascii="宋体" w:hAnsi="宋体" w:cs="宋体"/>
          <w:b/>
          <w:sz w:val="28"/>
          <w:szCs w:val="28"/>
          <w:lang w:val="en-US" w:eastAsia="zh-CN"/>
        </w:rPr>
      </w:pPr>
      <w:bookmarkStart w:id="168" w:name="_Toc13884"/>
      <w:r>
        <w:rPr>
          <w:rFonts w:hint="eastAsia" w:ascii="宋体" w:hAnsi="宋体" w:cs="宋体"/>
          <w:b/>
          <w:sz w:val="28"/>
          <w:szCs w:val="28"/>
          <w:lang w:val="en-US" w:eastAsia="zh-CN"/>
        </w:rPr>
        <w:t>4 应急处置与响应</w:t>
      </w:r>
      <w:bookmarkEnd w:id="168"/>
    </w:p>
    <w:p>
      <w:pPr>
        <w:spacing w:before="120" w:beforeLines="50" w:line="360" w:lineRule="auto"/>
        <w:outlineLvl w:val="1"/>
        <w:rPr>
          <w:rFonts w:hint="eastAsia" w:ascii="Times New Roman" w:hAnsi="Times New Roman" w:cs="Times New Roman"/>
          <w:b/>
          <w:sz w:val="28"/>
          <w:szCs w:val="28"/>
          <w:lang w:val="en-US" w:eastAsia="zh-CN"/>
        </w:rPr>
      </w:pPr>
      <w:bookmarkStart w:id="169" w:name="_Toc29497"/>
      <w:r>
        <w:rPr>
          <w:rFonts w:hint="eastAsia" w:ascii="Times New Roman" w:hAnsi="Times New Roman" w:cs="Times New Roman"/>
          <w:b/>
          <w:sz w:val="28"/>
          <w:szCs w:val="28"/>
          <w:lang w:val="en-US" w:eastAsia="zh-CN"/>
        </w:rPr>
        <w:t>4.1 应急响应程序</w:t>
      </w:r>
      <w:bookmarkEnd w:id="169"/>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88" w:firstLineChars="200"/>
        <w:textAlignment w:val="auto"/>
        <w:rPr>
          <w:rFonts w:hint="eastAsia" w:ascii="仿宋_GB2312" w:hAnsi="仿宋_GB2312" w:eastAsia="仿宋_GB2312" w:cs="仿宋_GB2312"/>
          <w:spacing w:val="2"/>
          <w:sz w:val="24"/>
          <w:szCs w:val="24"/>
        </w:rPr>
      </w:pPr>
      <w:r>
        <w:rPr>
          <w:rFonts w:hint="eastAsia" w:ascii="仿宋_GB2312" w:hAnsi="仿宋_GB2312" w:eastAsia="仿宋_GB2312" w:cs="仿宋_GB2312"/>
          <w:spacing w:val="2"/>
          <w:sz w:val="24"/>
          <w:szCs w:val="24"/>
        </w:rPr>
        <w:t>雾霾天气预警信息发布后，应急指挥部按照相应等级的应急响应，向公司各部门、车间下达限产或停产指令。</w:t>
      </w:r>
    </w:p>
    <w:p>
      <w:pPr>
        <w:spacing w:before="120" w:beforeLines="50" w:line="360" w:lineRule="auto"/>
        <w:outlineLvl w:val="1"/>
        <w:rPr>
          <w:rFonts w:hint="eastAsia" w:ascii="Times New Roman" w:hAnsi="Times New Roman" w:cs="Times New Roman"/>
          <w:b/>
          <w:sz w:val="28"/>
          <w:szCs w:val="28"/>
          <w:lang w:val="en-US" w:eastAsia="zh-CN"/>
        </w:rPr>
      </w:pPr>
      <w:bookmarkStart w:id="170" w:name="_Toc30530"/>
      <w:r>
        <w:rPr>
          <w:rFonts w:hint="eastAsia" w:ascii="Times New Roman" w:hAnsi="Times New Roman" w:cs="Times New Roman"/>
          <w:b/>
          <w:sz w:val="28"/>
          <w:szCs w:val="28"/>
          <w:lang w:val="en-US" w:eastAsia="zh-CN"/>
        </w:rPr>
        <w:t>4.2 应急处置</w:t>
      </w:r>
      <w:bookmarkEnd w:id="170"/>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 xml:space="preserve"> 1、</w:t>
      </w:r>
      <w:r>
        <w:rPr>
          <w:rFonts w:hint="eastAsia" w:ascii="仿宋_GB2312" w:hAnsi="仿宋_GB2312" w:eastAsia="仿宋_GB2312"/>
          <w:sz w:val="24"/>
          <w:szCs w:val="24"/>
        </w:rPr>
        <w:t>在空气质量指数出现“轻污染”（AQI101—150）时</w:t>
      </w:r>
      <w:r>
        <w:rPr>
          <w:rFonts w:hint="eastAsia" w:ascii="仿宋_GB2312" w:eastAsia="仿宋_GB2312"/>
          <w:sz w:val="24"/>
          <w:szCs w:val="24"/>
        </w:rPr>
        <w:t xml:space="preserve">应急措施： </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（1）倡导员工乘坐交通工具出行，减少车辆外出；</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（2）原材料堆场除作业区外全部封装，加强对堆场的洒水降尘工作，确保喷淋设施的正常运转，保证各生产工序收尘设备的正常运行，确保达标排放；</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（3）降低运输车辆行驶速度，加强对厂区道路的清扫力度，全天至少清洁一次厂区道路，厂区主干道路全天至少进行二次洒水降尘工作；</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（4）停止矿山工序生产，控制全厂</w:t>
      </w:r>
      <w:r>
        <w:rPr>
          <w:rFonts w:hint="eastAsia" w:ascii="仿宋_GB2312" w:hAnsi="仿宋_GB2312" w:eastAsia="仿宋_GB2312"/>
          <w:sz w:val="24"/>
          <w:szCs w:val="24"/>
        </w:rPr>
        <w:t>生产负荷不超过80%</w:t>
      </w:r>
      <w:r>
        <w:rPr>
          <w:rFonts w:hint="eastAsia" w:ascii="仿宋_GB2312" w:eastAsia="仿宋_GB2312"/>
          <w:sz w:val="24"/>
          <w:szCs w:val="24"/>
        </w:rPr>
        <w:t>。</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 2、</w:t>
      </w:r>
      <w:r>
        <w:rPr>
          <w:rFonts w:hint="eastAsia" w:ascii="仿宋_GB2312" w:hAnsi="仿宋_GB2312" w:eastAsia="仿宋_GB2312"/>
          <w:sz w:val="24"/>
          <w:szCs w:val="24"/>
        </w:rPr>
        <w:t>在空气质量指数出现“中度污染”（AQI151—200）时</w:t>
      </w:r>
      <w:r>
        <w:rPr>
          <w:rFonts w:hint="eastAsia" w:ascii="仿宋_GB2312" w:eastAsia="仿宋_GB2312"/>
          <w:sz w:val="24"/>
          <w:szCs w:val="24"/>
        </w:rPr>
        <w:t>应急措施：</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（1）建议员工减少外出，对外出员工倡导乘坐交通工具出行，减少车辆外出；</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（2）公司原材料堆场全部封装，加强对堆场的洒水降尘工作，确保喷淋设施的正常运转，保证各生产工序收尘设备的正常运行，确保达标排放；</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（3）降低运输车辆行驶速度，加强对厂区道路的清扫力度，全天至少清洁两次厂区道路，并增加洒水降尘次数，厂区主干道路上下午至少各进行三次洒水降尘工作，夜间不少于一次洒水降尘工作。</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（4）停止矿山、生料工序生产，控制全厂</w:t>
      </w:r>
      <w:r>
        <w:rPr>
          <w:rFonts w:hint="eastAsia" w:ascii="仿宋_GB2312" w:hAnsi="仿宋_GB2312" w:eastAsia="仿宋_GB2312"/>
          <w:sz w:val="24"/>
          <w:szCs w:val="24"/>
        </w:rPr>
        <w:t>生产负荷不超过60%</w:t>
      </w:r>
      <w:r>
        <w:rPr>
          <w:rFonts w:hint="eastAsia" w:ascii="仿宋_GB2312" w:eastAsia="仿宋_GB2312"/>
          <w:sz w:val="24"/>
          <w:szCs w:val="24"/>
        </w:rPr>
        <w:t>。</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3、</w:t>
      </w:r>
      <w:r>
        <w:rPr>
          <w:rFonts w:hint="eastAsia" w:ascii="仿宋_GB2312" w:hAnsi="仿宋_GB2312" w:eastAsia="仿宋_GB2312"/>
          <w:sz w:val="24"/>
          <w:szCs w:val="24"/>
        </w:rPr>
        <w:t>在空气质量指数出现“重度污染”（AQI201—300）时</w:t>
      </w:r>
      <w:r>
        <w:rPr>
          <w:rFonts w:hint="eastAsia" w:ascii="仿宋_GB2312" w:eastAsia="仿宋_GB2312"/>
          <w:sz w:val="24"/>
          <w:szCs w:val="24"/>
        </w:rPr>
        <w:t>应急措施：</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（1）建议员工减少外出，对外出员工倡导乘坐交通工具出行，减少车辆外出；</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（2）采取生产节能减排措施降低产能，并尽量减少生产能源消耗量； </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（3）公司原材料堆场全部覆盖，加强对堆场的洒水降尘工作，确保喷淋设施的正常运转，保证各生产工序收尘设备的正常运行，确保达标排放；</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24"/>
          <w:szCs w:val="24"/>
        </w:rPr>
      </w:pPr>
      <w:r>
        <w:rPr>
          <w:rFonts w:hint="eastAsia" w:ascii="仿宋_GB2312" w:eastAsia="仿宋_GB2312"/>
          <w:sz w:val="24"/>
          <w:szCs w:val="24"/>
        </w:rPr>
        <w:t>（4）增降低运输车辆行驶速度，加强对厂区道路的清扫力度，全天至少清洁三次厂区道路，并增加洒水降尘次数，厂区主干道路上下午至少各进行四次洒水降尘工作，夜间不少于一次洒水降尘工作；</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ascii="仿宋_GB2312" w:eastAsia="仿宋_GB2312"/>
          <w:sz w:val="30"/>
          <w:szCs w:val="30"/>
        </w:rPr>
      </w:pPr>
      <w:r>
        <w:rPr>
          <w:rFonts w:hint="eastAsia" w:ascii="仿宋_GB2312" w:eastAsia="仿宋_GB2312"/>
          <w:sz w:val="24"/>
          <w:szCs w:val="24"/>
        </w:rPr>
        <w:t>（5）停止矿山、生料、水泥磨工序生产，控制全厂</w:t>
      </w:r>
      <w:r>
        <w:rPr>
          <w:rFonts w:hint="eastAsia" w:ascii="仿宋_GB2312" w:hAnsi="仿宋_GB2312" w:eastAsia="仿宋_GB2312"/>
          <w:sz w:val="24"/>
          <w:szCs w:val="24"/>
        </w:rPr>
        <w:t>生产负荷不超过50%</w:t>
      </w:r>
      <w:r>
        <w:rPr>
          <w:rFonts w:hint="eastAsia" w:ascii="仿宋_GB2312" w:eastAsia="仿宋_GB2312"/>
          <w:sz w:val="24"/>
          <w:szCs w:val="24"/>
        </w:rPr>
        <w:t>。</w:t>
      </w:r>
      <w:r>
        <w:rPr>
          <w:rFonts w:hint="eastAsia" w:ascii="仿宋_GB2312" w:eastAsia="仿宋_GB2312"/>
          <w:sz w:val="30"/>
          <w:szCs w:val="30"/>
        </w:rPr>
        <w:t> </w:t>
      </w:r>
    </w:p>
    <w:p>
      <w:pPr>
        <w:spacing w:before="120" w:beforeLines="50" w:line="360" w:lineRule="auto"/>
        <w:outlineLvl w:val="1"/>
        <w:rPr>
          <w:rFonts w:hint="eastAsia" w:ascii="Times New Roman" w:hAnsi="Times New Roman" w:cs="Times New Roman"/>
          <w:b/>
          <w:sz w:val="28"/>
          <w:szCs w:val="28"/>
          <w:lang w:val="en-US" w:eastAsia="zh-CN"/>
        </w:rPr>
      </w:pPr>
      <w:bookmarkStart w:id="171" w:name="_Toc5528"/>
      <w:r>
        <w:rPr>
          <w:rFonts w:hint="eastAsia" w:ascii="Times New Roman" w:hAnsi="Times New Roman" w:cs="Times New Roman"/>
          <w:b/>
          <w:sz w:val="28"/>
          <w:szCs w:val="28"/>
          <w:lang w:val="en-US" w:eastAsia="zh-CN"/>
        </w:rPr>
        <w:t>4.3 应急终止</w:t>
      </w:r>
      <w:bookmarkEnd w:id="171"/>
    </w:p>
    <w:p>
      <w:pPr>
        <w:pStyle w:val="2"/>
        <w:ind w:firstLine="488" w:firstLineChars="200"/>
        <w:rPr>
          <w:rFonts w:hint="eastAsia" w:ascii="仿宋_GB2312" w:hAnsi="仿宋_GB2312" w:eastAsia="仿宋_GB2312" w:cs="仿宋_GB2312"/>
          <w:spacing w:val="-3"/>
          <w:sz w:val="24"/>
          <w:szCs w:val="24"/>
          <w:lang w:val="en-US" w:eastAsia="zh-CN"/>
        </w:rPr>
      </w:pPr>
      <w:r>
        <w:rPr>
          <w:rFonts w:hint="eastAsia" w:ascii="仿宋_GB2312" w:hAnsi="仿宋_GB2312" w:eastAsia="仿宋_GB2312" w:cs="仿宋_GB2312"/>
          <w:spacing w:val="2"/>
          <w:sz w:val="24"/>
          <w:szCs w:val="24"/>
        </w:rPr>
        <w:t>接收到市政府发送的重污染天气解除预警通知的同时</w:t>
      </w:r>
      <w:r>
        <w:rPr>
          <w:rFonts w:hint="eastAsia" w:ascii="仿宋_GB2312" w:hAnsi="仿宋_GB2312" w:eastAsia="仿宋_GB2312" w:cs="仿宋_GB2312"/>
          <w:spacing w:val="2"/>
          <w:sz w:val="24"/>
          <w:szCs w:val="24"/>
          <w:lang w:val="en-US" w:eastAsia="zh-CN"/>
        </w:rPr>
        <w:t>解除</w:t>
      </w:r>
      <w:r>
        <w:rPr>
          <w:rFonts w:hint="eastAsia" w:ascii="仿宋_GB2312" w:hAnsi="仿宋_GB2312" w:eastAsia="仿宋_GB2312" w:cs="仿宋_GB2312"/>
          <w:spacing w:val="2"/>
          <w:sz w:val="24"/>
          <w:szCs w:val="24"/>
        </w:rPr>
        <w:t>应急响应。</w:t>
      </w: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pacing w:val="-2"/>
          <w:sz w:val="24"/>
          <w:szCs w:val="24"/>
        </w:rPr>
      </w:pP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pacing w:val="-2"/>
          <w:sz w:val="24"/>
          <w:szCs w:val="24"/>
        </w:rPr>
      </w:pPr>
    </w:p>
    <w:p>
      <w:pPr>
        <w:keepNext w:val="0"/>
        <w:keepLines w:val="0"/>
        <w:pageBreakBefore w:val="0"/>
        <w:widowControl w:val="0"/>
        <w:kinsoku/>
        <w:wordWrap/>
        <w:overflowPunct/>
        <w:topLinePunct w:val="0"/>
        <w:autoSpaceDE/>
        <w:autoSpaceDN/>
        <w:bidi w:val="0"/>
        <w:adjustRightInd w:val="0"/>
        <w:snapToGrid w:val="0"/>
        <w:spacing w:before="0" w:beforeLines="50" w:line="360" w:lineRule="auto"/>
        <w:ind w:left="0" w:right="0" w:firstLine="472" w:firstLineChars="200"/>
        <w:textAlignment w:val="auto"/>
        <w:rPr>
          <w:rFonts w:hint="eastAsia" w:ascii="仿宋_GB2312" w:hAnsi="仿宋_GB2312" w:eastAsia="仿宋_GB2312" w:cs="仿宋_GB2312"/>
          <w:spacing w:val="-2"/>
          <w:sz w:val="24"/>
          <w:szCs w:val="24"/>
        </w:rPr>
      </w:pP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szCs w:val="24"/>
          <w:lang w:val="en-US" w:eastAsia="zh-CN"/>
        </w:rPr>
      </w:pP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szCs w:val="24"/>
          <w:lang w:val="en-US" w:eastAsia="zh-CN"/>
        </w:rPr>
      </w:pP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仿宋_GB2312" w:hAnsi="仿宋_GB2312" w:eastAsia="仿宋_GB2312" w:cs="仿宋_GB2312"/>
          <w:sz w:val="24"/>
          <w:szCs w:val="24"/>
          <w:lang w:val="en-US" w:eastAsia="zh-CN"/>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hint="eastAsia" w:ascii="仿宋_GB2312" w:hAnsi="仿宋_GB2312" w:eastAsia="仿宋_GB2312" w:cs="仿宋_GB2312"/>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hint="eastAsia" w:ascii="仿宋_GB2312" w:hAnsi="仿宋_GB2312" w:eastAsia="仿宋_GB2312" w:cs="仿宋_GB2312"/>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hint="eastAsia" w:ascii="仿宋_GB2312" w:hAnsi="仿宋_GB2312" w:eastAsia="仿宋_GB2312" w:cs="仿宋_GB2312"/>
          <w:color w:val="auto"/>
          <w:kern w:val="2"/>
        </w:rPr>
      </w:pPr>
    </w:p>
    <w:p>
      <w:pPr>
        <w:pStyle w:val="2"/>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0" w:firstLineChars="0"/>
        <w:textAlignment w:val="auto"/>
        <w:rPr>
          <w:rFonts w:hint="eastAsia" w:ascii="仿宋_GB2312" w:hAnsi="仿宋_GB2312" w:eastAsia="仿宋_GB2312" w:cs="仿宋_GB2312"/>
          <w:color w:val="auto"/>
          <w:kern w:val="2"/>
        </w:rPr>
        <w:sectPr>
          <w:footerReference r:id="rId14" w:type="default"/>
          <w:pgSz w:w="11906" w:h="16838"/>
          <w:pgMar w:top="1440" w:right="1797" w:bottom="1440" w:left="1797" w:header="851" w:footer="992" w:gutter="0"/>
          <w:pgNumType w:fmt="decimal"/>
          <w:cols w:space="720" w:num="1"/>
          <w:docGrid w:linePitch="312" w:charSpace="0"/>
        </w:sectPr>
      </w:pPr>
    </w:p>
    <w:p>
      <w:pPr>
        <w:outlineLvl w:val="0"/>
        <w:rPr>
          <w:b/>
          <w:sz w:val="30"/>
          <w:szCs w:val="30"/>
        </w:rPr>
      </w:pPr>
      <w:bookmarkStart w:id="172" w:name="_Toc26871"/>
      <w:r>
        <w:rPr>
          <w:b/>
          <w:sz w:val="30"/>
          <w:szCs w:val="30"/>
        </w:rPr>
        <w:t>附 件</w:t>
      </w:r>
      <w:bookmarkEnd w:id="172"/>
    </w:p>
    <w:p>
      <w:pPr>
        <w:spacing w:before="120" w:beforeLines="50" w:line="360" w:lineRule="auto"/>
        <w:outlineLvl w:val="1"/>
        <w:rPr>
          <w:rFonts w:eastAsia="仿宋_GB2312"/>
          <w:b/>
          <w:sz w:val="24"/>
          <w:highlight w:val="none"/>
        </w:rPr>
      </w:pPr>
      <w:bookmarkStart w:id="173" w:name="_Toc6822"/>
      <w:r>
        <w:rPr>
          <w:rFonts w:hint="eastAsia" w:ascii="Times New Roman" w:eastAsia="仿宋_GB2312" w:cs="Times New Roman"/>
          <w:b/>
          <w:color w:val="000000"/>
          <w:kern w:val="2"/>
          <w:sz w:val="24"/>
          <w:highlight w:val="none"/>
        </w:rPr>
        <w:t>一、有关应急部门、机构或人员的联系方式</w:t>
      </w:r>
      <w:bookmarkEnd w:id="173"/>
    </w:p>
    <w:p>
      <w:pPr>
        <w:keepNext w:val="0"/>
        <w:keepLines w:val="0"/>
        <w:pageBreakBefore w:val="0"/>
        <w:widowControl w:val="0"/>
        <w:kinsoku/>
        <w:wordWrap/>
        <w:overflowPunct/>
        <w:topLinePunct w:val="0"/>
        <w:autoSpaceDE/>
        <w:autoSpaceDN/>
        <w:bidi w:val="0"/>
        <w:adjustRightInd w:val="0"/>
        <w:snapToGrid w:val="0"/>
        <w:spacing w:before="157" w:beforeLines="50" w:line="360" w:lineRule="auto"/>
        <w:jc w:val="center"/>
        <w:textAlignment w:val="auto"/>
        <w:rPr>
          <w:rFonts w:eastAsia="仿宋_GB2312"/>
          <w:sz w:val="24"/>
        </w:rPr>
      </w:pPr>
      <w:r>
        <w:rPr>
          <w:rFonts w:eastAsia="仿宋_GB2312"/>
          <w:sz w:val="24"/>
        </w:rPr>
        <w:t>附表1 公司突发环境事件应急通讯联系表</w:t>
      </w:r>
    </w:p>
    <w:tbl>
      <w:tblPr>
        <w:tblStyle w:val="32"/>
        <w:tblW w:w="5000" w:type="pct"/>
        <w:jc w:val="center"/>
        <w:tblLayout w:type="autofit"/>
        <w:tblCellMar>
          <w:top w:w="0" w:type="dxa"/>
          <w:left w:w="108" w:type="dxa"/>
          <w:bottom w:w="0" w:type="dxa"/>
          <w:right w:w="108" w:type="dxa"/>
        </w:tblCellMar>
      </w:tblPr>
      <w:tblGrid>
        <w:gridCol w:w="1166"/>
        <w:gridCol w:w="1409"/>
        <w:gridCol w:w="1363"/>
        <w:gridCol w:w="2302"/>
        <w:gridCol w:w="2282"/>
      </w:tblGrid>
      <w:tr>
        <w:tblPrEx>
          <w:tblCellMar>
            <w:top w:w="0" w:type="dxa"/>
            <w:left w:w="108" w:type="dxa"/>
            <w:bottom w:w="0" w:type="dxa"/>
            <w:right w:w="108" w:type="dxa"/>
          </w:tblCellMar>
        </w:tblPrEx>
        <w:trPr>
          <w:trHeight w:val="441" w:hRule="atLeast"/>
          <w:jc w:val="center"/>
        </w:trPr>
        <w:tc>
          <w:tcPr>
            <w:tcW w:w="1510" w:type="pct"/>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应急职责</w:t>
            </w:r>
          </w:p>
        </w:tc>
        <w:tc>
          <w:tcPr>
            <w:tcW w:w="799" w:type="pct"/>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姓名</w:t>
            </w:r>
          </w:p>
        </w:tc>
        <w:tc>
          <w:tcPr>
            <w:tcW w:w="1350" w:type="pct"/>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职务</w:t>
            </w:r>
          </w:p>
        </w:tc>
        <w:tc>
          <w:tcPr>
            <w:tcW w:w="1338" w:type="pct"/>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手机号码</w:t>
            </w:r>
          </w:p>
        </w:tc>
      </w:tr>
      <w:tr>
        <w:tblPrEx>
          <w:tblCellMar>
            <w:top w:w="0" w:type="dxa"/>
            <w:left w:w="108" w:type="dxa"/>
            <w:bottom w:w="0" w:type="dxa"/>
            <w:right w:w="108" w:type="dxa"/>
          </w:tblCellMar>
        </w:tblPrEx>
        <w:trPr>
          <w:trHeight w:val="441" w:hRule="atLeast"/>
          <w:jc w:val="center"/>
        </w:trPr>
        <w:tc>
          <w:tcPr>
            <w:tcW w:w="1510" w:type="pct"/>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总指挥</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肖正祥</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总经理</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13927838628</w:t>
            </w:r>
          </w:p>
        </w:tc>
      </w:tr>
      <w:tr>
        <w:tblPrEx>
          <w:tblCellMar>
            <w:top w:w="0" w:type="dxa"/>
            <w:left w:w="108" w:type="dxa"/>
            <w:bottom w:w="0" w:type="dxa"/>
            <w:right w:w="108" w:type="dxa"/>
          </w:tblCellMar>
        </w:tblPrEx>
        <w:trPr>
          <w:trHeight w:val="441" w:hRule="atLeast"/>
          <w:jc w:val="center"/>
        </w:trPr>
        <w:tc>
          <w:tcPr>
            <w:tcW w:w="1510" w:type="pct"/>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副总指挥</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赵志兴</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生产副总</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13828515582</w:t>
            </w:r>
          </w:p>
        </w:tc>
      </w:tr>
      <w:tr>
        <w:tblPrEx>
          <w:tblCellMar>
            <w:top w:w="0" w:type="dxa"/>
            <w:left w:w="108" w:type="dxa"/>
            <w:bottom w:w="0" w:type="dxa"/>
            <w:right w:w="108" w:type="dxa"/>
          </w:tblCellMar>
        </w:tblPrEx>
        <w:trPr>
          <w:trHeight w:val="441" w:hRule="atLeast"/>
          <w:jc w:val="center"/>
        </w:trPr>
        <w:tc>
          <w:tcPr>
            <w:tcW w:w="1510" w:type="pct"/>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办公室主任</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丘发亮</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cs="宋体"/>
                <w:i w:val="0"/>
                <w:iCs w:val="0"/>
                <w:color w:val="000000"/>
                <w:kern w:val="0"/>
                <w:sz w:val="21"/>
                <w:szCs w:val="21"/>
                <w:u w:val="none"/>
                <w:lang w:val="en-US" w:eastAsia="zh-CN" w:bidi="ar"/>
              </w:rPr>
              <w:t>安全环保部</w:t>
            </w:r>
            <w:r>
              <w:rPr>
                <w:rFonts w:hint="eastAsia" w:ascii="宋体" w:hAnsi="宋体" w:eastAsia="宋体" w:cs="宋体"/>
                <w:i w:val="0"/>
                <w:iCs w:val="0"/>
                <w:color w:val="000000"/>
                <w:kern w:val="0"/>
                <w:sz w:val="21"/>
                <w:szCs w:val="21"/>
                <w:u w:val="none"/>
                <w:lang w:val="en-US" w:eastAsia="zh-CN" w:bidi="ar"/>
              </w:rPr>
              <w:t>主任</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15219802005</w:t>
            </w:r>
          </w:p>
        </w:tc>
      </w:tr>
      <w:tr>
        <w:tblPrEx>
          <w:tblCellMar>
            <w:top w:w="0" w:type="dxa"/>
            <w:left w:w="108" w:type="dxa"/>
            <w:bottom w:w="0" w:type="dxa"/>
            <w:right w:w="108" w:type="dxa"/>
          </w:tblCellMar>
        </w:tblPrEx>
        <w:trPr>
          <w:trHeight w:val="441" w:hRule="atLeast"/>
          <w:jc w:val="center"/>
        </w:trPr>
        <w:tc>
          <w:tcPr>
            <w:tcW w:w="1510" w:type="pct"/>
            <w:gridSpan w:val="2"/>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应急领导小组成员</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李泽斌</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cs="宋体"/>
                <w:i w:val="0"/>
                <w:iCs w:val="0"/>
                <w:color w:val="000000"/>
                <w:kern w:val="0"/>
                <w:sz w:val="21"/>
                <w:szCs w:val="21"/>
                <w:u w:val="none"/>
                <w:lang w:val="en-US" w:eastAsia="zh-CN" w:bidi="ar"/>
              </w:rPr>
              <w:t>安全环保部</w:t>
            </w:r>
            <w:r>
              <w:rPr>
                <w:rFonts w:hint="eastAsia" w:ascii="宋体" w:hAnsi="宋体" w:eastAsia="宋体" w:cs="宋体"/>
                <w:i w:val="0"/>
                <w:iCs w:val="0"/>
                <w:color w:val="000000"/>
                <w:kern w:val="0"/>
                <w:sz w:val="21"/>
                <w:szCs w:val="21"/>
                <w:u w:val="none"/>
                <w:lang w:val="en-US" w:eastAsia="zh-CN" w:bidi="ar"/>
              </w:rPr>
              <w:t>主管</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13420598993</w:t>
            </w:r>
          </w:p>
        </w:tc>
      </w:tr>
      <w:tr>
        <w:tblPrEx>
          <w:tblCellMar>
            <w:top w:w="0" w:type="dxa"/>
            <w:left w:w="108" w:type="dxa"/>
            <w:bottom w:w="0" w:type="dxa"/>
            <w:right w:w="108" w:type="dxa"/>
          </w:tblCellMar>
        </w:tblPrEx>
        <w:trPr>
          <w:trHeight w:val="441" w:hRule="atLeast"/>
          <w:jc w:val="center"/>
        </w:trPr>
        <w:tc>
          <w:tcPr>
            <w:tcW w:w="1510" w:type="pct"/>
            <w:gridSpan w:val="2"/>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曾洁</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安环专员</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18825120133</w:t>
            </w:r>
          </w:p>
        </w:tc>
      </w:tr>
      <w:tr>
        <w:tblPrEx>
          <w:tblCellMar>
            <w:top w:w="0" w:type="dxa"/>
            <w:left w:w="108" w:type="dxa"/>
            <w:bottom w:w="0" w:type="dxa"/>
            <w:right w:w="108" w:type="dxa"/>
          </w:tblCellMar>
        </w:tblPrEx>
        <w:trPr>
          <w:trHeight w:val="441" w:hRule="atLeast"/>
          <w:jc w:val="center"/>
        </w:trPr>
        <w:tc>
          <w:tcPr>
            <w:tcW w:w="684" w:type="pct"/>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现场处置组</w:t>
            </w: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组长</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黄华</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生产技术部部长</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13827994342</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rPr>
              <w:t>组员</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黄锋山</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机械室主任</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18933726886</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徐良锋</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烧成主任</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13030127283</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rPr>
              <w:t>组员</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胡春添</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原料主任</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13827967298</w:t>
            </w:r>
          </w:p>
        </w:tc>
      </w:tr>
      <w:tr>
        <w:tblPrEx>
          <w:tblCellMar>
            <w:top w:w="0" w:type="dxa"/>
            <w:left w:w="108" w:type="dxa"/>
            <w:bottom w:w="0" w:type="dxa"/>
            <w:right w:w="108" w:type="dxa"/>
          </w:tblCellMar>
        </w:tblPrEx>
        <w:trPr>
          <w:trHeight w:val="441" w:hRule="atLeast"/>
          <w:jc w:val="center"/>
        </w:trPr>
        <w:tc>
          <w:tcPr>
            <w:tcW w:w="684" w:type="pct"/>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应急监测组</w:t>
            </w: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组长</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吴宏</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质量管理部部长</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13926627870</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799"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周金义</w:t>
            </w:r>
          </w:p>
        </w:tc>
        <w:tc>
          <w:tcPr>
            <w:tcW w:w="1350"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质量管理部工程师</w:t>
            </w:r>
          </w:p>
        </w:tc>
        <w:tc>
          <w:tcPr>
            <w:tcW w:w="1338" w:type="pct"/>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18673217388</w:t>
            </w:r>
          </w:p>
        </w:tc>
      </w:tr>
      <w:tr>
        <w:tblPrEx>
          <w:tblCellMar>
            <w:top w:w="0" w:type="dxa"/>
            <w:left w:w="108" w:type="dxa"/>
            <w:bottom w:w="0" w:type="dxa"/>
            <w:right w:w="108" w:type="dxa"/>
          </w:tblCellMar>
        </w:tblPrEx>
        <w:trPr>
          <w:trHeight w:val="441" w:hRule="atLeast"/>
          <w:jc w:val="center"/>
        </w:trPr>
        <w:tc>
          <w:tcPr>
            <w:tcW w:w="684" w:type="pct"/>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综合协调组</w:t>
            </w: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组长</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张志义</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保安部经理</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13112027829</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谢清枚</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质量管理部工艺员</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13346521652</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陈爱明</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制成主任</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13726552941</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highlight w:val="none"/>
              </w:rPr>
            </w:pPr>
            <w:r>
              <w:rPr>
                <w:rFonts w:hint="eastAsia" w:ascii="宋体" w:hAnsi="宋体" w:eastAsia="宋体" w:cs="宋体"/>
                <w:i w:val="0"/>
                <w:iCs w:val="0"/>
                <w:color w:val="000000"/>
                <w:kern w:val="0"/>
                <w:sz w:val="21"/>
                <w:szCs w:val="21"/>
                <w:u w:val="none"/>
                <w:lang w:val="en-US" w:eastAsia="zh-CN" w:bidi="ar"/>
              </w:rPr>
              <w:t>张样坚</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原料副主任</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highlight w:val="none"/>
              </w:rPr>
            </w:pPr>
            <w:r>
              <w:rPr>
                <w:rFonts w:hint="eastAsia" w:ascii="宋体" w:hAnsi="宋体" w:eastAsia="宋体" w:cs="宋体"/>
                <w:i w:val="0"/>
                <w:iCs w:val="0"/>
                <w:color w:val="000000"/>
                <w:kern w:val="0"/>
                <w:sz w:val="21"/>
                <w:szCs w:val="21"/>
                <w:u w:val="none"/>
                <w:lang w:val="en-US" w:eastAsia="zh-CN" w:bidi="ar"/>
              </w:rPr>
              <w:t>15914815101</w:t>
            </w:r>
          </w:p>
        </w:tc>
      </w:tr>
      <w:tr>
        <w:tblPrEx>
          <w:tblCellMar>
            <w:top w:w="0" w:type="dxa"/>
            <w:left w:w="108" w:type="dxa"/>
            <w:bottom w:w="0" w:type="dxa"/>
            <w:right w:w="108" w:type="dxa"/>
          </w:tblCellMar>
        </w:tblPrEx>
        <w:trPr>
          <w:trHeight w:val="441" w:hRule="atLeast"/>
          <w:jc w:val="center"/>
        </w:trPr>
        <w:tc>
          <w:tcPr>
            <w:tcW w:w="684" w:type="pct"/>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后勤保障组</w:t>
            </w: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组长</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胡新志</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行政人事部部长</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18933726808</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阮立安</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行政通讯管理员</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13640002953</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nil"/>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lang w:val="en-US" w:eastAsia="zh-CN"/>
              </w:rPr>
            </w:pPr>
            <w:r>
              <w:rPr>
                <w:rFonts w:hint="eastAsia" w:ascii="宋体" w:hAnsi="宋体" w:eastAsia="宋体" w:cs="宋体"/>
                <w:color w:val="000000"/>
                <w:kern w:val="0"/>
                <w:sz w:val="21"/>
                <w:szCs w:val="21"/>
                <w:lang w:val="en-US" w:eastAsia="zh-CN"/>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rPr>
            </w:pPr>
            <w:r>
              <w:rPr>
                <w:rFonts w:hint="eastAsia" w:ascii="宋体" w:hAnsi="宋体" w:eastAsia="宋体" w:cs="宋体"/>
                <w:i w:val="0"/>
                <w:iCs w:val="0"/>
                <w:color w:val="000000"/>
                <w:kern w:val="0"/>
                <w:sz w:val="21"/>
                <w:szCs w:val="21"/>
                <w:u w:val="none"/>
                <w:lang w:val="en-US" w:eastAsia="zh-CN" w:bidi="ar"/>
              </w:rPr>
              <w:t>李洪声</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电气室工程师</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13435045537</w:t>
            </w:r>
          </w:p>
        </w:tc>
      </w:tr>
      <w:tr>
        <w:tblPrEx>
          <w:tblCellMar>
            <w:top w:w="0" w:type="dxa"/>
            <w:left w:w="108" w:type="dxa"/>
            <w:bottom w:w="0" w:type="dxa"/>
            <w:right w:w="108" w:type="dxa"/>
          </w:tblCellMar>
        </w:tblPrEx>
        <w:trPr>
          <w:trHeight w:val="441" w:hRule="atLeast"/>
          <w:jc w:val="center"/>
        </w:trPr>
        <w:tc>
          <w:tcPr>
            <w:tcW w:w="684"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p>
        </w:tc>
        <w:tc>
          <w:tcPr>
            <w:tcW w:w="826" w:type="pct"/>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组员</w:t>
            </w:r>
          </w:p>
        </w:tc>
        <w:tc>
          <w:tcPr>
            <w:tcW w:w="1363"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color w:val="000000"/>
                <w:kern w:val="0"/>
                <w:sz w:val="21"/>
                <w:szCs w:val="21"/>
                <w:highlight w:val="none"/>
              </w:rPr>
            </w:pPr>
            <w:r>
              <w:rPr>
                <w:rFonts w:hint="eastAsia" w:ascii="宋体" w:hAnsi="宋体" w:eastAsia="宋体" w:cs="宋体"/>
                <w:i w:val="0"/>
                <w:iCs w:val="0"/>
                <w:color w:val="000000"/>
                <w:kern w:val="0"/>
                <w:sz w:val="21"/>
                <w:szCs w:val="21"/>
                <w:u w:val="none"/>
                <w:lang w:val="en-US" w:eastAsia="zh-CN" w:bidi="ar"/>
              </w:rPr>
              <w:t>张培帮</w:t>
            </w:r>
          </w:p>
        </w:tc>
        <w:tc>
          <w:tcPr>
            <w:tcW w:w="230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余热发电主任</w:t>
            </w:r>
          </w:p>
        </w:tc>
        <w:tc>
          <w:tcPr>
            <w:tcW w:w="2282" w:type="dxa"/>
            <w:tcBorders>
              <w:top w:val="nil"/>
              <w:left w:val="nil"/>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ind w:firstLine="0" w:firstLineChars="0"/>
              <w:jc w:val="center"/>
              <w:textAlignment w:val="top"/>
              <w:rPr>
                <w:rFonts w:hint="eastAsia" w:ascii="宋体" w:hAnsi="宋体" w:eastAsia="宋体" w:cs="宋体"/>
                <w:kern w:val="0"/>
                <w:sz w:val="21"/>
                <w:szCs w:val="21"/>
                <w:highlight w:val="none"/>
              </w:rPr>
            </w:pPr>
            <w:r>
              <w:rPr>
                <w:rFonts w:hint="eastAsia" w:ascii="宋体" w:hAnsi="宋体" w:eastAsia="宋体" w:cs="宋体"/>
                <w:i w:val="0"/>
                <w:iCs w:val="0"/>
                <w:color w:val="000000"/>
                <w:kern w:val="0"/>
                <w:sz w:val="21"/>
                <w:szCs w:val="21"/>
                <w:u w:val="none"/>
                <w:lang w:val="en-US" w:eastAsia="zh-CN" w:bidi="ar"/>
              </w:rPr>
              <w:t>13827952003</w:t>
            </w:r>
          </w:p>
        </w:tc>
      </w:tr>
    </w:tbl>
    <w:p>
      <w:pPr>
        <w:spacing w:before="240" w:beforeLines="100" w:line="360" w:lineRule="auto"/>
        <w:jc w:val="center"/>
        <w:rPr>
          <w:rFonts w:eastAsia="仿宋_GB2312"/>
          <w:sz w:val="24"/>
        </w:rPr>
      </w:pPr>
      <w:r>
        <w:rPr>
          <w:rFonts w:eastAsia="仿宋_GB2312"/>
          <w:sz w:val="24"/>
        </w:rPr>
        <w:t>附表2 突发环境事件外部应急机构/单位联系方式</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68"/>
        <w:gridCol w:w="1067"/>
        <w:gridCol w:w="1134"/>
        <w:gridCol w:w="1721"/>
        <w:gridCol w:w="16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eastAsia" w:ascii="宋体" w:hAnsi="宋体" w:eastAsia="宋体" w:cs="宋体"/>
                <w:b/>
                <w:color w:val="000000"/>
                <w:sz w:val="21"/>
                <w:szCs w:val="21"/>
              </w:rPr>
            </w:pPr>
            <w:r>
              <w:rPr>
                <w:rFonts w:hint="eastAsia" w:ascii="宋体" w:hAnsi="宋体" w:eastAsia="宋体" w:cs="宋体"/>
                <w:b/>
                <w:color w:val="000000"/>
                <w:sz w:val="21"/>
                <w:szCs w:val="21"/>
              </w:rPr>
              <w:t>部门/单位</w:t>
            </w:r>
          </w:p>
        </w:tc>
        <w:tc>
          <w:tcPr>
            <w:tcW w:w="62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eastAsia" w:ascii="宋体" w:hAnsi="宋体" w:eastAsia="宋体" w:cs="宋体"/>
                <w:b/>
                <w:color w:val="000000"/>
                <w:sz w:val="21"/>
                <w:szCs w:val="21"/>
              </w:rPr>
            </w:pPr>
            <w:r>
              <w:rPr>
                <w:rFonts w:hint="eastAsia" w:ascii="宋体" w:hAnsi="宋体" w:eastAsia="宋体" w:cs="宋体"/>
                <w:b/>
                <w:color w:val="000000"/>
                <w:sz w:val="21"/>
                <w:szCs w:val="21"/>
              </w:rPr>
              <w:t>联系人</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eastAsia" w:ascii="宋体" w:hAnsi="宋体" w:eastAsia="宋体" w:cs="宋体"/>
                <w:b/>
                <w:color w:val="000000"/>
                <w:sz w:val="21"/>
                <w:szCs w:val="21"/>
              </w:rPr>
            </w:pPr>
            <w:r>
              <w:rPr>
                <w:rFonts w:hint="eastAsia" w:ascii="宋体" w:hAnsi="宋体" w:eastAsia="宋体" w:cs="宋体"/>
                <w:b/>
                <w:color w:val="000000"/>
                <w:sz w:val="21"/>
                <w:szCs w:val="21"/>
              </w:rPr>
              <w:t>职 务</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eastAsia" w:ascii="宋体" w:hAnsi="宋体" w:eastAsia="宋体" w:cs="宋体"/>
                <w:b/>
                <w:color w:val="000000"/>
                <w:sz w:val="21"/>
                <w:szCs w:val="21"/>
              </w:rPr>
            </w:pPr>
            <w:r>
              <w:rPr>
                <w:rFonts w:hint="eastAsia" w:ascii="宋体" w:hAnsi="宋体" w:eastAsia="宋体" w:cs="宋体"/>
                <w:b/>
                <w:color w:val="000000"/>
                <w:sz w:val="21"/>
                <w:szCs w:val="21"/>
              </w:rPr>
              <w:t>办公电话</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192" w:beforeLines="50" w:line="360" w:lineRule="auto"/>
              <w:ind w:firstLine="0" w:firstLineChars="0"/>
              <w:jc w:val="center"/>
              <w:textAlignment w:val="auto"/>
              <w:rPr>
                <w:rFonts w:hint="eastAsia" w:ascii="宋体" w:hAnsi="宋体" w:eastAsia="宋体" w:cs="宋体"/>
                <w:b/>
                <w:color w:val="000000"/>
                <w:sz w:val="21"/>
                <w:szCs w:val="21"/>
              </w:rPr>
            </w:pPr>
            <w:r>
              <w:rPr>
                <w:rFonts w:hint="eastAsia" w:ascii="宋体" w:hAnsi="宋体" w:eastAsia="宋体" w:cs="宋体"/>
                <w:b/>
                <w:color w:val="000000"/>
                <w:sz w:val="21"/>
                <w:szCs w:val="21"/>
              </w:rPr>
              <w:t>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韶关市生态环境局</w: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生态监测与应急管理科</w:t>
            </w:r>
          </w:p>
        </w:tc>
        <w:tc>
          <w:tcPr>
            <w:tcW w:w="62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廖胜华</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科长</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0751-8772532</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13827973733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韶关市应急管理局</w:t>
            </w:r>
          </w:p>
        </w:tc>
        <w:tc>
          <w:tcPr>
            <w:tcW w:w="62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童建忠</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主任</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0751-8726205</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13826311169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韶关市生态环境局翁源分局</w:t>
            </w:r>
          </w:p>
        </w:tc>
        <w:tc>
          <w:tcPr>
            <w:tcW w:w="625"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谢敬</w:t>
            </w:r>
          </w:p>
        </w:tc>
        <w:tc>
          <w:tcPr>
            <w:tcW w:w="665"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1009"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0751-2863123</w:t>
            </w:r>
          </w:p>
        </w:tc>
        <w:tc>
          <w:tcPr>
            <w:tcW w:w="957"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18826344930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rPr>
              <w:t>翁源县环境监测</w:t>
            </w:r>
            <w:r>
              <w:rPr>
                <w:rFonts w:hint="eastAsia" w:ascii="宋体" w:hAnsi="宋体" w:cs="宋体"/>
                <w:color w:val="000000"/>
                <w:sz w:val="21"/>
                <w:szCs w:val="21"/>
                <w:lang w:val="en-US" w:eastAsia="zh-CN"/>
              </w:rPr>
              <w:t>站</w:t>
            </w:r>
          </w:p>
        </w:tc>
        <w:tc>
          <w:tcPr>
            <w:tcW w:w="625"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sz w:val="21"/>
                <w:szCs w:val="21"/>
              </w:rPr>
              <w:t>赖琴周</w:t>
            </w:r>
          </w:p>
        </w:tc>
        <w:tc>
          <w:tcPr>
            <w:tcW w:w="665"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1009"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957"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13318572400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翁源县应急管理局</w:t>
            </w:r>
          </w:p>
        </w:tc>
        <w:tc>
          <w:tcPr>
            <w:tcW w:w="625"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沈生</w:t>
            </w:r>
          </w:p>
        </w:tc>
        <w:tc>
          <w:tcPr>
            <w:tcW w:w="665"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w:t>
            </w:r>
          </w:p>
        </w:tc>
        <w:tc>
          <w:tcPr>
            <w:tcW w:w="1009"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0751-2837666</w:t>
            </w:r>
          </w:p>
        </w:tc>
        <w:tc>
          <w:tcPr>
            <w:tcW w:w="957"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13719771206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翁源经济开发区应急救援中心</w:t>
            </w:r>
          </w:p>
        </w:tc>
        <w:tc>
          <w:tcPr>
            <w:tcW w:w="62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何耀红</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宋体" w:hAnsi="宋体" w:eastAsia="宋体" w:cs="宋体"/>
                <w:color w:val="000000"/>
                <w:kern w:val="2"/>
                <w:sz w:val="21"/>
                <w:szCs w:val="21"/>
                <w:lang w:val="en-US" w:eastAsia="zh-CN" w:bidi="ar-SA"/>
              </w:rPr>
            </w:pPr>
            <w:r>
              <w:rPr>
                <w:rFonts w:hint="eastAsia" w:ascii="宋体" w:hAnsi="宋体" w:eastAsia="宋体" w:cs="宋体"/>
                <w:color w:val="000000"/>
                <w:kern w:val="2"/>
                <w:sz w:val="21"/>
                <w:szCs w:val="21"/>
                <w:lang w:val="en-US" w:eastAsia="zh-CN" w:bidi="ar-SA"/>
              </w:rPr>
              <w:t>/</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 xml:space="preserve">0751-6928213 </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13927860686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翁源经济开发区管委会</w:t>
            </w:r>
          </w:p>
        </w:tc>
        <w:tc>
          <w:tcPr>
            <w:tcW w:w="62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黄初阳</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color w:val="000000"/>
                <w:kern w:val="2"/>
                <w:sz w:val="21"/>
                <w:szCs w:val="21"/>
                <w:lang w:val="en-US" w:eastAsia="zh-CN" w:bidi="ar-SA"/>
              </w:rPr>
            </w:pPr>
            <w:r>
              <w:rPr>
                <w:rFonts w:hint="default" w:ascii="宋体" w:hAnsi="宋体" w:eastAsia="宋体" w:cs="宋体"/>
                <w:color w:val="000000"/>
                <w:kern w:val="2"/>
                <w:sz w:val="21"/>
                <w:szCs w:val="21"/>
                <w:lang w:val="en-US" w:eastAsia="zh-CN" w:bidi="ar-SA"/>
              </w:rPr>
              <w:t xml:space="preserve">13827962228 </w:t>
            </w:r>
          </w:p>
        </w:tc>
        <w:tc>
          <w:tcPr>
            <w:tcW w:w="957" w:type="pct"/>
            <w:noWrap w:val="0"/>
            <w:vAlign w:val="center"/>
          </w:tcPr>
          <w:p>
            <w:pPr>
              <w:pStyle w:val="74"/>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韶关市翁源县公安局</w:t>
            </w:r>
          </w:p>
        </w:tc>
        <w:tc>
          <w:tcPr>
            <w:tcW w:w="62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110</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韶关市翁源县消防大队</w:t>
            </w:r>
          </w:p>
        </w:tc>
        <w:tc>
          <w:tcPr>
            <w:tcW w:w="62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119</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4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急救中心</w:t>
            </w:r>
          </w:p>
        </w:tc>
        <w:tc>
          <w:tcPr>
            <w:tcW w:w="62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66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c>
          <w:tcPr>
            <w:tcW w:w="1009"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kern w:val="0"/>
                <w:sz w:val="21"/>
                <w:szCs w:val="21"/>
              </w:rPr>
              <w:t>120</w:t>
            </w:r>
          </w:p>
        </w:tc>
        <w:tc>
          <w:tcPr>
            <w:tcW w:w="957" w:type="pct"/>
            <w:noWrap w:val="0"/>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rPr>
              <w:t>/</w:t>
            </w:r>
          </w:p>
        </w:tc>
      </w:tr>
    </w:tbl>
    <w:p>
      <w:pPr>
        <w:keepNext w:val="0"/>
        <w:keepLines w:val="0"/>
        <w:pageBreakBefore w:val="0"/>
        <w:widowControl w:val="0"/>
        <w:kinsoku/>
        <w:wordWrap/>
        <w:overflowPunct/>
        <w:topLinePunct w:val="0"/>
        <w:autoSpaceDE/>
        <w:autoSpaceDN/>
        <w:bidi w:val="0"/>
        <w:adjustRightInd w:val="0"/>
        <w:snapToGrid w:val="0"/>
        <w:spacing w:before="240" w:beforeLines="100" w:line="360" w:lineRule="auto"/>
        <w:jc w:val="center"/>
        <w:textAlignment w:val="auto"/>
        <w:rPr>
          <w:rFonts w:hint="eastAsia" w:eastAsia="仿宋_GB2312"/>
          <w:sz w:val="24"/>
          <w:lang w:val="en-US" w:eastAsia="zh-CN"/>
        </w:rPr>
      </w:pPr>
      <w:r>
        <w:rPr>
          <w:rFonts w:eastAsia="仿宋_GB2312"/>
          <w:sz w:val="24"/>
        </w:rPr>
        <w:t>附表</w:t>
      </w:r>
      <w:r>
        <w:rPr>
          <w:rFonts w:hint="eastAsia" w:eastAsia="仿宋_GB2312"/>
          <w:sz w:val="24"/>
          <w:lang w:val="en-US" w:eastAsia="zh-CN"/>
        </w:rPr>
        <w:t>3</w:t>
      </w:r>
      <w:r>
        <w:rPr>
          <w:rFonts w:eastAsia="仿宋_GB2312"/>
          <w:sz w:val="24"/>
        </w:rPr>
        <w:t xml:space="preserve"> </w:t>
      </w:r>
      <w:r>
        <w:rPr>
          <w:rFonts w:hint="eastAsia" w:eastAsia="仿宋_GB2312"/>
          <w:sz w:val="24"/>
          <w:lang w:val="en-US" w:eastAsia="zh-CN"/>
        </w:rPr>
        <w:t>周边敏感点联系方式</w:t>
      </w:r>
    </w:p>
    <w:tbl>
      <w:tblPr>
        <w:tblStyle w:val="98"/>
        <w:tblW w:w="852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2"/>
        <w:gridCol w:w="1535"/>
        <w:gridCol w:w="927"/>
        <w:gridCol w:w="907"/>
        <w:gridCol w:w="780"/>
        <w:gridCol w:w="1024"/>
        <w:gridCol w:w="981"/>
        <w:gridCol w:w="190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trPr>
        <w:tc>
          <w:tcPr>
            <w:tcW w:w="472" w:type="dxa"/>
            <w:textDirection w:val="tbRlV"/>
            <w:vAlign w:val="top"/>
          </w:tcPr>
          <w:p>
            <w:pPr>
              <w:spacing w:before="128" w:line="180" w:lineRule="auto"/>
              <w:ind w:firstLine="210"/>
              <w:rPr>
                <w:rFonts w:hint="eastAsia" w:ascii="宋体" w:hAnsi="宋体" w:eastAsia="宋体" w:cs="宋体"/>
                <w:sz w:val="21"/>
                <w:szCs w:val="21"/>
              </w:rPr>
            </w:pPr>
            <w:r>
              <w:rPr>
                <w:rFonts w:hint="eastAsia" w:ascii="宋体" w:hAnsi="宋体" w:eastAsia="宋体" w:cs="宋体"/>
                <w:spacing w:val="-1"/>
                <w:sz w:val="21"/>
                <w:szCs w:val="21"/>
                <w14:textOutline w14:w="3795" w14:cap="sq" w14:cmpd="sng">
                  <w14:solidFill>
                    <w14:srgbClr w14:val="000000"/>
                  </w14:solidFill>
                  <w14:prstDash w14:val="solid"/>
                  <w14:bevel/>
                </w14:textOutline>
              </w:rPr>
              <w:t>序</w:t>
            </w:r>
            <w:r>
              <w:rPr>
                <w:rFonts w:hint="eastAsia" w:ascii="宋体" w:hAnsi="宋体" w:eastAsia="宋体" w:cs="宋体"/>
                <w:spacing w:val="-1"/>
                <w:sz w:val="21"/>
                <w:szCs w:val="21"/>
              </w:rPr>
              <w:t xml:space="preserve"> </w:t>
            </w:r>
            <w:r>
              <w:rPr>
                <w:rFonts w:hint="eastAsia" w:ascii="宋体" w:hAnsi="宋体" w:eastAsia="宋体" w:cs="宋体"/>
                <w:spacing w:val="-1"/>
                <w:sz w:val="21"/>
                <w:szCs w:val="21"/>
                <w14:textOutline w14:w="3795" w14:cap="sq" w14:cmpd="sng">
                  <w14:solidFill>
                    <w14:srgbClr w14:val="000000"/>
                  </w14:solidFill>
                  <w14:prstDash w14:val="solid"/>
                  <w14:bevel/>
                </w14:textOutline>
              </w:rPr>
              <w:t>号</w:t>
            </w:r>
          </w:p>
        </w:tc>
        <w:tc>
          <w:tcPr>
            <w:tcW w:w="1535" w:type="dxa"/>
            <w:vAlign w:val="top"/>
          </w:tcPr>
          <w:p>
            <w:pPr>
              <w:spacing w:line="261" w:lineRule="auto"/>
              <w:rPr>
                <w:rFonts w:hint="eastAsia" w:ascii="宋体" w:hAnsi="宋体" w:eastAsia="宋体" w:cs="宋体"/>
                <w:sz w:val="21"/>
                <w:szCs w:val="21"/>
              </w:rPr>
            </w:pPr>
          </w:p>
          <w:p>
            <w:pPr>
              <w:spacing w:before="69" w:line="184" w:lineRule="auto"/>
              <w:ind w:firstLine="606"/>
              <w:rPr>
                <w:rFonts w:hint="eastAsia" w:ascii="宋体" w:hAnsi="宋体" w:eastAsia="宋体" w:cs="宋体"/>
                <w:sz w:val="21"/>
                <w:szCs w:val="21"/>
              </w:rPr>
            </w:pPr>
            <w:r>
              <w:rPr>
                <w:rFonts w:hint="eastAsia" w:ascii="宋体" w:hAnsi="宋体" w:eastAsia="宋体" w:cs="宋体"/>
                <w:spacing w:val="-6"/>
                <w:sz w:val="21"/>
                <w:szCs w:val="21"/>
                <w14:textOutline w14:w="3795" w14:cap="sq" w14:cmpd="sng">
                  <w14:solidFill>
                    <w14:srgbClr w14:val="000000"/>
                  </w14:solidFill>
                  <w14:prstDash w14:val="solid"/>
                  <w14:bevel/>
                </w14:textOutline>
              </w:rPr>
              <w:t>名称</w:t>
            </w:r>
          </w:p>
        </w:tc>
        <w:tc>
          <w:tcPr>
            <w:tcW w:w="927" w:type="dxa"/>
            <w:vAlign w:val="center"/>
          </w:tcPr>
          <w:p>
            <w:pPr>
              <w:spacing w:before="54" w:line="184" w:lineRule="auto"/>
              <w:ind w:firstLine="162"/>
              <w:jc w:val="center"/>
              <w:rPr>
                <w:rFonts w:hint="eastAsia" w:ascii="宋体" w:hAnsi="宋体" w:eastAsia="宋体" w:cs="宋体"/>
                <w:sz w:val="21"/>
                <w:szCs w:val="21"/>
              </w:rPr>
            </w:pPr>
            <w:r>
              <w:rPr>
                <w:rFonts w:hint="eastAsia" w:ascii="宋体" w:hAnsi="宋体" w:eastAsia="宋体" w:cs="宋体"/>
                <w:spacing w:val="-4"/>
                <w:sz w:val="21"/>
                <w:szCs w:val="21"/>
                <w14:textOutline w14:w="3795" w14:cap="sq" w14:cmpd="sng">
                  <w14:solidFill>
                    <w14:srgbClr w14:val="000000"/>
                  </w14:solidFill>
                  <w14:prstDash w14:val="solid"/>
                  <w14:bevel/>
                </w14:textOutline>
              </w:rPr>
              <w:t>距项</w:t>
            </w:r>
          </w:p>
          <w:p>
            <w:pPr>
              <w:spacing w:before="102" w:line="184" w:lineRule="auto"/>
              <w:jc w:val="center"/>
              <w:rPr>
                <w:rFonts w:hint="eastAsia" w:ascii="宋体" w:hAnsi="宋体" w:eastAsia="宋体" w:cs="宋体"/>
                <w:sz w:val="21"/>
                <w:szCs w:val="21"/>
              </w:rPr>
            </w:pPr>
            <w:r>
              <w:rPr>
                <w:rFonts w:hint="eastAsia" w:ascii="宋体" w:hAnsi="宋体" w:eastAsia="宋体" w:cs="宋体"/>
                <w:spacing w:val="-20"/>
                <w:w w:val="98"/>
                <w:sz w:val="21"/>
                <w:szCs w:val="21"/>
                <w14:textOutline w14:w="3795" w14:cap="sq" w14:cmpd="sng">
                  <w14:solidFill>
                    <w14:srgbClr w14:val="000000"/>
                  </w14:solidFill>
                  <w14:prstDash w14:val="solid"/>
                  <w14:bevel/>
                </w14:textOutline>
              </w:rPr>
              <w:t>目方</w:t>
            </w:r>
            <w:r>
              <w:rPr>
                <w:rFonts w:hint="eastAsia" w:ascii="宋体" w:hAnsi="宋体" w:eastAsia="宋体" w:cs="宋体"/>
                <w:sz w:val="21"/>
                <w:szCs w:val="21"/>
                <w14:textOutline w14:w="3795" w14:cap="sq" w14:cmpd="sng">
                  <w14:solidFill>
                    <w14:srgbClr w14:val="000000"/>
                  </w14:solidFill>
                  <w14:prstDash w14:val="solid"/>
                  <w14:bevel/>
                </w14:textOutline>
              </w:rPr>
              <w:t>位</w:t>
            </w:r>
          </w:p>
        </w:tc>
        <w:tc>
          <w:tcPr>
            <w:tcW w:w="907" w:type="dxa"/>
            <w:vAlign w:val="top"/>
          </w:tcPr>
          <w:p>
            <w:pPr>
              <w:spacing w:line="261" w:lineRule="auto"/>
              <w:rPr>
                <w:rFonts w:hint="eastAsia" w:ascii="宋体" w:hAnsi="宋体" w:eastAsia="宋体" w:cs="宋体"/>
                <w:sz w:val="21"/>
                <w:szCs w:val="21"/>
              </w:rPr>
            </w:pPr>
          </w:p>
          <w:p>
            <w:pPr>
              <w:spacing w:before="69" w:line="184" w:lineRule="auto"/>
              <w:ind w:firstLine="112"/>
              <w:rPr>
                <w:rFonts w:hint="eastAsia" w:ascii="宋体" w:hAnsi="宋体" w:eastAsia="宋体" w:cs="宋体"/>
                <w:sz w:val="21"/>
                <w:szCs w:val="21"/>
              </w:rPr>
            </w:pPr>
            <w:r>
              <w:rPr>
                <w:rFonts w:hint="eastAsia" w:ascii="宋体" w:hAnsi="宋体" w:eastAsia="宋体" w:cs="宋体"/>
                <w:spacing w:val="-10"/>
                <w:sz w:val="21"/>
                <w:szCs w:val="21"/>
                <w14:textOutline w14:w="3795" w14:cap="sq" w14:cmpd="sng">
                  <w14:solidFill>
                    <w14:srgbClr w14:val="000000"/>
                  </w14:solidFill>
                  <w14:prstDash w14:val="solid"/>
                  <w14:bevel/>
                </w14:textOutline>
              </w:rPr>
              <w:t>距离（m）</w:t>
            </w:r>
          </w:p>
        </w:tc>
        <w:tc>
          <w:tcPr>
            <w:tcW w:w="780" w:type="dxa"/>
            <w:vAlign w:val="top"/>
          </w:tcPr>
          <w:p>
            <w:pPr>
              <w:spacing w:line="261" w:lineRule="auto"/>
              <w:rPr>
                <w:rFonts w:hint="eastAsia" w:ascii="宋体" w:hAnsi="宋体" w:eastAsia="宋体" w:cs="宋体"/>
                <w:sz w:val="21"/>
                <w:szCs w:val="21"/>
              </w:rPr>
            </w:pPr>
          </w:p>
          <w:p>
            <w:pPr>
              <w:spacing w:before="69" w:line="184" w:lineRule="auto"/>
              <w:ind w:firstLine="189"/>
              <w:rPr>
                <w:rFonts w:hint="eastAsia" w:ascii="宋体" w:hAnsi="宋体" w:eastAsia="宋体" w:cs="宋体"/>
                <w:sz w:val="21"/>
                <w:szCs w:val="21"/>
              </w:rPr>
            </w:pPr>
            <w:r>
              <w:rPr>
                <w:rFonts w:hint="eastAsia" w:ascii="宋体" w:hAnsi="宋体" w:eastAsia="宋体" w:cs="宋体"/>
                <w:spacing w:val="-6"/>
                <w:sz w:val="21"/>
                <w:szCs w:val="21"/>
                <w14:textOutline w14:w="3795" w14:cap="sq" w14:cmpd="sng">
                  <w14:solidFill>
                    <w14:srgbClr w14:val="000000"/>
                  </w14:solidFill>
                  <w14:prstDash w14:val="solid"/>
                  <w14:bevel/>
                </w14:textOutline>
              </w:rPr>
              <w:t>性质</w:t>
            </w:r>
          </w:p>
        </w:tc>
        <w:tc>
          <w:tcPr>
            <w:tcW w:w="1024" w:type="dxa"/>
            <w:vAlign w:val="top"/>
          </w:tcPr>
          <w:p>
            <w:pPr>
              <w:spacing w:before="211" w:line="274" w:lineRule="auto"/>
              <w:ind w:left="413" w:right="192" w:hanging="210"/>
              <w:rPr>
                <w:rFonts w:hint="eastAsia" w:ascii="宋体" w:hAnsi="宋体" w:eastAsia="宋体" w:cs="宋体"/>
                <w:sz w:val="21"/>
                <w:szCs w:val="21"/>
              </w:rPr>
            </w:pPr>
            <w:r>
              <w:rPr>
                <w:rFonts w:hint="eastAsia" w:ascii="宋体" w:hAnsi="宋体" w:eastAsia="宋体" w:cs="宋体"/>
                <w:spacing w:val="-3"/>
                <w:sz w:val="21"/>
                <w:szCs w:val="21"/>
                <w14:textOutline w14:w="3795" w14:cap="sq" w14:cmpd="sng">
                  <w14:solidFill>
                    <w14:srgbClr w14:val="000000"/>
                  </w14:solidFill>
                  <w14:prstDash w14:val="solid"/>
                  <w14:bevel/>
                </w14:textOutline>
              </w:rPr>
              <w:t>影响人</w:t>
            </w:r>
            <w:r>
              <w:rPr>
                <w:rFonts w:hint="eastAsia" w:ascii="宋体" w:hAnsi="宋体" w:eastAsia="宋体" w:cs="宋体"/>
                <w:spacing w:val="2"/>
                <w:sz w:val="21"/>
                <w:szCs w:val="21"/>
              </w:rPr>
              <w:t xml:space="preserve"> </w:t>
            </w:r>
            <w:r>
              <w:rPr>
                <w:rFonts w:hint="eastAsia" w:ascii="宋体" w:hAnsi="宋体" w:eastAsia="宋体" w:cs="宋体"/>
                <w:sz w:val="21"/>
                <w:szCs w:val="21"/>
                <w14:textOutline w14:w="3795" w14:cap="sq" w14:cmpd="sng">
                  <w14:solidFill>
                    <w14:srgbClr w14:val="000000"/>
                  </w14:solidFill>
                  <w14:prstDash w14:val="solid"/>
                  <w14:bevel/>
                </w14:textOutline>
              </w:rPr>
              <w:t>数</w:t>
            </w:r>
          </w:p>
        </w:tc>
        <w:tc>
          <w:tcPr>
            <w:tcW w:w="981" w:type="dxa"/>
            <w:vAlign w:val="top"/>
          </w:tcPr>
          <w:p>
            <w:pPr>
              <w:spacing w:before="211" w:line="274" w:lineRule="auto"/>
              <w:ind w:left="430" w:right="169" w:hanging="247"/>
              <w:rPr>
                <w:rFonts w:hint="eastAsia" w:ascii="宋体" w:hAnsi="宋体" w:eastAsia="宋体" w:cs="宋体"/>
                <w:sz w:val="21"/>
                <w:szCs w:val="21"/>
              </w:rPr>
            </w:pPr>
            <w:r>
              <w:rPr>
                <w:rFonts w:hint="eastAsia" w:ascii="宋体" w:hAnsi="宋体" w:eastAsia="宋体" w:cs="宋体"/>
                <w:spacing w:val="-3"/>
                <w:sz w:val="21"/>
                <w:szCs w:val="21"/>
                <w14:textOutline w14:w="3795" w14:cap="sq" w14:cmpd="sng">
                  <w14:solidFill>
                    <w14:srgbClr w14:val="000000"/>
                  </w14:solidFill>
                  <w14:prstDash w14:val="solid"/>
                  <w14:bevel/>
                </w14:textOutline>
              </w:rPr>
              <w:t>敏感项</w:t>
            </w:r>
            <w:r>
              <w:rPr>
                <w:rFonts w:hint="eastAsia" w:ascii="宋体" w:hAnsi="宋体" w:eastAsia="宋体" w:cs="宋体"/>
                <w:spacing w:val="1"/>
                <w:sz w:val="21"/>
                <w:szCs w:val="21"/>
              </w:rPr>
              <w:t xml:space="preserve"> </w:t>
            </w:r>
            <w:r>
              <w:rPr>
                <w:rFonts w:hint="eastAsia" w:ascii="宋体" w:hAnsi="宋体" w:eastAsia="宋体" w:cs="宋体"/>
                <w:sz w:val="21"/>
                <w:szCs w:val="21"/>
                <w14:textOutline w14:w="3795" w14:cap="sq" w14:cmpd="sng">
                  <w14:solidFill>
                    <w14:srgbClr w14:val="000000"/>
                  </w14:solidFill>
                  <w14:prstDash w14:val="solid"/>
                  <w14:bevel/>
                </w14:textOutline>
              </w:rPr>
              <w:t>目</w:t>
            </w:r>
          </w:p>
        </w:tc>
        <w:tc>
          <w:tcPr>
            <w:tcW w:w="1900" w:type="dxa"/>
            <w:vAlign w:val="top"/>
          </w:tcPr>
          <w:p>
            <w:pPr>
              <w:spacing w:line="261" w:lineRule="auto"/>
              <w:rPr>
                <w:rFonts w:hint="eastAsia" w:ascii="宋体" w:hAnsi="宋体" w:eastAsia="宋体" w:cs="宋体"/>
                <w:sz w:val="21"/>
                <w:szCs w:val="21"/>
              </w:rPr>
            </w:pPr>
          </w:p>
          <w:p>
            <w:pPr>
              <w:spacing w:before="69" w:line="184" w:lineRule="auto"/>
              <w:ind w:firstLine="325"/>
              <w:rPr>
                <w:rFonts w:hint="eastAsia" w:ascii="宋体" w:hAnsi="宋体" w:eastAsia="宋体" w:cs="宋体"/>
                <w:sz w:val="21"/>
                <w:szCs w:val="21"/>
              </w:rPr>
            </w:pPr>
            <w:r>
              <w:rPr>
                <w:rFonts w:hint="eastAsia" w:ascii="宋体" w:hAnsi="宋体" w:eastAsia="宋体" w:cs="宋体"/>
                <w:spacing w:val="-1"/>
                <w:sz w:val="21"/>
                <w:szCs w:val="21"/>
                <w14:textOutline w14:w="3795" w14:cap="sq" w14:cmpd="sng">
                  <w14:solidFill>
                    <w14:srgbClr w14:val="000000"/>
                  </w14:solidFill>
                  <w14:prstDash w14:val="solid"/>
                  <w14:bevel/>
                </w14:textOutline>
              </w:rPr>
              <w:t>事故联系方式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trPr>
        <w:tc>
          <w:tcPr>
            <w:tcW w:w="472" w:type="dxa"/>
            <w:vAlign w:val="top"/>
          </w:tcPr>
          <w:p>
            <w:pPr>
              <w:spacing w:before="125" w:line="180" w:lineRule="auto"/>
              <w:ind w:firstLine="203"/>
              <w:rPr>
                <w:rFonts w:hint="eastAsia" w:ascii="宋体" w:hAnsi="宋体" w:eastAsia="宋体" w:cs="宋体"/>
                <w:sz w:val="21"/>
                <w:szCs w:val="21"/>
              </w:rPr>
            </w:pPr>
            <w:r>
              <w:rPr>
                <w:rFonts w:hint="eastAsia" w:ascii="宋体" w:hAnsi="宋体" w:eastAsia="宋体" w:cs="宋体"/>
                <w:sz w:val="21"/>
                <w:szCs w:val="21"/>
              </w:rPr>
              <w:t>1</w:t>
            </w:r>
          </w:p>
        </w:tc>
        <w:tc>
          <w:tcPr>
            <w:tcW w:w="1535" w:type="dxa"/>
            <w:vAlign w:val="top"/>
          </w:tcPr>
          <w:p>
            <w:pPr>
              <w:spacing w:before="92" w:line="184" w:lineRule="auto"/>
              <w:ind w:firstLine="603"/>
              <w:rPr>
                <w:rFonts w:hint="eastAsia" w:ascii="宋体" w:hAnsi="宋体" w:eastAsia="宋体" w:cs="宋体"/>
                <w:sz w:val="21"/>
                <w:szCs w:val="21"/>
              </w:rPr>
            </w:pPr>
            <w:r>
              <w:rPr>
                <w:rFonts w:hint="eastAsia" w:ascii="宋体" w:hAnsi="宋体" w:eastAsia="宋体" w:cs="宋体"/>
                <w:spacing w:val="-5"/>
                <w:sz w:val="21"/>
                <w:szCs w:val="21"/>
              </w:rPr>
              <w:t>坑头</w:t>
            </w:r>
          </w:p>
        </w:tc>
        <w:tc>
          <w:tcPr>
            <w:tcW w:w="927" w:type="dxa"/>
            <w:vAlign w:val="top"/>
          </w:tcPr>
          <w:p>
            <w:pPr>
              <w:spacing w:before="92" w:line="184" w:lineRule="auto"/>
              <w:ind w:firstLine="170"/>
              <w:rPr>
                <w:rFonts w:hint="eastAsia" w:ascii="宋体" w:hAnsi="宋体" w:eastAsia="宋体" w:cs="宋体"/>
                <w:sz w:val="21"/>
                <w:szCs w:val="21"/>
              </w:rPr>
            </w:pPr>
            <w:r>
              <w:rPr>
                <w:rFonts w:hint="eastAsia" w:ascii="宋体" w:hAnsi="宋体" w:eastAsia="宋体" w:cs="宋体"/>
                <w:spacing w:val="-9"/>
                <w:sz w:val="21"/>
                <w:szCs w:val="21"/>
              </w:rPr>
              <w:t>东北</w:t>
            </w:r>
          </w:p>
        </w:tc>
        <w:tc>
          <w:tcPr>
            <w:tcW w:w="907" w:type="dxa"/>
            <w:vAlign w:val="top"/>
          </w:tcPr>
          <w:p>
            <w:pPr>
              <w:spacing w:before="125" w:line="180" w:lineRule="auto"/>
              <w:ind w:firstLine="357"/>
              <w:rPr>
                <w:rFonts w:hint="eastAsia" w:ascii="宋体" w:hAnsi="宋体" w:eastAsia="宋体" w:cs="宋体"/>
                <w:sz w:val="21"/>
                <w:szCs w:val="21"/>
              </w:rPr>
            </w:pPr>
            <w:r>
              <w:rPr>
                <w:rFonts w:hint="eastAsia" w:ascii="宋体" w:hAnsi="宋体" w:eastAsia="宋体" w:cs="宋体"/>
                <w:spacing w:val="-4"/>
                <w:sz w:val="21"/>
                <w:szCs w:val="21"/>
              </w:rPr>
              <w:t>641</w:t>
            </w:r>
          </w:p>
        </w:tc>
        <w:tc>
          <w:tcPr>
            <w:tcW w:w="780" w:type="dxa"/>
            <w:vAlign w:val="top"/>
          </w:tcPr>
          <w:p>
            <w:pPr>
              <w:spacing w:before="92" w:line="184" w:lineRule="auto"/>
              <w:ind w:firstLine="188"/>
              <w:rPr>
                <w:rFonts w:hint="eastAsia" w:ascii="宋体" w:hAnsi="宋体" w:eastAsia="宋体" w:cs="宋体"/>
                <w:sz w:val="21"/>
                <w:szCs w:val="21"/>
              </w:rPr>
            </w:pPr>
            <w:r>
              <w:rPr>
                <w:rFonts w:hint="eastAsia" w:ascii="宋体" w:hAnsi="宋体" w:eastAsia="宋体" w:cs="宋体"/>
                <w:spacing w:val="-6"/>
                <w:sz w:val="21"/>
                <w:szCs w:val="21"/>
              </w:rPr>
              <w:t>居民</w:t>
            </w:r>
          </w:p>
        </w:tc>
        <w:tc>
          <w:tcPr>
            <w:tcW w:w="1024" w:type="dxa"/>
            <w:vAlign w:val="top"/>
          </w:tcPr>
          <w:p>
            <w:pPr>
              <w:spacing w:before="125" w:line="180" w:lineRule="auto"/>
              <w:ind w:firstLine="375"/>
              <w:rPr>
                <w:rFonts w:hint="eastAsia" w:ascii="宋体" w:hAnsi="宋体" w:eastAsia="宋体" w:cs="宋体"/>
                <w:sz w:val="21"/>
                <w:szCs w:val="21"/>
              </w:rPr>
            </w:pPr>
            <w:r>
              <w:rPr>
                <w:rFonts w:hint="eastAsia" w:ascii="宋体" w:hAnsi="宋体" w:eastAsia="宋体" w:cs="宋体"/>
                <w:spacing w:val="-8"/>
                <w:sz w:val="21"/>
                <w:szCs w:val="21"/>
              </w:rPr>
              <w:t>100</w:t>
            </w:r>
          </w:p>
        </w:tc>
        <w:tc>
          <w:tcPr>
            <w:tcW w:w="981" w:type="dxa"/>
            <w:vAlign w:val="top"/>
          </w:tcPr>
          <w:p>
            <w:pPr>
              <w:spacing w:before="92" w:line="184" w:lineRule="auto"/>
              <w:ind w:firstLine="291"/>
              <w:rPr>
                <w:rFonts w:hint="eastAsia" w:ascii="宋体" w:hAnsi="宋体" w:eastAsia="宋体" w:cs="宋体"/>
                <w:sz w:val="21"/>
                <w:szCs w:val="21"/>
              </w:rPr>
            </w:pPr>
            <w:r>
              <w:rPr>
                <w:rFonts w:hint="eastAsia" w:ascii="宋体" w:hAnsi="宋体" w:eastAsia="宋体" w:cs="宋体"/>
                <w:spacing w:val="-6"/>
                <w:sz w:val="21"/>
                <w:szCs w:val="21"/>
              </w:rPr>
              <w:t>大气</w:t>
            </w:r>
          </w:p>
        </w:tc>
        <w:tc>
          <w:tcPr>
            <w:tcW w:w="1900" w:type="dxa"/>
            <w:vAlign w:val="top"/>
          </w:tcPr>
          <w:p>
            <w:pPr>
              <w:spacing w:before="125" w:line="180" w:lineRule="auto"/>
              <w:ind w:firstLine="393"/>
              <w:rPr>
                <w:rFonts w:hint="eastAsia" w:ascii="宋体" w:hAnsi="宋体" w:eastAsia="宋体" w:cs="宋体"/>
                <w:sz w:val="21"/>
                <w:szCs w:val="21"/>
              </w:rPr>
            </w:pPr>
            <w:r>
              <w:rPr>
                <w:rFonts w:hint="eastAsia" w:ascii="宋体" w:hAnsi="宋体" w:eastAsia="宋体" w:cs="宋体"/>
                <w:spacing w:val="-3"/>
                <w:sz w:val="21"/>
                <w:szCs w:val="21"/>
              </w:rPr>
              <w:t>13719751969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472" w:type="dxa"/>
            <w:vAlign w:val="top"/>
          </w:tcPr>
          <w:p>
            <w:pPr>
              <w:spacing w:before="127" w:line="180" w:lineRule="auto"/>
              <w:ind w:firstLine="190"/>
              <w:rPr>
                <w:rFonts w:hint="eastAsia" w:ascii="宋体" w:hAnsi="宋体" w:eastAsia="宋体" w:cs="宋体"/>
                <w:sz w:val="21"/>
                <w:szCs w:val="21"/>
              </w:rPr>
            </w:pPr>
            <w:r>
              <w:rPr>
                <w:rFonts w:hint="eastAsia" w:ascii="宋体" w:hAnsi="宋体" w:eastAsia="宋体" w:cs="宋体"/>
                <w:sz w:val="21"/>
                <w:szCs w:val="21"/>
              </w:rPr>
              <w:t>2</w:t>
            </w:r>
          </w:p>
        </w:tc>
        <w:tc>
          <w:tcPr>
            <w:tcW w:w="1535" w:type="dxa"/>
            <w:vAlign w:val="top"/>
          </w:tcPr>
          <w:p>
            <w:pPr>
              <w:spacing w:before="93" w:line="184" w:lineRule="auto"/>
              <w:ind w:firstLine="603"/>
              <w:rPr>
                <w:rFonts w:hint="eastAsia" w:ascii="宋体" w:hAnsi="宋体" w:eastAsia="宋体" w:cs="宋体"/>
                <w:sz w:val="21"/>
                <w:szCs w:val="21"/>
              </w:rPr>
            </w:pPr>
            <w:r>
              <w:rPr>
                <w:rFonts w:hint="eastAsia" w:ascii="宋体" w:hAnsi="宋体" w:eastAsia="宋体" w:cs="宋体"/>
                <w:spacing w:val="-5"/>
                <w:sz w:val="21"/>
                <w:szCs w:val="21"/>
              </w:rPr>
              <w:t>徐屋</w:t>
            </w:r>
          </w:p>
        </w:tc>
        <w:tc>
          <w:tcPr>
            <w:tcW w:w="927" w:type="dxa"/>
            <w:vAlign w:val="top"/>
          </w:tcPr>
          <w:p>
            <w:pPr>
              <w:spacing w:before="93" w:line="184" w:lineRule="auto"/>
              <w:ind w:firstLine="170"/>
              <w:rPr>
                <w:rFonts w:hint="eastAsia" w:ascii="宋体" w:hAnsi="宋体" w:eastAsia="宋体" w:cs="宋体"/>
                <w:sz w:val="21"/>
                <w:szCs w:val="21"/>
              </w:rPr>
            </w:pPr>
            <w:r>
              <w:rPr>
                <w:rFonts w:hint="eastAsia" w:ascii="宋体" w:hAnsi="宋体" w:eastAsia="宋体" w:cs="宋体"/>
                <w:spacing w:val="-9"/>
                <w:sz w:val="21"/>
                <w:szCs w:val="21"/>
              </w:rPr>
              <w:t>东南</w:t>
            </w:r>
          </w:p>
        </w:tc>
        <w:tc>
          <w:tcPr>
            <w:tcW w:w="907" w:type="dxa"/>
            <w:vAlign w:val="top"/>
          </w:tcPr>
          <w:p>
            <w:pPr>
              <w:spacing w:before="126" w:line="180" w:lineRule="auto"/>
              <w:ind w:firstLine="318"/>
              <w:rPr>
                <w:rFonts w:hint="eastAsia" w:ascii="宋体" w:hAnsi="宋体" w:eastAsia="宋体" w:cs="宋体"/>
                <w:sz w:val="21"/>
                <w:szCs w:val="21"/>
              </w:rPr>
            </w:pPr>
            <w:r>
              <w:rPr>
                <w:rFonts w:hint="eastAsia" w:ascii="宋体" w:hAnsi="宋体" w:eastAsia="宋体" w:cs="宋体"/>
                <w:spacing w:val="-6"/>
                <w:sz w:val="21"/>
                <w:szCs w:val="21"/>
              </w:rPr>
              <w:t>1180</w:t>
            </w:r>
          </w:p>
        </w:tc>
        <w:tc>
          <w:tcPr>
            <w:tcW w:w="780" w:type="dxa"/>
            <w:vAlign w:val="top"/>
          </w:tcPr>
          <w:p>
            <w:pPr>
              <w:spacing w:before="93" w:line="184" w:lineRule="auto"/>
              <w:ind w:firstLine="188"/>
              <w:rPr>
                <w:rFonts w:hint="eastAsia" w:ascii="宋体" w:hAnsi="宋体" w:eastAsia="宋体" w:cs="宋体"/>
                <w:sz w:val="21"/>
                <w:szCs w:val="21"/>
              </w:rPr>
            </w:pPr>
            <w:r>
              <w:rPr>
                <w:rFonts w:hint="eastAsia" w:ascii="宋体" w:hAnsi="宋体" w:eastAsia="宋体" w:cs="宋体"/>
                <w:spacing w:val="-6"/>
                <w:sz w:val="21"/>
                <w:szCs w:val="21"/>
              </w:rPr>
              <w:t>居民</w:t>
            </w:r>
          </w:p>
        </w:tc>
        <w:tc>
          <w:tcPr>
            <w:tcW w:w="1024" w:type="dxa"/>
            <w:vAlign w:val="top"/>
          </w:tcPr>
          <w:p>
            <w:pPr>
              <w:spacing w:before="127" w:line="180" w:lineRule="auto"/>
              <w:ind w:firstLine="362"/>
              <w:rPr>
                <w:rFonts w:hint="eastAsia" w:ascii="宋体" w:hAnsi="宋体" w:eastAsia="宋体" w:cs="宋体"/>
                <w:sz w:val="21"/>
                <w:szCs w:val="21"/>
              </w:rPr>
            </w:pPr>
            <w:r>
              <w:rPr>
                <w:rFonts w:hint="eastAsia" w:ascii="宋体" w:hAnsi="宋体" w:eastAsia="宋体" w:cs="宋体"/>
                <w:spacing w:val="-4"/>
                <w:sz w:val="21"/>
                <w:szCs w:val="21"/>
              </w:rPr>
              <w:t>200</w:t>
            </w:r>
          </w:p>
        </w:tc>
        <w:tc>
          <w:tcPr>
            <w:tcW w:w="981" w:type="dxa"/>
            <w:vAlign w:val="top"/>
          </w:tcPr>
          <w:p>
            <w:pPr>
              <w:spacing w:before="93" w:line="184" w:lineRule="auto"/>
              <w:ind w:firstLine="291"/>
              <w:rPr>
                <w:rFonts w:hint="eastAsia" w:ascii="宋体" w:hAnsi="宋体" w:eastAsia="宋体" w:cs="宋体"/>
                <w:sz w:val="21"/>
                <w:szCs w:val="21"/>
              </w:rPr>
            </w:pPr>
            <w:r>
              <w:rPr>
                <w:rFonts w:hint="eastAsia" w:ascii="宋体" w:hAnsi="宋体" w:eastAsia="宋体" w:cs="宋体"/>
                <w:spacing w:val="-6"/>
                <w:sz w:val="21"/>
                <w:szCs w:val="21"/>
              </w:rPr>
              <w:t>大气</w:t>
            </w:r>
          </w:p>
        </w:tc>
        <w:tc>
          <w:tcPr>
            <w:tcW w:w="1900" w:type="dxa"/>
            <w:vAlign w:val="top"/>
          </w:tcPr>
          <w:p>
            <w:pPr>
              <w:spacing w:before="126" w:line="180" w:lineRule="auto"/>
              <w:ind w:firstLine="393"/>
              <w:rPr>
                <w:rFonts w:hint="eastAsia" w:ascii="宋体" w:hAnsi="宋体" w:eastAsia="宋体" w:cs="宋体"/>
                <w:sz w:val="21"/>
                <w:szCs w:val="21"/>
              </w:rPr>
            </w:pPr>
            <w:r>
              <w:rPr>
                <w:rFonts w:hint="eastAsia" w:ascii="宋体" w:hAnsi="宋体" w:eastAsia="宋体" w:cs="宋体"/>
                <w:spacing w:val="-3"/>
                <w:sz w:val="21"/>
                <w:szCs w:val="21"/>
              </w:rPr>
              <w:t>13719713939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472" w:type="dxa"/>
            <w:vAlign w:val="top"/>
          </w:tcPr>
          <w:p>
            <w:pPr>
              <w:spacing w:before="126" w:line="180" w:lineRule="auto"/>
              <w:ind w:firstLine="192"/>
              <w:rPr>
                <w:rFonts w:hint="eastAsia" w:ascii="宋体" w:hAnsi="宋体" w:eastAsia="宋体" w:cs="宋体"/>
                <w:sz w:val="21"/>
                <w:szCs w:val="21"/>
              </w:rPr>
            </w:pPr>
            <w:r>
              <w:rPr>
                <w:rFonts w:hint="eastAsia" w:ascii="宋体" w:hAnsi="宋体" w:eastAsia="宋体" w:cs="宋体"/>
                <w:sz w:val="21"/>
                <w:szCs w:val="21"/>
              </w:rPr>
              <w:t>3</w:t>
            </w:r>
          </w:p>
        </w:tc>
        <w:tc>
          <w:tcPr>
            <w:tcW w:w="1535" w:type="dxa"/>
            <w:vAlign w:val="top"/>
          </w:tcPr>
          <w:p>
            <w:pPr>
              <w:spacing w:before="93" w:line="184" w:lineRule="auto"/>
              <w:ind w:firstLine="286"/>
              <w:rPr>
                <w:rFonts w:hint="eastAsia" w:ascii="宋体" w:hAnsi="宋体" w:eastAsia="宋体" w:cs="宋体"/>
                <w:sz w:val="21"/>
                <w:szCs w:val="21"/>
              </w:rPr>
            </w:pPr>
            <w:r>
              <w:rPr>
                <w:rFonts w:hint="eastAsia" w:ascii="宋体" w:hAnsi="宋体" w:eastAsia="宋体" w:cs="宋体"/>
                <w:spacing w:val="-2"/>
                <w:sz w:val="21"/>
                <w:szCs w:val="21"/>
              </w:rPr>
              <w:t>铁龙镇政府</w:t>
            </w:r>
          </w:p>
        </w:tc>
        <w:tc>
          <w:tcPr>
            <w:tcW w:w="927" w:type="dxa"/>
            <w:vAlign w:val="top"/>
          </w:tcPr>
          <w:p>
            <w:pPr>
              <w:spacing w:before="93" w:line="184" w:lineRule="auto"/>
              <w:ind w:firstLine="170"/>
              <w:rPr>
                <w:rFonts w:hint="eastAsia" w:ascii="宋体" w:hAnsi="宋体" w:eastAsia="宋体" w:cs="宋体"/>
                <w:sz w:val="21"/>
                <w:szCs w:val="21"/>
              </w:rPr>
            </w:pPr>
            <w:r>
              <w:rPr>
                <w:rFonts w:hint="eastAsia" w:ascii="宋体" w:hAnsi="宋体" w:eastAsia="宋体" w:cs="宋体"/>
                <w:spacing w:val="-9"/>
                <w:sz w:val="21"/>
                <w:szCs w:val="21"/>
              </w:rPr>
              <w:t>东南</w:t>
            </w:r>
          </w:p>
        </w:tc>
        <w:tc>
          <w:tcPr>
            <w:tcW w:w="907" w:type="dxa"/>
            <w:vAlign w:val="top"/>
          </w:tcPr>
          <w:p>
            <w:pPr>
              <w:spacing w:before="125" w:line="180" w:lineRule="auto"/>
              <w:ind w:firstLine="318"/>
              <w:rPr>
                <w:rFonts w:hint="eastAsia" w:ascii="宋体" w:hAnsi="宋体" w:eastAsia="宋体" w:cs="宋体"/>
                <w:sz w:val="21"/>
                <w:szCs w:val="21"/>
              </w:rPr>
            </w:pPr>
            <w:r>
              <w:rPr>
                <w:rFonts w:hint="eastAsia" w:ascii="宋体" w:hAnsi="宋体" w:eastAsia="宋体" w:cs="宋体"/>
                <w:spacing w:val="-6"/>
                <w:sz w:val="21"/>
                <w:szCs w:val="21"/>
              </w:rPr>
              <w:t>1210</w:t>
            </w:r>
          </w:p>
        </w:tc>
        <w:tc>
          <w:tcPr>
            <w:tcW w:w="780" w:type="dxa"/>
            <w:vAlign w:val="top"/>
          </w:tcPr>
          <w:p>
            <w:pPr>
              <w:spacing w:before="93" w:line="184" w:lineRule="auto"/>
              <w:ind w:firstLine="188"/>
              <w:rPr>
                <w:rFonts w:hint="eastAsia" w:ascii="宋体" w:hAnsi="宋体" w:eastAsia="宋体" w:cs="宋体"/>
                <w:sz w:val="21"/>
                <w:szCs w:val="21"/>
              </w:rPr>
            </w:pPr>
            <w:r>
              <w:rPr>
                <w:rFonts w:hint="eastAsia" w:ascii="宋体" w:hAnsi="宋体" w:eastAsia="宋体" w:cs="宋体"/>
                <w:spacing w:val="-6"/>
                <w:sz w:val="21"/>
                <w:szCs w:val="21"/>
              </w:rPr>
              <w:t>居民</w:t>
            </w:r>
          </w:p>
        </w:tc>
        <w:tc>
          <w:tcPr>
            <w:tcW w:w="1024" w:type="dxa"/>
            <w:vAlign w:val="top"/>
          </w:tcPr>
          <w:p>
            <w:pPr>
              <w:spacing w:before="125" w:line="180" w:lineRule="auto"/>
              <w:ind w:firstLine="322"/>
              <w:rPr>
                <w:rFonts w:hint="eastAsia" w:ascii="宋体" w:hAnsi="宋体" w:eastAsia="宋体" w:cs="宋体"/>
                <w:sz w:val="21"/>
                <w:szCs w:val="21"/>
              </w:rPr>
            </w:pPr>
            <w:r>
              <w:rPr>
                <w:rFonts w:hint="eastAsia" w:ascii="宋体" w:hAnsi="宋体" w:eastAsia="宋体" w:cs="宋体"/>
                <w:spacing w:val="-6"/>
                <w:sz w:val="21"/>
                <w:szCs w:val="21"/>
              </w:rPr>
              <w:t>1000</w:t>
            </w:r>
          </w:p>
        </w:tc>
        <w:tc>
          <w:tcPr>
            <w:tcW w:w="981" w:type="dxa"/>
            <w:vAlign w:val="top"/>
          </w:tcPr>
          <w:p>
            <w:pPr>
              <w:spacing w:before="93" w:line="184" w:lineRule="auto"/>
              <w:ind w:firstLine="291"/>
              <w:rPr>
                <w:rFonts w:hint="eastAsia" w:ascii="宋体" w:hAnsi="宋体" w:eastAsia="宋体" w:cs="宋体"/>
                <w:sz w:val="21"/>
                <w:szCs w:val="21"/>
              </w:rPr>
            </w:pPr>
            <w:r>
              <w:rPr>
                <w:rFonts w:hint="eastAsia" w:ascii="宋体" w:hAnsi="宋体" w:eastAsia="宋体" w:cs="宋体"/>
                <w:spacing w:val="-6"/>
                <w:sz w:val="21"/>
                <w:szCs w:val="21"/>
              </w:rPr>
              <w:t>大气</w:t>
            </w:r>
          </w:p>
        </w:tc>
        <w:tc>
          <w:tcPr>
            <w:tcW w:w="1900" w:type="dxa"/>
            <w:vAlign w:val="top"/>
          </w:tcPr>
          <w:p>
            <w:pPr>
              <w:spacing w:before="125" w:line="180" w:lineRule="auto"/>
              <w:ind w:firstLine="432"/>
              <w:rPr>
                <w:rFonts w:hint="eastAsia" w:ascii="宋体" w:hAnsi="宋体" w:eastAsia="宋体" w:cs="宋体"/>
                <w:sz w:val="21"/>
                <w:szCs w:val="21"/>
              </w:rPr>
            </w:pPr>
            <w:r>
              <w:rPr>
                <w:rFonts w:hint="eastAsia" w:ascii="宋体" w:hAnsi="宋体" w:eastAsia="宋体" w:cs="宋体"/>
                <w:spacing w:val="-1"/>
                <w:sz w:val="21"/>
                <w:szCs w:val="21"/>
              </w:rPr>
              <w:t>0751-2662603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472" w:type="dxa"/>
            <w:vAlign w:val="top"/>
          </w:tcPr>
          <w:p>
            <w:pPr>
              <w:spacing w:before="128" w:line="180" w:lineRule="auto"/>
              <w:ind w:firstLine="187"/>
              <w:rPr>
                <w:rFonts w:hint="eastAsia" w:ascii="宋体" w:hAnsi="宋体" w:eastAsia="宋体" w:cs="宋体"/>
                <w:sz w:val="21"/>
                <w:szCs w:val="21"/>
              </w:rPr>
            </w:pPr>
            <w:r>
              <w:rPr>
                <w:rFonts w:hint="eastAsia" w:ascii="宋体" w:hAnsi="宋体" w:eastAsia="宋体" w:cs="宋体"/>
                <w:sz w:val="21"/>
                <w:szCs w:val="21"/>
              </w:rPr>
              <w:t>4</w:t>
            </w:r>
          </w:p>
        </w:tc>
        <w:tc>
          <w:tcPr>
            <w:tcW w:w="1535" w:type="dxa"/>
            <w:vAlign w:val="top"/>
          </w:tcPr>
          <w:p>
            <w:pPr>
              <w:spacing w:before="95" w:line="184" w:lineRule="auto"/>
              <w:ind w:firstLine="183"/>
              <w:rPr>
                <w:rFonts w:hint="eastAsia" w:ascii="宋体" w:hAnsi="宋体" w:eastAsia="宋体" w:cs="宋体"/>
                <w:sz w:val="21"/>
                <w:szCs w:val="21"/>
              </w:rPr>
            </w:pPr>
            <w:r>
              <w:rPr>
                <w:rFonts w:hint="eastAsia" w:ascii="宋体" w:hAnsi="宋体" w:eastAsia="宋体" w:cs="宋体"/>
                <w:spacing w:val="-2"/>
                <w:sz w:val="21"/>
                <w:szCs w:val="21"/>
              </w:rPr>
              <w:t>铁龙镇卫生院</w:t>
            </w:r>
          </w:p>
        </w:tc>
        <w:tc>
          <w:tcPr>
            <w:tcW w:w="927" w:type="dxa"/>
            <w:vAlign w:val="top"/>
          </w:tcPr>
          <w:p>
            <w:pPr>
              <w:spacing w:before="95" w:line="184" w:lineRule="auto"/>
              <w:ind w:firstLine="170"/>
              <w:rPr>
                <w:rFonts w:hint="eastAsia" w:ascii="宋体" w:hAnsi="宋体" w:eastAsia="宋体" w:cs="宋体"/>
                <w:sz w:val="21"/>
                <w:szCs w:val="21"/>
              </w:rPr>
            </w:pPr>
            <w:r>
              <w:rPr>
                <w:rFonts w:hint="eastAsia" w:ascii="宋体" w:hAnsi="宋体" w:eastAsia="宋体" w:cs="宋体"/>
                <w:spacing w:val="-9"/>
                <w:sz w:val="21"/>
                <w:szCs w:val="21"/>
              </w:rPr>
              <w:t>东南</w:t>
            </w:r>
          </w:p>
        </w:tc>
        <w:tc>
          <w:tcPr>
            <w:tcW w:w="907" w:type="dxa"/>
            <w:vAlign w:val="top"/>
          </w:tcPr>
          <w:p>
            <w:pPr>
              <w:spacing w:before="127" w:line="180" w:lineRule="auto"/>
              <w:ind w:firstLine="318"/>
              <w:rPr>
                <w:rFonts w:hint="eastAsia" w:ascii="宋体" w:hAnsi="宋体" w:eastAsia="宋体" w:cs="宋体"/>
                <w:sz w:val="21"/>
                <w:szCs w:val="21"/>
              </w:rPr>
            </w:pPr>
            <w:r>
              <w:rPr>
                <w:rFonts w:hint="eastAsia" w:ascii="宋体" w:hAnsi="宋体" w:eastAsia="宋体" w:cs="宋体"/>
                <w:spacing w:val="-6"/>
                <w:sz w:val="21"/>
                <w:szCs w:val="21"/>
              </w:rPr>
              <w:t>1300</w:t>
            </w:r>
          </w:p>
        </w:tc>
        <w:tc>
          <w:tcPr>
            <w:tcW w:w="780" w:type="dxa"/>
            <w:vAlign w:val="top"/>
          </w:tcPr>
          <w:p>
            <w:pPr>
              <w:spacing w:before="95" w:line="184" w:lineRule="auto"/>
              <w:ind w:firstLine="196"/>
              <w:rPr>
                <w:rFonts w:hint="eastAsia" w:ascii="宋体" w:hAnsi="宋体" w:eastAsia="宋体" w:cs="宋体"/>
                <w:sz w:val="21"/>
                <w:szCs w:val="21"/>
              </w:rPr>
            </w:pPr>
            <w:r>
              <w:rPr>
                <w:rFonts w:hint="eastAsia" w:ascii="宋体" w:hAnsi="宋体" w:eastAsia="宋体" w:cs="宋体"/>
                <w:spacing w:val="-10"/>
                <w:sz w:val="21"/>
                <w:szCs w:val="21"/>
              </w:rPr>
              <w:t>医院</w:t>
            </w:r>
          </w:p>
        </w:tc>
        <w:tc>
          <w:tcPr>
            <w:tcW w:w="1024" w:type="dxa"/>
            <w:vAlign w:val="top"/>
          </w:tcPr>
          <w:p>
            <w:pPr>
              <w:spacing w:before="128" w:line="180" w:lineRule="auto"/>
              <w:ind w:firstLine="416"/>
              <w:rPr>
                <w:rFonts w:hint="eastAsia" w:ascii="宋体" w:hAnsi="宋体" w:eastAsia="宋体" w:cs="宋体"/>
                <w:sz w:val="21"/>
                <w:szCs w:val="21"/>
              </w:rPr>
            </w:pPr>
            <w:r>
              <w:rPr>
                <w:rFonts w:hint="eastAsia" w:ascii="宋体" w:hAnsi="宋体" w:eastAsia="宋体" w:cs="宋体"/>
                <w:spacing w:val="-7"/>
                <w:sz w:val="21"/>
                <w:szCs w:val="21"/>
              </w:rPr>
              <w:t>50</w:t>
            </w:r>
          </w:p>
        </w:tc>
        <w:tc>
          <w:tcPr>
            <w:tcW w:w="981" w:type="dxa"/>
            <w:vAlign w:val="top"/>
          </w:tcPr>
          <w:p>
            <w:pPr>
              <w:spacing w:before="95" w:line="184" w:lineRule="auto"/>
              <w:ind w:firstLine="291"/>
              <w:rPr>
                <w:rFonts w:hint="eastAsia" w:ascii="宋体" w:hAnsi="宋体" w:eastAsia="宋体" w:cs="宋体"/>
                <w:sz w:val="21"/>
                <w:szCs w:val="21"/>
              </w:rPr>
            </w:pPr>
            <w:r>
              <w:rPr>
                <w:rFonts w:hint="eastAsia" w:ascii="宋体" w:hAnsi="宋体" w:eastAsia="宋体" w:cs="宋体"/>
                <w:spacing w:val="-6"/>
                <w:sz w:val="21"/>
                <w:szCs w:val="21"/>
              </w:rPr>
              <w:t>大气</w:t>
            </w:r>
          </w:p>
        </w:tc>
        <w:tc>
          <w:tcPr>
            <w:tcW w:w="1900" w:type="dxa"/>
            <w:vAlign w:val="top"/>
          </w:tcPr>
          <w:p>
            <w:pPr>
              <w:spacing w:before="95" w:line="184" w:lineRule="auto"/>
              <w:ind w:firstLine="118"/>
              <w:jc w:val="center"/>
              <w:rPr>
                <w:rFonts w:hint="eastAsia" w:ascii="宋体" w:hAnsi="宋体" w:eastAsia="宋体" w:cs="宋体"/>
                <w:sz w:val="21"/>
                <w:szCs w:val="21"/>
              </w:rPr>
            </w:pPr>
            <w:r>
              <w:rPr>
                <w:rFonts w:hint="eastAsia" w:ascii="宋体" w:hAnsi="宋体" w:eastAsia="宋体" w:cs="宋体"/>
                <w:spacing w:val="-1"/>
                <w:sz w:val="21"/>
                <w:szCs w:val="21"/>
              </w:rPr>
              <w:t>0751-2662433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trPr>
        <w:tc>
          <w:tcPr>
            <w:tcW w:w="472" w:type="dxa"/>
            <w:vAlign w:val="top"/>
          </w:tcPr>
          <w:p>
            <w:pPr>
              <w:spacing w:before="129" w:line="180" w:lineRule="auto"/>
              <w:ind w:firstLine="192"/>
              <w:rPr>
                <w:rFonts w:hint="eastAsia" w:ascii="宋体" w:hAnsi="宋体" w:eastAsia="宋体" w:cs="宋体"/>
                <w:sz w:val="21"/>
                <w:szCs w:val="21"/>
              </w:rPr>
            </w:pPr>
            <w:r>
              <w:rPr>
                <w:rFonts w:hint="eastAsia" w:ascii="宋体" w:hAnsi="宋体" w:eastAsia="宋体" w:cs="宋体"/>
                <w:sz w:val="21"/>
                <w:szCs w:val="21"/>
              </w:rPr>
              <w:t>5</w:t>
            </w:r>
          </w:p>
        </w:tc>
        <w:tc>
          <w:tcPr>
            <w:tcW w:w="1535" w:type="dxa"/>
            <w:vAlign w:val="top"/>
          </w:tcPr>
          <w:p>
            <w:pPr>
              <w:spacing w:before="95" w:line="184" w:lineRule="auto"/>
              <w:ind w:firstLine="500"/>
              <w:rPr>
                <w:rFonts w:hint="eastAsia" w:ascii="宋体" w:hAnsi="宋体" w:eastAsia="宋体" w:cs="宋体"/>
                <w:sz w:val="21"/>
                <w:szCs w:val="21"/>
              </w:rPr>
            </w:pPr>
            <w:r>
              <w:rPr>
                <w:rFonts w:hint="eastAsia" w:ascii="宋体" w:hAnsi="宋体" w:eastAsia="宋体" w:cs="宋体"/>
                <w:spacing w:val="-4"/>
                <w:sz w:val="21"/>
                <w:szCs w:val="21"/>
              </w:rPr>
              <w:t>龙体村</w:t>
            </w:r>
          </w:p>
        </w:tc>
        <w:tc>
          <w:tcPr>
            <w:tcW w:w="927" w:type="dxa"/>
            <w:vAlign w:val="top"/>
          </w:tcPr>
          <w:p>
            <w:pPr>
              <w:spacing w:before="95" w:line="184" w:lineRule="auto"/>
              <w:ind w:firstLine="170"/>
              <w:rPr>
                <w:rFonts w:hint="eastAsia" w:ascii="宋体" w:hAnsi="宋体" w:eastAsia="宋体" w:cs="宋体"/>
                <w:sz w:val="21"/>
                <w:szCs w:val="21"/>
              </w:rPr>
            </w:pPr>
            <w:r>
              <w:rPr>
                <w:rFonts w:hint="eastAsia" w:ascii="宋体" w:hAnsi="宋体" w:eastAsia="宋体" w:cs="宋体"/>
                <w:spacing w:val="-9"/>
                <w:sz w:val="21"/>
                <w:szCs w:val="21"/>
              </w:rPr>
              <w:t>东南</w:t>
            </w:r>
          </w:p>
        </w:tc>
        <w:tc>
          <w:tcPr>
            <w:tcW w:w="907" w:type="dxa"/>
            <w:vAlign w:val="top"/>
          </w:tcPr>
          <w:p>
            <w:pPr>
              <w:spacing w:before="127" w:line="180" w:lineRule="auto"/>
              <w:ind w:firstLine="318"/>
              <w:rPr>
                <w:rFonts w:hint="eastAsia" w:ascii="宋体" w:hAnsi="宋体" w:eastAsia="宋体" w:cs="宋体"/>
                <w:sz w:val="21"/>
                <w:szCs w:val="21"/>
              </w:rPr>
            </w:pPr>
            <w:r>
              <w:rPr>
                <w:rFonts w:hint="eastAsia" w:ascii="宋体" w:hAnsi="宋体" w:eastAsia="宋体" w:cs="宋体"/>
                <w:spacing w:val="-6"/>
                <w:sz w:val="21"/>
                <w:szCs w:val="21"/>
              </w:rPr>
              <w:t>1310</w:t>
            </w:r>
          </w:p>
        </w:tc>
        <w:tc>
          <w:tcPr>
            <w:tcW w:w="780" w:type="dxa"/>
            <w:vAlign w:val="top"/>
          </w:tcPr>
          <w:p>
            <w:pPr>
              <w:spacing w:before="95" w:line="184" w:lineRule="auto"/>
              <w:ind w:firstLine="188"/>
              <w:rPr>
                <w:rFonts w:hint="eastAsia" w:ascii="宋体" w:hAnsi="宋体" w:eastAsia="宋体" w:cs="宋体"/>
                <w:sz w:val="21"/>
                <w:szCs w:val="21"/>
              </w:rPr>
            </w:pPr>
            <w:r>
              <w:rPr>
                <w:rFonts w:hint="eastAsia" w:ascii="宋体" w:hAnsi="宋体" w:eastAsia="宋体" w:cs="宋体"/>
                <w:spacing w:val="-6"/>
                <w:sz w:val="21"/>
                <w:szCs w:val="21"/>
              </w:rPr>
              <w:t>居民</w:t>
            </w:r>
          </w:p>
        </w:tc>
        <w:tc>
          <w:tcPr>
            <w:tcW w:w="1024" w:type="dxa"/>
            <w:vAlign w:val="top"/>
          </w:tcPr>
          <w:p>
            <w:pPr>
              <w:spacing w:before="128" w:line="180" w:lineRule="auto"/>
              <w:ind w:firstLine="363"/>
              <w:rPr>
                <w:rFonts w:hint="eastAsia" w:ascii="宋体" w:hAnsi="宋体" w:eastAsia="宋体" w:cs="宋体"/>
                <w:sz w:val="21"/>
                <w:szCs w:val="21"/>
              </w:rPr>
            </w:pPr>
            <w:r>
              <w:rPr>
                <w:rFonts w:hint="eastAsia" w:ascii="宋体" w:hAnsi="宋体" w:eastAsia="宋体" w:cs="宋体"/>
                <w:spacing w:val="-4"/>
                <w:sz w:val="21"/>
                <w:szCs w:val="21"/>
              </w:rPr>
              <w:t>300</w:t>
            </w:r>
          </w:p>
        </w:tc>
        <w:tc>
          <w:tcPr>
            <w:tcW w:w="981" w:type="dxa"/>
            <w:vAlign w:val="top"/>
          </w:tcPr>
          <w:p>
            <w:pPr>
              <w:spacing w:before="95" w:line="184" w:lineRule="auto"/>
              <w:ind w:firstLine="291"/>
              <w:rPr>
                <w:rFonts w:hint="eastAsia" w:ascii="宋体" w:hAnsi="宋体" w:eastAsia="宋体" w:cs="宋体"/>
                <w:sz w:val="21"/>
                <w:szCs w:val="21"/>
              </w:rPr>
            </w:pPr>
            <w:r>
              <w:rPr>
                <w:rFonts w:hint="eastAsia" w:ascii="宋体" w:hAnsi="宋体" w:eastAsia="宋体" w:cs="宋体"/>
                <w:spacing w:val="-6"/>
                <w:sz w:val="21"/>
                <w:szCs w:val="21"/>
              </w:rPr>
              <w:t>大气</w:t>
            </w:r>
          </w:p>
        </w:tc>
        <w:tc>
          <w:tcPr>
            <w:tcW w:w="1900" w:type="dxa"/>
            <w:vAlign w:val="top"/>
          </w:tcPr>
          <w:p>
            <w:pPr>
              <w:spacing w:before="127" w:line="180" w:lineRule="auto"/>
              <w:ind w:firstLine="393"/>
              <w:rPr>
                <w:rFonts w:hint="eastAsia" w:ascii="宋体" w:hAnsi="宋体" w:eastAsia="宋体" w:cs="宋体"/>
                <w:sz w:val="21"/>
                <w:szCs w:val="21"/>
              </w:rPr>
            </w:pPr>
            <w:r>
              <w:rPr>
                <w:rFonts w:hint="eastAsia" w:ascii="宋体" w:hAnsi="宋体" w:eastAsia="宋体" w:cs="宋体"/>
                <w:spacing w:val="-3"/>
                <w:sz w:val="21"/>
                <w:szCs w:val="21"/>
              </w:rPr>
              <w:t>13719714963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trPr>
        <w:tc>
          <w:tcPr>
            <w:tcW w:w="472" w:type="dxa"/>
            <w:vAlign w:val="top"/>
          </w:tcPr>
          <w:p>
            <w:pPr>
              <w:spacing w:before="129" w:line="180" w:lineRule="auto"/>
              <w:ind w:firstLine="189"/>
              <w:rPr>
                <w:rFonts w:hint="eastAsia" w:ascii="宋体" w:hAnsi="宋体" w:eastAsia="宋体" w:cs="宋体"/>
                <w:sz w:val="21"/>
                <w:szCs w:val="21"/>
              </w:rPr>
            </w:pPr>
            <w:r>
              <w:rPr>
                <w:rFonts w:hint="eastAsia" w:ascii="宋体" w:hAnsi="宋体" w:eastAsia="宋体" w:cs="宋体"/>
                <w:sz w:val="21"/>
                <w:szCs w:val="21"/>
              </w:rPr>
              <w:t>6</w:t>
            </w:r>
          </w:p>
        </w:tc>
        <w:tc>
          <w:tcPr>
            <w:tcW w:w="1535" w:type="dxa"/>
            <w:vAlign w:val="top"/>
          </w:tcPr>
          <w:p>
            <w:pPr>
              <w:spacing w:before="96" w:line="184" w:lineRule="auto"/>
              <w:ind w:firstLine="500"/>
              <w:rPr>
                <w:rFonts w:hint="eastAsia" w:ascii="宋体" w:hAnsi="宋体" w:eastAsia="宋体" w:cs="宋体"/>
                <w:sz w:val="21"/>
                <w:szCs w:val="21"/>
              </w:rPr>
            </w:pPr>
            <w:r>
              <w:rPr>
                <w:rFonts w:hint="eastAsia" w:ascii="宋体" w:hAnsi="宋体" w:eastAsia="宋体" w:cs="宋体"/>
                <w:spacing w:val="-4"/>
                <w:sz w:val="21"/>
                <w:szCs w:val="21"/>
              </w:rPr>
              <w:t>墩头村</w:t>
            </w:r>
          </w:p>
        </w:tc>
        <w:tc>
          <w:tcPr>
            <w:tcW w:w="927" w:type="dxa"/>
            <w:vAlign w:val="top"/>
          </w:tcPr>
          <w:p>
            <w:pPr>
              <w:spacing w:before="96" w:line="184" w:lineRule="auto"/>
              <w:ind w:firstLine="271"/>
              <w:rPr>
                <w:rFonts w:hint="eastAsia" w:ascii="宋体" w:hAnsi="宋体" w:eastAsia="宋体" w:cs="宋体"/>
                <w:sz w:val="21"/>
                <w:szCs w:val="21"/>
              </w:rPr>
            </w:pPr>
            <w:r>
              <w:rPr>
                <w:rFonts w:hint="eastAsia" w:ascii="宋体" w:hAnsi="宋体" w:eastAsia="宋体" w:cs="宋体"/>
                <w:sz w:val="21"/>
                <w:szCs w:val="21"/>
              </w:rPr>
              <w:t>南</w:t>
            </w:r>
          </w:p>
        </w:tc>
        <w:tc>
          <w:tcPr>
            <w:tcW w:w="907" w:type="dxa"/>
            <w:vAlign w:val="top"/>
          </w:tcPr>
          <w:p>
            <w:pPr>
              <w:spacing w:before="128" w:line="180" w:lineRule="auto"/>
              <w:ind w:firstLine="318"/>
              <w:rPr>
                <w:rFonts w:hint="eastAsia" w:ascii="宋体" w:hAnsi="宋体" w:eastAsia="宋体" w:cs="宋体"/>
                <w:sz w:val="21"/>
                <w:szCs w:val="21"/>
              </w:rPr>
            </w:pPr>
            <w:r>
              <w:rPr>
                <w:rFonts w:hint="eastAsia" w:ascii="宋体" w:hAnsi="宋体" w:eastAsia="宋体" w:cs="宋体"/>
                <w:spacing w:val="-6"/>
                <w:sz w:val="21"/>
                <w:szCs w:val="21"/>
              </w:rPr>
              <w:t>1790</w:t>
            </w:r>
          </w:p>
        </w:tc>
        <w:tc>
          <w:tcPr>
            <w:tcW w:w="780" w:type="dxa"/>
            <w:vAlign w:val="top"/>
          </w:tcPr>
          <w:p>
            <w:pPr>
              <w:spacing w:before="96" w:line="184" w:lineRule="auto"/>
              <w:ind w:firstLine="188"/>
              <w:rPr>
                <w:rFonts w:hint="eastAsia" w:ascii="宋体" w:hAnsi="宋体" w:eastAsia="宋体" w:cs="宋体"/>
                <w:sz w:val="21"/>
                <w:szCs w:val="21"/>
              </w:rPr>
            </w:pPr>
            <w:r>
              <w:rPr>
                <w:rFonts w:hint="eastAsia" w:ascii="宋体" w:hAnsi="宋体" w:eastAsia="宋体" w:cs="宋体"/>
                <w:spacing w:val="-6"/>
                <w:sz w:val="21"/>
                <w:szCs w:val="21"/>
              </w:rPr>
              <w:t>居民</w:t>
            </w:r>
          </w:p>
        </w:tc>
        <w:tc>
          <w:tcPr>
            <w:tcW w:w="1024" w:type="dxa"/>
            <w:vAlign w:val="top"/>
          </w:tcPr>
          <w:p>
            <w:pPr>
              <w:spacing w:before="128" w:line="180" w:lineRule="auto"/>
              <w:ind w:firstLine="375"/>
              <w:rPr>
                <w:rFonts w:hint="eastAsia" w:ascii="宋体" w:hAnsi="宋体" w:eastAsia="宋体" w:cs="宋体"/>
                <w:sz w:val="21"/>
                <w:szCs w:val="21"/>
              </w:rPr>
            </w:pPr>
            <w:r>
              <w:rPr>
                <w:rFonts w:hint="eastAsia" w:ascii="宋体" w:hAnsi="宋体" w:eastAsia="宋体" w:cs="宋体"/>
                <w:spacing w:val="-8"/>
                <w:sz w:val="21"/>
                <w:szCs w:val="21"/>
              </w:rPr>
              <w:t>150</w:t>
            </w:r>
          </w:p>
        </w:tc>
        <w:tc>
          <w:tcPr>
            <w:tcW w:w="981" w:type="dxa"/>
            <w:vAlign w:val="top"/>
          </w:tcPr>
          <w:p>
            <w:pPr>
              <w:spacing w:before="96" w:line="184" w:lineRule="auto"/>
              <w:ind w:firstLine="291"/>
              <w:rPr>
                <w:rFonts w:hint="eastAsia" w:ascii="宋体" w:hAnsi="宋体" w:eastAsia="宋体" w:cs="宋体"/>
                <w:sz w:val="21"/>
                <w:szCs w:val="21"/>
              </w:rPr>
            </w:pPr>
            <w:r>
              <w:rPr>
                <w:rFonts w:hint="eastAsia" w:ascii="宋体" w:hAnsi="宋体" w:eastAsia="宋体" w:cs="宋体"/>
                <w:spacing w:val="-6"/>
                <w:sz w:val="21"/>
                <w:szCs w:val="21"/>
              </w:rPr>
              <w:t>大气</w:t>
            </w:r>
          </w:p>
        </w:tc>
        <w:tc>
          <w:tcPr>
            <w:tcW w:w="1900" w:type="dxa"/>
            <w:vAlign w:val="top"/>
          </w:tcPr>
          <w:p>
            <w:pPr>
              <w:spacing w:before="128" w:line="180" w:lineRule="auto"/>
              <w:ind w:firstLine="393"/>
              <w:rPr>
                <w:rFonts w:hint="eastAsia" w:ascii="宋体" w:hAnsi="宋体" w:eastAsia="宋体" w:cs="宋体"/>
                <w:sz w:val="21"/>
                <w:szCs w:val="21"/>
              </w:rPr>
            </w:pPr>
            <w:r>
              <w:rPr>
                <w:rFonts w:hint="eastAsia" w:ascii="宋体" w:hAnsi="宋体" w:eastAsia="宋体" w:cs="宋体"/>
                <w:spacing w:val="-3"/>
                <w:sz w:val="21"/>
                <w:szCs w:val="21"/>
              </w:rPr>
              <w:t>13420532203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472" w:type="dxa"/>
            <w:vAlign w:val="top"/>
          </w:tcPr>
          <w:p>
            <w:pPr>
              <w:spacing w:before="129" w:line="180" w:lineRule="auto"/>
              <w:ind w:firstLine="192"/>
              <w:rPr>
                <w:rFonts w:hint="eastAsia" w:ascii="宋体" w:hAnsi="宋体" w:eastAsia="宋体" w:cs="宋体"/>
                <w:sz w:val="21"/>
                <w:szCs w:val="21"/>
              </w:rPr>
            </w:pPr>
            <w:r>
              <w:rPr>
                <w:rFonts w:hint="eastAsia" w:ascii="宋体" w:hAnsi="宋体" w:eastAsia="宋体" w:cs="宋体"/>
                <w:sz w:val="21"/>
                <w:szCs w:val="21"/>
              </w:rPr>
              <w:t>7</w:t>
            </w:r>
          </w:p>
        </w:tc>
        <w:tc>
          <w:tcPr>
            <w:tcW w:w="1535" w:type="dxa"/>
            <w:vAlign w:val="top"/>
          </w:tcPr>
          <w:p>
            <w:pPr>
              <w:spacing w:before="94" w:line="184" w:lineRule="auto"/>
              <w:ind w:firstLine="500"/>
              <w:rPr>
                <w:rFonts w:hint="eastAsia" w:ascii="宋体" w:hAnsi="宋体" w:eastAsia="宋体" w:cs="宋体"/>
                <w:sz w:val="21"/>
                <w:szCs w:val="21"/>
              </w:rPr>
            </w:pPr>
            <w:r>
              <w:rPr>
                <w:rFonts w:hint="eastAsia" w:ascii="宋体" w:hAnsi="宋体" w:eastAsia="宋体" w:cs="宋体"/>
                <w:spacing w:val="-4"/>
                <w:sz w:val="21"/>
                <w:szCs w:val="21"/>
              </w:rPr>
              <w:t>沙岭李</w:t>
            </w:r>
          </w:p>
        </w:tc>
        <w:tc>
          <w:tcPr>
            <w:tcW w:w="927" w:type="dxa"/>
            <w:vAlign w:val="top"/>
          </w:tcPr>
          <w:p>
            <w:pPr>
              <w:spacing w:before="94" w:line="184" w:lineRule="auto"/>
              <w:ind w:firstLine="170"/>
              <w:rPr>
                <w:rFonts w:hint="eastAsia" w:ascii="宋体" w:hAnsi="宋体" w:eastAsia="宋体" w:cs="宋体"/>
                <w:sz w:val="21"/>
                <w:szCs w:val="21"/>
              </w:rPr>
            </w:pPr>
            <w:r>
              <w:rPr>
                <w:rFonts w:hint="eastAsia" w:ascii="宋体" w:hAnsi="宋体" w:eastAsia="宋体" w:cs="宋体"/>
                <w:spacing w:val="-9"/>
                <w:sz w:val="21"/>
                <w:szCs w:val="21"/>
              </w:rPr>
              <w:t>东南</w:t>
            </w:r>
          </w:p>
        </w:tc>
        <w:tc>
          <w:tcPr>
            <w:tcW w:w="907" w:type="dxa"/>
            <w:vAlign w:val="top"/>
          </w:tcPr>
          <w:p>
            <w:pPr>
              <w:spacing w:before="126" w:line="180" w:lineRule="auto"/>
              <w:ind w:firstLine="318"/>
              <w:rPr>
                <w:rFonts w:hint="eastAsia" w:ascii="宋体" w:hAnsi="宋体" w:eastAsia="宋体" w:cs="宋体"/>
                <w:sz w:val="21"/>
                <w:szCs w:val="21"/>
              </w:rPr>
            </w:pPr>
            <w:r>
              <w:rPr>
                <w:rFonts w:hint="eastAsia" w:ascii="宋体" w:hAnsi="宋体" w:eastAsia="宋体" w:cs="宋体"/>
                <w:spacing w:val="-6"/>
                <w:sz w:val="21"/>
                <w:szCs w:val="21"/>
              </w:rPr>
              <w:t>1950</w:t>
            </w:r>
          </w:p>
        </w:tc>
        <w:tc>
          <w:tcPr>
            <w:tcW w:w="780" w:type="dxa"/>
            <w:vAlign w:val="top"/>
          </w:tcPr>
          <w:p>
            <w:pPr>
              <w:spacing w:before="94" w:line="184" w:lineRule="auto"/>
              <w:ind w:firstLine="188"/>
              <w:rPr>
                <w:rFonts w:hint="eastAsia" w:ascii="宋体" w:hAnsi="宋体" w:eastAsia="宋体" w:cs="宋体"/>
                <w:sz w:val="21"/>
                <w:szCs w:val="21"/>
              </w:rPr>
            </w:pPr>
            <w:r>
              <w:rPr>
                <w:rFonts w:hint="eastAsia" w:ascii="宋体" w:hAnsi="宋体" w:eastAsia="宋体" w:cs="宋体"/>
                <w:spacing w:val="-6"/>
                <w:sz w:val="21"/>
                <w:szCs w:val="21"/>
              </w:rPr>
              <w:t>居民</w:t>
            </w:r>
          </w:p>
        </w:tc>
        <w:tc>
          <w:tcPr>
            <w:tcW w:w="1024" w:type="dxa"/>
            <w:vAlign w:val="top"/>
          </w:tcPr>
          <w:p>
            <w:pPr>
              <w:spacing w:before="126" w:line="180" w:lineRule="auto"/>
              <w:ind w:firstLine="375"/>
              <w:rPr>
                <w:rFonts w:hint="eastAsia" w:ascii="宋体" w:hAnsi="宋体" w:eastAsia="宋体" w:cs="宋体"/>
                <w:sz w:val="21"/>
                <w:szCs w:val="21"/>
              </w:rPr>
            </w:pPr>
            <w:r>
              <w:rPr>
                <w:rFonts w:hint="eastAsia" w:ascii="宋体" w:hAnsi="宋体" w:eastAsia="宋体" w:cs="宋体"/>
                <w:spacing w:val="-8"/>
                <w:sz w:val="21"/>
                <w:szCs w:val="21"/>
              </w:rPr>
              <w:t>150</w:t>
            </w:r>
          </w:p>
        </w:tc>
        <w:tc>
          <w:tcPr>
            <w:tcW w:w="981" w:type="dxa"/>
            <w:vAlign w:val="top"/>
          </w:tcPr>
          <w:p>
            <w:pPr>
              <w:spacing w:before="94" w:line="184" w:lineRule="auto"/>
              <w:ind w:firstLine="291"/>
              <w:rPr>
                <w:rFonts w:hint="eastAsia" w:ascii="宋体" w:hAnsi="宋体" w:eastAsia="宋体" w:cs="宋体"/>
                <w:sz w:val="21"/>
                <w:szCs w:val="21"/>
              </w:rPr>
            </w:pPr>
            <w:r>
              <w:rPr>
                <w:rFonts w:hint="eastAsia" w:ascii="宋体" w:hAnsi="宋体" w:eastAsia="宋体" w:cs="宋体"/>
                <w:spacing w:val="-6"/>
                <w:sz w:val="21"/>
                <w:szCs w:val="21"/>
              </w:rPr>
              <w:t>大气</w:t>
            </w:r>
          </w:p>
        </w:tc>
        <w:tc>
          <w:tcPr>
            <w:tcW w:w="1900" w:type="dxa"/>
            <w:vAlign w:val="top"/>
          </w:tcPr>
          <w:p>
            <w:pPr>
              <w:spacing w:before="126" w:line="180" w:lineRule="auto"/>
              <w:ind w:firstLine="393"/>
              <w:rPr>
                <w:rFonts w:hint="eastAsia" w:ascii="宋体" w:hAnsi="宋体" w:eastAsia="宋体" w:cs="宋体"/>
                <w:sz w:val="21"/>
                <w:szCs w:val="21"/>
              </w:rPr>
            </w:pPr>
            <w:r>
              <w:rPr>
                <w:rFonts w:hint="eastAsia" w:ascii="宋体" w:hAnsi="宋体" w:eastAsia="宋体" w:cs="宋体"/>
                <w:spacing w:val="-3"/>
                <w:sz w:val="21"/>
                <w:szCs w:val="21"/>
              </w:rPr>
              <w:t>13640170157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 w:hRule="atLeast"/>
        </w:trPr>
        <w:tc>
          <w:tcPr>
            <w:tcW w:w="472" w:type="dxa"/>
            <w:vAlign w:val="top"/>
          </w:tcPr>
          <w:p>
            <w:pPr>
              <w:spacing w:before="130" w:line="180" w:lineRule="auto"/>
              <w:ind w:firstLine="188"/>
              <w:rPr>
                <w:rFonts w:hint="eastAsia" w:ascii="宋体" w:hAnsi="宋体" w:eastAsia="宋体" w:cs="宋体"/>
                <w:sz w:val="21"/>
                <w:szCs w:val="21"/>
              </w:rPr>
            </w:pPr>
            <w:r>
              <w:rPr>
                <w:rFonts w:hint="eastAsia" w:ascii="宋体" w:hAnsi="宋体" w:eastAsia="宋体" w:cs="宋体"/>
                <w:sz w:val="21"/>
                <w:szCs w:val="21"/>
              </w:rPr>
              <w:t>8</w:t>
            </w:r>
          </w:p>
        </w:tc>
        <w:tc>
          <w:tcPr>
            <w:tcW w:w="1535" w:type="dxa"/>
            <w:vAlign w:val="top"/>
          </w:tcPr>
          <w:p>
            <w:pPr>
              <w:spacing w:before="96" w:line="184" w:lineRule="auto"/>
              <w:ind w:firstLine="391"/>
              <w:rPr>
                <w:rFonts w:hint="eastAsia" w:ascii="宋体" w:hAnsi="宋体" w:eastAsia="宋体" w:cs="宋体"/>
                <w:sz w:val="21"/>
                <w:szCs w:val="21"/>
              </w:rPr>
            </w:pPr>
            <w:r>
              <w:rPr>
                <w:rFonts w:hint="eastAsia" w:ascii="宋体" w:hAnsi="宋体" w:eastAsia="宋体" w:cs="宋体"/>
                <w:spacing w:val="-2"/>
                <w:sz w:val="21"/>
                <w:szCs w:val="21"/>
              </w:rPr>
              <w:t>将军屯村</w:t>
            </w:r>
          </w:p>
        </w:tc>
        <w:tc>
          <w:tcPr>
            <w:tcW w:w="927" w:type="dxa"/>
            <w:vAlign w:val="top"/>
          </w:tcPr>
          <w:p>
            <w:pPr>
              <w:spacing w:before="96" w:line="184" w:lineRule="auto"/>
              <w:ind w:firstLine="167"/>
              <w:rPr>
                <w:rFonts w:hint="eastAsia" w:ascii="宋体" w:hAnsi="宋体" w:eastAsia="宋体" w:cs="宋体"/>
                <w:sz w:val="21"/>
                <w:szCs w:val="21"/>
              </w:rPr>
            </w:pPr>
            <w:r>
              <w:rPr>
                <w:rFonts w:hint="eastAsia" w:ascii="宋体" w:hAnsi="宋体" w:eastAsia="宋体" w:cs="宋体"/>
                <w:spacing w:val="-8"/>
                <w:sz w:val="21"/>
                <w:szCs w:val="21"/>
              </w:rPr>
              <w:t>西南</w:t>
            </w:r>
          </w:p>
        </w:tc>
        <w:tc>
          <w:tcPr>
            <w:tcW w:w="907" w:type="dxa"/>
            <w:vAlign w:val="top"/>
          </w:tcPr>
          <w:p>
            <w:pPr>
              <w:spacing w:before="130" w:line="180" w:lineRule="auto"/>
              <w:ind w:firstLine="305"/>
              <w:rPr>
                <w:rFonts w:hint="eastAsia" w:ascii="宋体" w:hAnsi="宋体" w:eastAsia="宋体" w:cs="宋体"/>
                <w:sz w:val="21"/>
                <w:szCs w:val="21"/>
              </w:rPr>
            </w:pPr>
            <w:r>
              <w:rPr>
                <w:rFonts w:hint="eastAsia" w:ascii="宋体" w:hAnsi="宋体" w:eastAsia="宋体" w:cs="宋体"/>
                <w:spacing w:val="-3"/>
                <w:sz w:val="21"/>
                <w:szCs w:val="21"/>
              </w:rPr>
              <w:t>2320</w:t>
            </w:r>
          </w:p>
        </w:tc>
        <w:tc>
          <w:tcPr>
            <w:tcW w:w="780" w:type="dxa"/>
            <w:vAlign w:val="top"/>
          </w:tcPr>
          <w:p>
            <w:pPr>
              <w:spacing w:before="96" w:line="184" w:lineRule="auto"/>
              <w:ind w:firstLine="188"/>
              <w:rPr>
                <w:rFonts w:hint="eastAsia" w:ascii="宋体" w:hAnsi="宋体" w:eastAsia="宋体" w:cs="宋体"/>
                <w:sz w:val="21"/>
                <w:szCs w:val="21"/>
              </w:rPr>
            </w:pPr>
            <w:r>
              <w:rPr>
                <w:rFonts w:hint="eastAsia" w:ascii="宋体" w:hAnsi="宋体" w:eastAsia="宋体" w:cs="宋体"/>
                <w:spacing w:val="-6"/>
                <w:sz w:val="21"/>
                <w:szCs w:val="21"/>
              </w:rPr>
              <w:t>居民</w:t>
            </w:r>
          </w:p>
        </w:tc>
        <w:tc>
          <w:tcPr>
            <w:tcW w:w="1024" w:type="dxa"/>
            <w:vAlign w:val="top"/>
          </w:tcPr>
          <w:p>
            <w:pPr>
              <w:spacing w:before="128" w:line="180" w:lineRule="auto"/>
              <w:ind w:firstLine="375"/>
              <w:rPr>
                <w:rFonts w:hint="eastAsia" w:ascii="宋体" w:hAnsi="宋体" w:eastAsia="宋体" w:cs="宋体"/>
                <w:sz w:val="21"/>
                <w:szCs w:val="21"/>
              </w:rPr>
            </w:pPr>
            <w:r>
              <w:rPr>
                <w:rFonts w:hint="eastAsia" w:ascii="宋体" w:hAnsi="宋体" w:eastAsia="宋体" w:cs="宋体"/>
                <w:spacing w:val="-8"/>
                <w:sz w:val="21"/>
                <w:szCs w:val="21"/>
              </w:rPr>
              <w:t>120</w:t>
            </w:r>
          </w:p>
        </w:tc>
        <w:tc>
          <w:tcPr>
            <w:tcW w:w="981" w:type="dxa"/>
            <w:vAlign w:val="top"/>
          </w:tcPr>
          <w:p>
            <w:pPr>
              <w:spacing w:before="96" w:line="184" w:lineRule="auto"/>
              <w:ind w:firstLine="291"/>
              <w:rPr>
                <w:rFonts w:hint="eastAsia" w:ascii="宋体" w:hAnsi="宋体" w:eastAsia="宋体" w:cs="宋体"/>
                <w:sz w:val="21"/>
                <w:szCs w:val="21"/>
              </w:rPr>
            </w:pPr>
            <w:r>
              <w:rPr>
                <w:rFonts w:hint="eastAsia" w:ascii="宋体" w:hAnsi="宋体" w:eastAsia="宋体" w:cs="宋体"/>
                <w:spacing w:val="-6"/>
                <w:sz w:val="21"/>
                <w:szCs w:val="21"/>
              </w:rPr>
              <w:t>大气</w:t>
            </w:r>
          </w:p>
        </w:tc>
        <w:tc>
          <w:tcPr>
            <w:tcW w:w="1900" w:type="dxa"/>
            <w:vAlign w:val="top"/>
          </w:tcPr>
          <w:p>
            <w:pPr>
              <w:spacing w:before="128" w:line="180" w:lineRule="auto"/>
              <w:ind w:firstLine="393"/>
              <w:rPr>
                <w:rFonts w:hint="eastAsia" w:ascii="宋体" w:hAnsi="宋体" w:eastAsia="宋体" w:cs="宋体"/>
                <w:sz w:val="21"/>
                <w:szCs w:val="21"/>
              </w:rPr>
            </w:pPr>
            <w:r>
              <w:rPr>
                <w:rFonts w:hint="eastAsia" w:ascii="宋体" w:hAnsi="宋体" w:eastAsia="宋体" w:cs="宋体"/>
                <w:spacing w:val="-3"/>
                <w:sz w:val="21"/>
                <w:szCs w:val="21"/>
              </w:rPr>
              <w:t>13450313472</w:t>
            </w:r>
          </w:p>
        </w:tc>
      </w:tr>
    </w:tbl>
    <w:p>
      <w:pPr>
        <w:spacing w:before="240" w:beforeLines="100" w:line="360" w:lineRule="auto"/>
        <w:outlineLvl w:val="1"/>
        <w:rPr>
          <w:rFonts w:eastAsia="仿宋_GB2312"/>
          <w:b/>
          <w:sz w:val="24"/>
        </w:rPr>
      </w:pPr>
      <w:bookmarkStart w:id="174" w:name="_Toc7524"/>
      <w:r>
        <w:rPr>
          <w:rFonts w:eastAsia="仿宋_GB2312"/>
          <w:b/>
          <w:sz w:val="24"/>
        </w:rPr>
        <w:t>二、应急物质装备清单</w:t>
      </w:r>
      <w:bookmarkEnd w:id="174"/>
    </w:p>
    <w:p>
      <w:pPr>
        <w:spacing w:before="120" w:beforeLines="50" w:line="360" w:lineRule="auto"/>
        <w:jc w:val="center"/>
        <w:rPr>
          <w:rFonts w:eastAsia="仿宋_GB2312"/>
          <w:sz w:val="24"/>
        </w:rPr>
      </w:pPr>
      <w:r>
        <w:rPr>
          <w:rFonts w:eastAsia="仿宋_GB2312"/>
          <w:sz w:val="24"/>
        </w:rPr>
        <w:t>附表</w:t>
      </w:r>
      <w:r>
        <w:rPr>
          <w:rFonts w:hint="eastAsia" w:eastAsia="仿宋_GB2312"/>
          <w:sz w:val="24"/>
          <w:lang w:val="en-US" w:eastAsia="zh-CN"/>
        </w:rPr>
        <w:t>4</w:t>
      </w:r>
      <w:r>
        <w:rPr>
          <w:rFonts w:eastAsia="仿宋_GB2312"/>
          <w:sz w:val="24"/>
        </w:rPr>
        <w:t xml:space="preserve">  主要应急物质和装备</w:t>
      </w:r>
    </w:p>
    <w:tbl>
      <w:tblPr>
        <w:tblStyle w:val="32"/>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92"/>
        <w:gridCol w:w="1762"/>
        <w:gridCol w:w="1107"/>
        <w:gridCol w:w="750"/>
        <w:gridCol w:w="1149"/>
        <w:gridCol w:w="1350"/>
        <w:gridCol w:w="150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类别</w:t>
            </w: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器材名称</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用途</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数量</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设置地点</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责任人</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192" w:beforeLines="5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联系电话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52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灭火器</w:t>
            </w: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ABC 干粉灭火器</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灭火用</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135</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各车间</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陈爱明/徐良锋/胡春添</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13726552941/13030127283/13827967298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523"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防泄漏设备</w:t>
            </w: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消防铁锹</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铲消</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各车间</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陈爱明/徐良锋/胡春添</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13726552941/13030127283/13827967298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消防桶</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装沙装水</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各车间/仓库</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丘秀金</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13415651525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消防沙</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吸附清理泄漏</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烧成车间</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胡春添</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13827967298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碎布</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清理泄漏</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若干</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五金仓库</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丘秀金</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13415651525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吸油毡</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吸附清理油污</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危废仓库</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丘秀金</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13415651525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523"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消防硬件设备</w:t>
            </w: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室内消防栓</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消防灭火用</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中控楼/煤磨系统/包 装车间/余热发电</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李泽斌/胡春添/ 徐良锋/陈爱明/张培帮</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13420598993/13726552941/13030127283/13827967298/13827952003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消防水池</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储水消防备用</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原料车间</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胡春添</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13827967298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应急照明、出口灯</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停电用</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56</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配电室/中控楼</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李洪声</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13435045537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危险应急设施</w:t>
            </w: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紧急洗眼器</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液体溅入眼睛</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氨水罐房外</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李泽斌</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13420598993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可燃气体浓度报警器</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易燃场所监测</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五金仓</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丘秀金</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13415651525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橡胶耐酸碱服</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酸碱操作抢修</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烧成车间</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徐良锋</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13030127283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橡胶耐酸碱手套</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酸碱操作抢修</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50</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五金仓</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丘秀金</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13415651525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手提式防爆照明灯</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抢险救人</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cs="宋体"/>
                <w:i w:val="0"/>
                <w:iCs w:val="0"/>
                <w:color w:val="000000"/>
                <w:kern w:val="0"/>
                <w:sz w:val="21"/>
                <w:szCs w:val="21"/>
                <w:u w:val="none"/>
                <w:lang w:val="en-US" w:eastAsia="zh-CN" w:bidi="ar"/>
              </w:rPr>
              <w:t>安全环保部</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李泽斌</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13420598993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正压式呼吸器</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抢险救人</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氨水罐房外/消防水泵房</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李泽斌</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13420598993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52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疏散设施</w:t>
            </w: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对讲机</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疏散联系用</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各车间</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胡春添/陈爱明/ 徐良锋/张培帮/李洪声 </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13726552941/13030127283/13827967298/13827952003/13435045537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急救设施设备</w:t>
            </w: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急救药箱</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救治伤员用</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cs="宋体"/>
                <w:i w:val="0"/>
                <w:iCs w:val="0"/>
                <w:color w:val="000000"/>
                <w:kern w:val="0"/>
                <w:sz w:val="21"/>
                <w:szCs w:val="21"/>
                <w:u w:val="none"/>
                <w:lang w:val="en-US" w:eastAsia="zh-CN" w:bidi="ar"/>
              </w:rPr>
              <w:t>安全环保部</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李泽斌</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13420598993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废水抢险设备</w:t>
            </w: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应急潜水泵</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应急抽水用</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五金仓</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丘秀金</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13415651525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救生绳</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拉人用</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五金仓</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丘秀金</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13415651525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麻绳</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拉人用</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五金仓</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丘秀金</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13415651525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帆布</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覆盖污泥用</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五金仓</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丘秀金</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13415651525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大风扇</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强制通风</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五金仓</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丘秀金</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13415651525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便携式鼓风机</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强制通风</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五金仓</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丘秀金</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13415651525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23"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1"/>
                <w:szCs w:val="21"/>
                <w:u w:val="none"/>
              </w:rPr>
            </w:pPr>
          </w:p>
        </w:tc>
        <w:tc>
          <w:tcPr>
            <w:tcW w:w="103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洒水车</w:t>
            </w:r>
          </w:p>
        </w:tc>
        <w:tc>
          <w:tcPr>
            <w:tcW w:w="6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储存污水/冲洗清理现场</w:t>
            </w:r>
          </w:p>
        </w:tc>
        <w:tc>
          <w:tcPr>
            <w:tcW w:w="43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674"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行政办公楼</w:t>
            </w:r>
          </w:p>
        </w:tc>
        <w:tc>
          <w:tcPr>
            <w:tcW w:w="79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胡新志</w:t>
            </w:r>
          </w:p>
        </w:tc>
        <w:tc>
          <w:tcPr>
            <w:tcW w:w="88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18933726808</w:t>
            </w:r>
          </w:p>
        </w:tc>
      </w:tr>
    </w:tbl>
    <w:p>
      <w:pPr>
        <w:pStyle w:val="2"/>
        <w:jc w:val="center"/>
        <w:rPr>
          <w:rFonts w:eastAsia="仿宋_GB2312"/>
          <w:sz w:val="24"/>
        </w:rPr>
      </w:pPr>
    </w:p>
    <w:p>
      <w:pPr>
        <w:pStyle w:val="2"/>
        <w:rPr>
          <w:rFonts w:eastAsia="仿宋_GB2312"/>
          <w:sz w:val="24"/>
        </w:rPr>
      </w:pPr>
    </w:p>
    <w:p>
      <w:pPr>
        <w:pStyle w:val="2"/>
        <w:rPr>
          <w:rFonts w:eastAsia="仿宋_GB2312"/>
          <w:sz w:val="24"/>
        </w:rPr>
      </w:pPr>
    </w:p>
    <w:p>
      <w:pPr>
        <w:pStyle w:val="2"/>
      </w:pPr>
    </w:p>
    <w:p>
      <w:pPr>
        <w:spacing w:before="240" w:beforeLines="100" w:line="360" w:lineRule="auto"/>
        <w:outlineLvl w:val="1"/>
        <w:rPr>
          <w:rFonts w:eastAsia="仿宋_GB2312"/>
          <w:b/>
          <w:sz w:val="24"/>
        </w:rPr>
        <w:sectPr>
          <w:pgSz w:w="11906" w:h="16838"/>
          <w:pgMar w:top="1440" w:right="1800" w:bottom="1440" w:left="1800" w:header="851" w:footer="992" w:gutter="0"/>
          <w:pgNumType w:fmt="decimal"/>
          <w:cols w:space="720" w:num="1"/>
          <w:docGrid w:linePitch="312" w:charSpace="0"/>
        </w:sectPr>
      </w:pP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textAlignment w:val="auto"/>
        <w:outlineLvl w:val="1"/>
        <w:rPr>
          <w:rFonts w:eastAsia="仿宋_GB2312"/>
          <w:b/>
          <w:sz w:val="24"/>
        </w:rPr>
      </w:pPr>
      <w:bookmarkStart w:id="175" w:name="_Toc15423"/>
      <w:r>
        <w:rPr>
          <w:rFonts w:eastAsia="仿宋_GB2312"/>
          <w:b/>
          <w:sz w:val="24"/>
        </w:rPr>
        <w:t>三、应急预案主要附图</w:t>
      </w:r>
      <w:bookmarkEnd w:id="175"/>
    </w:p>
    <w:p>
      <w:pPr>
        <w:keepNext w:val="0"/>
        <w:keepLines w:val="0"/>
        <w:pageBreakBefore w:val="0"/>
        <w:widowControl w:val="0"/>
        <w:kinsoku/>
        <w:wordWrap/>
        <w:overflowPunct/>
        <w:topLinePunct w:val="0"/>
        <w:autoSpaceDE/>
        <w:autoSpaceDN/>
        <w:bidi w:val="0"/>
        <w:adjustRightInd w:val="0"/>
        <w:snapToGrid w:val="0"/>
        <w:spacing w:before="157" w:beforeLines="50" w:line="240" w:lineRule="auto"/>
        <w:textAlignment w:val="auto"/>
        <w:outlineLvl w:val="2"/>
        <w:rPr>
          <w:rFonts w:eastAsia="仿宋_GB2312"/>
          <w:b/>
          <w:kern w:val="0"/>
          <w:sz w:val="24"/>
          <w:lang w:val="zh-CN"/>
        </w:rPr>
      </w:pPr>
      <w:bookmarkStart w:id="176" w:name="_Toc24349"/>
      <w:r>
        <w:rPr>
          <w:rFonts w:hint="eastAsia" w:eastAsia="仿宋_GB2312"/>
          <w:b/>
          <w:kern w:val="0"/>
          <w:sz w:val="24"/>
          <w:lang w:val="zh-CN"/>
        </w:rPr>
        <w:t>附图</w:t>
      </w:r>
      <w:r>
        <w:rPr>
          <w:rFonts w:eastAsia="仿宋_GB2312"/>
          <w:b/>
          <w:kern w:val="0"/>
          <w:sz w:val="24"/>
          <w:lang w:val="zh-CN"/>
        </w:rPr>
        <w:t>1  公司平面布置图</w:t>
      </w:r>
      <w:bookmarkEnd w:id="176"/>
    </w:p>
    <w:p>
      <w:pPr>
        <w:spacing w:before="120" w:beforeLines="50" w:line="360" w:lineRule="auto"/>
        <w:jc w:val="center"/>
      </w:pPr>
      <w:r>
        <w:drawing>
          <wp:inline distT="0" distB="0" distL="114300" distR="114300">
            <wp:extent cx="8402320" cy="4606925"/>
            <wp:effectExtent l="0" t="0" r="10160" b="10795"/>
            <wp:docPr id="1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
                    <pic:cNvPicPr>
                      <a:picLocks noChangeAspect="1"/>
                    </pic:cNvPicPr>
                  </pic:nvPicPr>
                  <pic:blipFill>
                    <a:blip r:embed="rId19"/>
                    <a:stretch>
                      <a:fillRect/>
                    </a:stretch>
                  </pic:blipFill>
                  <pic:spPr>
                    <a:xfrm>
                      <a:off x="0" y="0"/>
                      <a:ext cx="8402320" cy="4606925"/>
                    </a:xfrm>
                    <a:prstGeom prst="rect">
                      <a:avLst/>
                    </a:prstGeom>
                    <a:noFill/>
                    <a:ln>
                      <a:noFill/>
                    </a:ln>
                  </pic:spPr>
                </pic:pic>
              </a:graphicData>
            </a:graphic>
          </wp:inline>
        </w:drawing>
      </w:r>
    </w:p>
    <w:p>
      <w:pPr>
        <w:pStyle w:val="2"/>
      </w:pPr>
    </w:p>
    <w:p>
      <w:pPr>
        <w:pStyle w:val="2"/>
        <w:rPr>
          <w:rFonts w:hint="eastAsia"/>
          <w:lang w:eastAsia="zh-CN"/>
        </w:rPr>
      </w:pPr>
    </w:p>
    <w:p>
      <w:pPr>
        <w:outlineLvl w:val="2"/>
        <w:rPr>
          <w:rFonts w:eastAsia="仿宋_GB2312"/>
          <w:b/>
          <w:kern w:val="0"/>
          <w:sz w:val="24"/>
          <w:lang w:val="zh-CN"/>
        </w:rPr>
      </w:pPr>
      <w:bookmarkStart w:id="177" w:name="_Toc23076"/>
      <w:r>
        <w:rPr>
          <w:rFonts w:hint="eastAsia" w:eastAsia="仿宋_GB2312"/>
          <w:b/>
          <w:kern w:val="0"/>
          <w:sz w:val="24"/>
          <w:lang w:val="zh-CN"/>
        </w:rPr>
        <w:t>附图</w:t>
      </w:r>
      <w:r>
        <w:rPr>
          <w:rFonts w:eastAsia="仿宋_GB2312"/>
          <w:b/>
          <w:kern w:val="0"/>
          <w:sz w:val="24"/>
          <w:lang w:val="zh-CN"/>
        </w:rPr>
        <w:t>2  公司</w:t>
      </w:r>
      <w:r>
        <w:rPr>
          <w:rFonts w:hint="eastAsia" w:eastAsia="仿宋_GB2312"/>
          <w:b/>
          <w:kern w:val="0"/>
          <w:sz w:val="24"/>
          <w:lang w:val="en-US" w:eastAsia="zh-CN"/>
        </w:rPr>
        <w:t>雨污</w:t>
      </w:r>
      <w:r>
        <w:rPr>
          <w:rFonts w:eastAsia="仿宋_GB2312"/>
          <w:b/>
          <w:kern w:val="0"/>
          <w:sz w:val="24"/>
          <w:lang w:val="zh-CN"/>
        </w:rPr>
        <w:t>管网分布及流向图</w:t>
      </w:r>
      <w:bookmarkEnd w:id="177"/>
    </w:p>
    <w:p>
      <w:pPr>
        <w:spacing w:before="120" w:beforeLines="50" w:line="360" w:lineRule="auto"/>
        <w:jc w:val="center"/>
      </w:pPr>
      <w:r>
        <w:drawing>
          <wp:inline distT="0" distB="0" distL="114300" distR="114300">
            <wp:extent cx="8400415" cy="4617720"/>
            <wp:effectExtent l="0" t="0" r="12065"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32"/>
                    <a:stretch>
                      <a:fillRect/>
                    </a:stretch>
                  </pic:blipFill>
                  <pic:spPr>
                    <a:xfrm>
                      <a:off x="0" y="0"/>
                      <a:ext cx="8400415" cy="4617720"/>
                    </a:xfrm>
                    <a:prstGeom prst="rect">
                      <a:avLst/>
                    </a:prstGeom>
                    <a:noFill/>
                    <a:ln>
                      <a:noFill/>
                    </a:ln>
                  </pic:spPr>
                </pic:pic>
              </a:graphicData>
            </a:graphic>
          </wp:inline>
        </w:drawing>
      </w:r>
    </w:p>
    <w:p>
      <w:pPr>
        <w:pStyle w:val="2"/>
      </w:pPr>
    </w:p>
    <w:p>
      <w:pPr>
        <w:pStyle w:val="2"/>
      </w:pPr>
    </w:p>
    <w:p>
      <w:pPr>
        <w:pStyle w:val="2"/>
        <w:rPr>
          <w:rFonts w:hint="eastAsia"/>
          <w:lang w:eastAsia="zh-CN"/>
        </w:rPr>
      </w:pPr>
    </w:p>
    <w:p>
      <w:pPr>
        <w:outlineLvl w:val="2"/>
        <w:rPr>
          <w:rFonts w:eastAsia="仿宋_GB2312"/>
          <w:b/>
          <w:kern w:val="0"/>
          <w:sz w:val="24"/>
          <w:lang w:val="zh-CN"/>
        </w:rPr>
      </w:pPr>
      <w:bookmarkStart w:id="178" w:name="_Toc22621"/>
      <w:r>
        <w:rPr>
          <w:rFonts w:hint="eastAsia" w:eastAsia="仿宋_GB2312"/>
          <w:b/>
          <w:kern w:val="0"/>
          <w:sz w:val="24"/>
          <w:lang w:val="zh-CN"/>
        </w:rPr>
        <w:t>附图</w:t>
      </w:r>
      <w:r>
        <w:rPr>
          <w:rFonts w:hint="eastAsia" w:eastAsia="仿宋_GB2312"/>
          <w:b/>
          <w:kern w:val="0"/>
          <w:sz w:val="24"/>
          <w:lang w:val="en-US" w:eastAsia="zh-CN"/>
        </w:rPr>
        <w:t>3</w:t>
      </w:r>
      <w:r>
        <w:rPr>
          <w:rFonts w:eastAsia="仿宋_GB2312"/>
          <w:b/>
          <w:kern w:val="0"/>
          <w:sz w:val="24"/>
          <w:lang w:val="zh-CN"/>
        </w:rPr>
        <w:t xml:space="preserve">  公司应急疏散路线图</w:t>
      </w:r>
      <w:bookmarkEnd w:id="178"/>
    </w:p>
    <w:p>
      <w:pPr>
        <w:spacing w:line="360" w:lineRule="auto"/>
        <w:jc w:val="center"/>
      </w:pPr>
      <w:r>
        <w:drawing>
          <wp:inline distT="0" distB="0" distL="0" distR="0">
            <wp:extent cx="8536940" cy="5268595"/>
            <wp:effectExtent l="0" t="0" r="12700" b="4445"/>
            <wp:docPr id="83" name="IM 83"/>
            <wp:cNvGraphicFramePr/>
            <a:graphic xmlns:a="http://schemas.openxmlformats.org/drawingml/2006/main">
              <a:graphicData uri="http://schemas.openxmlformats.org/drawingml/2006/picture">
                <pic:pic xmlns:pic="http://schemas.openxmlformats.org/drawingml/2006/picture">
                  <pic:nvPicPr>
                    <pic:cNvPr id="83" name="IM 83"/>
                    <pic:cNvPicPr/>
                  </pic:nvPicPr>
                  <pic:blipFill>
                    <a:blip r:embed="rId33"/>
                    <a:stretch>
                      <a:fillRect/>
                    </a:stretch>
                  </pic:blipFill>
                  <pic:spPr>
                    <a:xfrm>
                      <a:off x="0" y="0"/>
                      <a:ext cx="8536940" cy="5268595"/>
                    </a:xfrm>
                    <a:prstGeom prst="rect">
                      <a:avLst/>
                    </a:prstGeom>
                  </pic:spPr>
                </pic:pic>
              </a:graphicData>
            </a:graphic>
          </wp:inline>
        </w:drawing>
      </w:r>
    </w:p>
    <w:p>
      <w:pPr>
        <w:outlineLvl w:val="2"/>
        <w:rPr>
          <w:rFonts w:eastAsia="仿宋_GB2312"/>
          <w:b/>
          <w:kern w:val="0"/>
          <w:sz w:val="24"/>
          <w:lang w:val="zh-CN"/>
        </w:rPr>
      </w:pPr>
      <w:bookmarkStart w:id="179" w:name="_Toc313"/>
      <w:r>
        <w:rPr>
          <w:rFonts w:hint="eastAsia" w:eastAsia="仿宋_GB2312"/>
          <w:b/>
          <w:kern w:val="0"/>
          <w:sz w:val="24"/>
          <w:lang w:val="zh-CN"/>
        </w:rPr>
        <w:t>附图</w:t>
      </w:r>
      <w:r>
        <w:rPr>
          <w:rFonts w:hint="eastAsia" w:eastAsia="仿宋_GB2312"/>
          <w:b/>
          <w:kern w:val="0"/>
          <w:sz w:val="24"/>
          <w:lang w:val="en-US" w:eastAsia="zh-CN"/>
        </w:rPr>
        <w:t>4</w:t>
      </w:r>
      <w:r>
        <w:rPr>
          <w:rFonts w:eastAsia="仿宋_GB2312"/>
          <w:b/>
          <w:kern w:val="0"/>
          <w:sz w:val="24"/>
          <w:lang w:val="zh-CN"/>
        </w:rPr>
        <w:t xml:space="preserve">  公司重点防护区域图</w:t>
      </w:r>
      <w:bookmarkEnd w:id="179"/>
    </w:p>
    <w:p>
      <w:pPr>
        <w:spacing w:line="360" w:lineRule="auto"/>
        <w:jc w:val="center"/>
      </w:pPr>
      <w:r>
        <w:drawing>
          <wp:inline distT="0" distB="0" distL="0" distR="0">
            <wp:extent cx="8642350" cy="5239385"/>
            <wp:effectExtent l="0" t="0" r="13970" b="3175"/>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34"/>
                    <a:stretch>
                      <a:fillRect/>
                    </a:stretch>
                  </pic:blipFill>
                  <pic:spPr>
                    <a:xfrm>
                      <a:off x="0" y="0"/>
                      <a:ext cx="8642350" cy="5239511"/>
                    </a:xfrm>
                    <a:prstGeom prst="rect">
                      <a:avLst/>
                    </a:prstGeom>
                  </pic:spPr>
                </pic:pic>
              </a:graphicData>
            </a:graphic>
          </wp:inline>
        </w:drawing>
      </w:r>
    </w:p>
    <w:p>
      <w:pPr>
        <w:pStyle w:val="2"/>
        <w:rPr>
          <w:rFonts w:hint="eastAsia"/>
          <w:lang w:eastAsia="zh-CN"/>
        </w:rPr>
      </w:pPr>
    </w:p>
    <w:p>
      <w:pPr>
        <w:outlineLvl w:val="2"/>
        <w:rPr>
          <w:rFonts w:eastAsia="仿宋_GB2312"/>
          <w:b/>
          <w:kern w:val="0"/>
          <w:sz w:val="24"/>
          <w:lang w:val="zh-CN"/>
        </w:rPr>
      </w:pPr>
      <w:bookmarkStart w:id="180" w:name="_Toc1983"/>
      <w:r>
        <w:rPr>
          <w:rFonts w:hint="eastAsia" w:eastAsia="仿宋_GB2312"/>
          <w:b/>
          <w:kern w:val="0"/>
          <w:sz w:val="24"/>
          <w:lang w:val="zh-CN"/>
        </w:rPr>
        <w:t>附图</w:t>
      </w:r>
      <w:r>
        <w:rPr>
          <w:rFonts w:hint="eastAsia" w:eastAsia="仿宋_GB2312"/>
          <w:b/>
          <w:kern w:val="0"/>
          <w:sz w:val="24"/>
          <w:lang w:val="en-US" w:eastAsia="zh-CN"/>
        </w:rPr>
        <w:t>5</w:t>
      </w:r>
      <w:r>
        <w:rPr>
          <w:rFonts w:eastAsia="仿宋_GB2312"/>
          <w:b/>
          <w:kern w:val="0"/>
          <w:sz w:val="24"/>
          <w:lang w:val="zh-CN"/>
        </w:rPr>
        <w:t xml:space="preserve">  公司应急物资分布及排气筒位置分布图</w:t>
      </w:r>
      <w:bookmarkEnd w:id="180"/>
    </w:p>
    <w:p>
      <w:pPr>
        <w:tabs>
          <w:tab w:val="left" w:pos="2230"/>
        </w:tabs>
        <w:bidi w:val="0"/>
        <w:jc w:val="left"/>
        <w:rPr>
          <w:lang w:val="zh-CN" w:eastAsia="zh-CN"/>
        </w:rPr>
        <w:sectPr>
          <w:pgSz w:w="16838" w:h="11906" w:orient="landscape"/>
          <w:pgMar w:top="1440" w:right="1800" w:bottom="1440" w:left="1800" w:header="851" w:footer="992" w:gutter="0"/>
          <w:pgNumType w:fmt="decimal"/>
          <w:cols w:space="720" w:num="1"/>
          <w:docGrid w:linePitch="312" w:charSpace="0"/>
        </w:sectPr>
      </w:pPr>
      <w:r>
        <w:rPr>
          <w:rFonts w:hint="eastAsia"/>
          <w:lang w:val="zh-CN" w:eastAsia="zh-CN"/>
        </w:rPr>
        <w:tab/>
      </w:r>
      <w:r>
        <w:drawing>
          <wp:inline distT="0" distB="0" distL="114300" distR="114300">
            <wp:extent cx="8397875" cy="4980305"/>
            <wp:effectExtent l="0" t="0" r="14605" b="317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35"/>
                    <a:stretch>
                      <a:fillRect/>
                    </a:stretch>
                  </pic:blipFill>
                  <pic:spPr>
                    <a:xfrm>
                      <a:off x="0" y="0"/>
                      <a:ext cx="8397875" cy="4980305"/>
                    </a:xfrm>
                    <a:prstGeom prst="rect">
                      <a:avLst/>
                    </a:prstGeom>
                    <a:noFill/>
                    <a:ln>
                      <a:noFill/>
                    </a:ln>
                  </pic:spPr>
                </pic:pic>
              </a:graphicData>
            </a:graphic>
          </wp:inline>
        </w:drawing>
      </w:r>
    </w:p>
    <w:p>
      <w:pPr>
        <w:spacing w:line="360" w:lineRule="auto"/>
        <w:outlineLvl w:val="2"/>
        <w:rPr>
          <w:rFonts w:eastAsia="仿宋_GB2312"/>
          <w:b/>
          <w:kern w:val="0"/>
          <w:sz w:val="24"/>
          <w:lang w:val="zh-CN"/>
        </w:rPr>
      </w:pPr>
      <w:bookmarkStart w:id="181" w:name="_Toc28110"/>
      <w:r>
        <w:rPr>
          <w:rFonts w:hint="eastAsia" w:eastAsia="仿宋_GB2312"/>
          <w:b/>
          <w:kern w:val="0"/>
          <w:sz w:val="24"/>
          <w:lang w:val="zh-CN"/>
        </w:rPr>
        <w:t>附图</w:t>
      </w:r>
      <w:r>
        <w:rPr>
          <w:rFonts w:hint="eastAsia" w:eastAsia="仿宋_GB2312"/>
          <w:b/>
          <w:kern w:val="0"/>
          <w:sz w:val="24"/>
          <w:lang w:val="en-US" w:eastAsia="zh-CN"/>
        </w:rPr>
        <w:t>6</w:t>
      </w:r>
      <w:r>
        <w:rPr>
          <w:rFonts w:eastAsia="仿宋_GB2312"/>
          <w:b/>
          <w:kern w:val="0"/>
          <w:sz w:val="24"/>
          <w:lang w:val="zh-CN"/>
        </w:rPr>
        <w:t xml:space="preserve">  公司四至图</w:t>
      </w:r>
      <w:bookmarkEnd w:id="181"/>
    </w:p>
    <w:p>
      <w:pPr>
        <w:spacing w:line="360" w:lineRule="auto"/>
        <w:jc w:val="center"/>
        <w:rPr>
          <w:rFonts w:eastAsia="仿宋_GB2312"/>
          <w:sz w:val="24"/>
        </w:rPr>
      </w:pPr>
      <w:r>
        <w:drawing>
          <wp:inline distT="0" distB="0" distL="114300" distR="114300">
            <wp:extent cx="5275580" cy="3345815"/>
            <wp:effectExtent l="0" t="0" r="12700" b="698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8"/>
                    <a:stretch>
                      <a:fillRect/>
                    </a:stretch>
                  </pic:blipFill>
                  <pic:spPr>
                    <a:xfrm>
                      <a:off x="0" y="0"/>
                      <a:ext cx="5275580" cy="3345815"/>
                    </a:xfrm>
                    <a:prstGeom prst="rect">
                      <a:avLst/>
                    </a:prstGeom>
                    <a:noFill/>
                    <a:ln>
                      <a:noFill/>
                    </a:ln>
                  </pic:spPr>
                </pic:pic>
              </a:graphicData>
            </a:graphic>
          </wp:inline>
        </w:drawing>
      </w:r>
    </w:p>
    <w:p>
      <w:pPr>
        <w:spacing w:before="120" w:beforeLines="50" w:line="360" w:lineRule="auto"/>
        <w:outlineLvl w:val="2"/>
        <w:rPr>
          <w:rFonts w:eastAsia="仿宋_GB2312"/>
          <w:b/>
          <w:kern w:val="0"/>
          <w:sz w:val="24"/>
          <w:lang w:val="zh-CN"/>
        </w:rPr>
      </w:pPr>
      <w:bookmarkStart w:id="182" w:name="_Toc6128"/>
      <w:r>
        <w:rPr>
          <w:rFonts w:hint="eastAsia" w:eastAsia="仿宋_GB2312"/>
          <w:b/>
          <w:kern w:val="0"/>
          <w:sz w:val="24"/>
          <w:lang w:val="zh-CN"/>
        </w:rPr>
        <w:t>附图</w:t>
      </w:r>
      <w:r>
        <w:rPr>
          <w:rFonts w:hint="eastAsia" w:eastAsia="仿宋_GB2312"/>
          <w:b/>
          <w:kern w:val="0"/>
          <w:sz w:val="24"/>
          <w:lang w:val="en-US" w:eastAsia="zh-CN"/>
        </w:rPr>
        <w:t>7</w:t>
      </w:r>
      <w:r>
        <w:rPr>
          <w:rFonts w:eastAsia="仿宋_GB2312"/>
          <w:b/>
          <w:kern w:val="0"/>
          <w:sz w:val="24"/>
          <w:lang w:val="zh-CN"/>
        </w:rPr>
        <w:t xml:space="preserve">  公司周边水系图</w:t>
      </w:r>
      <w:bookmarkEnd w:id="182"/>
    </w:p>
    <w:p>
      <w:pPr>
        <w:spacing w:line="360" w:lineRule="auto"/>
        <w:jc w:val="center"/>
        <w:rPr>
          <w:rFonts w:eastAsia="仿宋_GB2312"/>
          <w:sz w:val="24"/>
        </w:rPr>
      </w:pPr>
      <w:r>
        <w:drawing>
          <wp:inline distT="0" distB="0" distL="114300" distR="114300">
            <wp:extent cx="5272405" cy="4394835"/>
            <wp:effectExtent l="0" t="0" r="635" b="9525"/>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27"/>
                    <a:stretch>
                      <a:fillRect/>
                    </a:stretch>
                  </pic:blipFill>
                  <pic:spPr>
                    <a:xfrm>
                      <a:off x="0" y="0"/>
                      <a:ext cx="5272405" cy="4394835"/>
                    </a:xfrm>
                    <a:prstGeom prst="rect">
                      <a:avLst/>
                    </a:prstGeom>
                    <a:noFill/>
                    <a:ln>
                      <a:noFill/>
                    </a:ln>
                  </pic:spPr>
                </pic:pic>
              </a:graphicData>
            </a:graphic>
          </wp:inline>
        </w:drawing>
      </w:r>
    </w:p>
    <w:p>
      <w:pPr>
        <w:spacing w:line="360" w:lineRule="auto"/>
        <w:jc w:val="center"/>
        <w:rPr>
          <w:rFonts w:eastAsia="仿宋_GB2312"/>
          <w:sz w:val="24"/>
        </w:rPr>
        <w:sectPr>
          <w:pgSz w:w="11906" w:h="16838"/>
          <w:pgMar w:top="1440" w:right="1800" w:bottom="1440" w:left="1800" w:header="851" w:footer="992" w:gutter="0"/>
          <w:pgNumType w:fmt="decimal"/>
          <w:cols w:space="720" w:num="1"/>
          <w:docGrid w:linePitch="312" w:charSpace="0"/>
        </w:sectPr>
      </w:pPr>
    </w:p>
    <w:p>
      <w:pPr>
        <w:spacing w:before="120" w:beforeLines="50" w:line="360" w:lineRule="auto"/>
        <w:outlineLvl w:val="1"/>
        <w:rPr>
          <w:rFonts w:eastAsia="仿宋_GB2312"/>
          <w:b/>
          <w:sz w:val="24"/>
        </w:rPr>
      </w:pPr>
      <w:bookmarkStart w:id="183" w:name="_Toc502566965"/>
      <w:bookmarkStart w:id="184" w:name="_Toc26894"/>
      <w:r>
        <w:rPr>
          <w:rFonts w:eastAsia="仿宋_GB2312"/>
          <w:b/>
          <w:sz w:val="24"/>
        </w:rPr>
        <w:t>四、</w:t>
      </w:r>
      <w:bookmarkEnd w:id="183"/>
      <w:r>
        <w:rPr>
          <w:rFonts w:hint="eastAsia" w:eastAsia="仿宋_GB2312"/>
          <w:b/>
          <w:sz w:val="24"/>
        </w:rPr>
        <w:t>环评批复</w:t>
      </w:r>
      <w:bookmarkEnd w:id="184"/>
    </w:p>
    <w:p>
      <w:pPr>
        <w:jc w:val="center"/>
        <w:rPr>
          <w:rFonts w:hint="eastAsia" w:eastAsia="仿宋_GB2312"/>
          <w:color w:val="000000"/>
          <w:sz w:val="24"/>
          <w:lang w:eastAsia="zh-CN"/>
        </w:rPr>
      </w:pPr>
      <w:r>
        <w:rPr>
          <w:rFonts w:hint="eastAsia" w:eastAsia="仿宋_GB2312"/>
          <w:color w:val="000000"/>
          <w:sz w:val="24"/>
          <w:lang w:eastAsia="zh-CN"/>
        </w:rPr>
        <w:drawing>
          <wp:inline distT="0" distB="0" distL="114300" distR="114300">
            <wp:extent cx="5273675" cy="7463790"/>
            <wp:effectExtent l="0" t="0" r="14605" b="3810"/>
            <wp:docPr id="13" name="图片 13" descr="国家环保总局环评批复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国家环保总局环评批复_00"/>
                    <pic:cNvPicPr>
                      <a:picLocks noChangeAspect="1"/>
                    </pic:cNvPicPr>
                  </pic:nvPicPr>
                  <pic:blipFill>
                    <a:blip r:embed="rId36"/>
                    <a:stretch>
                      <a:fillRect/>
                    </a:stretch>
                  </pic:blipFill>
                  <pic:spPr>
                    <a:xfrm>
                      <a:off x="0" y="0"/>
                      <a:ext cx="5273675" cy="7463790"/>
                    </a:xfrm>
                    <a:prstGeom prst="rect">
                      <a:avLst/>
                    </a:prstGeom>
                  </pic:spPr>
                </pic:pic>
              </a:graphicData>
            </a:graphic>
          </wp:inline>
        </w:drawing>
      </w:r>
      <w:r>
        <w:rPr>
          <w:rFonts w:hint="eastAsia" w:eastAsia="仿宋_GB2312"/>
          <w:color w:val="000000"/>
          <w:sz w:val="24"/>
          <w:lang w:eastAsia="zh-CN"/>
        </w:rPr>
        <w:drawing>
          <wp:inline distT="0" distB="0" distL="114300" distR="114300">
            <wp:extent cx="5273675" cy="7463790"/>
            <wp:effectExtent l="0" t="0" r="14605" b="3810"/>
            <wp:docPr id="12" name="图片 12" descr="国家环保总局环评批复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国家环保总局环评批复_01"/>
                    <pic:cNvPicPr>
                      <a:picLocks noChangeAspect="1"/>
                    </pic:cNvPicPr>
                  </pic:nvPicPr>
                  <pic:blipFill>
                    <a:blip r:embed="rId37"/>
                    <a:stretch>
                      <a:fillRect/>
                    </a:stretch>
                  </pic:blipFill>
                  <pic:spPr>
                    <a:xfrm>
                      <a:off x="0" y="0"/>
                      <a:ext cx="5273675" cy="7463790"/>
                    </a:xfrm>
                    <a:prstGeom prst="rect">
                      <a:avLst/>
                    </a:prstGeom>
                  </pic:spPr>
                </pic:pic>
              </a:graphicData>
            </a:graphic>
          </wp:inline>
        </w:drawing>
      </w:r>
      <w:r>
        <w:rPr>
          <w:rFonts w:hint="eastAsia" w:eastAsia="仿宋_GB2312"/>
          <w:color w:val="000000"/>
          <w:sz w:val="24"/>
          <w:lang w:eastAsia="zh-CN"/>
        </w:rPr>
        <w:drawing>
          <wp:inline distT="0" distB="0" distL="114300" distR="114300">
            <wp:extent cx="5273675" cy="7463790"/>
            <wp:effectExtent l="0" t="0" r="14605" b="3810"/>
            <wp:docPr id="10" name="图片 10" descr="国家环保总局环评批复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国家环保总局环评批复_02"/>
                    <pic:cNvPicPr>
                      <a:picLocks noChangeAspect="1"/>
                    </pic:cNvPicPr>
                  </pic:nvPicPr>
                  <pic:blipFill>
                    <a:blip r:embed="rId38"/>
                    <a:stretch>
                      <a:fillRect/>
                    </a:stretch>
                  </pic:blipFill>
                  <pic:spPr>
                    <a:xfrm>
                      <a:off x="0" y="0"/>
                      <a:ext cx="5273675" cy="7463790"/>
                    </a:xfrm>
                    <a:prstGeom prst="rect">
                      <a:avLst/>
                    </a:prstGeom>
                  </pic:spPr>
                </pic:pic>
              </a:graphicData>
            </a:graphic>
          </wp:inline>
        </w:drawing>
      </w:r>
      <w:r>
        <w:rPr>
          <w:rFonts w:hint="eastAsia" w:eastAsia="仿宋_GB2312"/>
          <w:color w:val="000000"/>
          <w:sz w:val="24"/>
          <w:lang w:eastAsia="zh-CN"/>
        </w:rPr>
        <w:drawing>
          <wp:inline distT="0" distB="0" distL="114300" distR="114300">
            <wp:extent cx="5273675" cy="7463790"/>
            <wp:effectExtent l="0" t="0" r="14605" b="3810"/>
            <wp:docPr id="9" name="图片 9" descr="国家环保总局环评批复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国家环保总局环评批复_03"/>
                    <pic:cNvPicPr>
                      <a:picLocks noChangeAspect="1"/>
                    </pic:cNvPicPr>
                  </pic:nvPicPr>
                  <pic:blipFill>
                    <a:blip r:embed="rId39"/>
                    <a:stretch>
                      <a:fillRect/>
                    </a:stretch>
                  </pic:blipFill>
                  <pic:spPr>
                    <a:xfrm>
                      <a:off x="0" y="0"/>
                      <a:ext cx="5273675" cy="7463790"/>
                    </a:xfrm>
                    <a:prstGeom prst="rect">
                      <a:avLst/>
                    </a:prstGeom>
                  </pic:spPr>
                </pic:pic>
              </a:graphicData>
            </a:graphic>
          </wp:inline>
        </w:drawing>
      </w:r>
      <w:r>
        <w:rPr>
          <w:rFonts w:hint="eastAsia" w:eastAsia="仿宋_GB2312"/>
          <w:color w:val="000000"/>
          <w:sz w:val="24"/>
          <w:lang w:eastAsia="zh-CN"/>
        </w:rPr>
        <w:drawing>
          <wp:inline distT="0" distB="0" distL="114300" distR="114300">
            <wp:extent cx="5273675" cy="7463790"/>
            <wp:effectExtent l="0" t="0" r="14605" b="3810"/>
            <wp:docPr id="17" name="图片 17" descr="骨料线环评批复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骨料线环评批复_00"/>
                    <pic:cNvPicPr>
                      <a:picLocks noChangeAspect="1"/>
                    </pic:cNvPicPr>
                  </pic:nvPicPr>
                  <pic:blipFill>
                    <a:blip r:embed="rId40"/>
                    <a:stretch>
                      <a:fillRect/>
                    </a:stretch>
                  </pic:blipFill>
                  <pic:spPr>
                    <a:xfrm>
                      <a:off x="0" y="0"/>
                      <a:ext cx="5273675" cy="7463790"/>
                    </a:xfrm>
                    <a:prstGeom prst="rect">
                      <a:avLst/>
                    </a:prstGeom>
                  </pic:spPr>
                </pic:pic>
              </a:graphicData>
            </a:graphic>
          </wp:inline>
        </w:drawing>
      </w:r>
      <w:r>
        <w:rPr>
          <w:rFonts w:hint="eastAsia" w:eastAsia="仿宋_GB2312"/>
          <w:color w:val="000000"/>
          <w:sz w:val="24"/>
          <w:lang w:eastAsia="zh-CN"/>
        </w:rPr>
        <w:drawing>
          <wp:inline distT="0" distB="0" distL="114300" distR="114300">
            <wp:extent cx="5273675" cy="7463790"/>
            <wp:effectExtent l="0" t="0" r="14605" b="3810"/>
            <wp:docPr id="16" name="图片 16" descr="骨料线环评批复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骨料线环评批复_01"/>
                    <pic:cNvPicPr>
                      <a:picLocks noChangeAspect="1"/>
                    </pic:cNvPicPr>
                  </pic:nvPicPr>
                  <pic:blipFill>
                    <a:blip r:embed="rId41"/>
                    <a:stretch>
                      <a:fillRect/>
                    </a:stretch>
                  </pic:blipFill>
                  <pic:spPr>
                    <a:xfrm>
                      <a:off x="0" y="0"/>
                      <a:ext cx="5273675" cy="7463790"/>
                    </a:xfrm>
                    <a:prstGeom prst="rect">
                      <a:avLst/>
                    </a:prstGeom>
                  </pic:spPr>
                </pic:pic>
              </a:graphicData>
            </a:graphic>
          </wp:inline>
        </w:drawing>
      </w:r>
      <w:r>
        <w:rPr>
          <w:rFonts w:hint="eastAsia" w:eastAsia="仿宋_GB2312"/>
          <w:color w:val="000000"/>
          <w:sz w:val="24"/>
          <w:lang w:eastAsia="zh-CN"/>
        </w:rPr>
        <w:drawing>
          <wp:inline distT="0" distB="0" distL="114300" distR="114300">
            <wp:extent cx="5273675" cy="7463790"/>
            <wp:effectExtent l="0" t="0" r="14605" b="3810"/>
            <wp:docPr id="14" name="图片 14" descr="骨料线环评批复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骨料线环评批复_02"/>
                    <pic:cNvPicPr>
                      <a:picLocks noChangeAspect="1"/>
                    </pic:cNvPicPr>
                  </pic:nvPicPr>
                  <pic:blipFill>
                    <a:blip r:embed="rId42"/>
                    <a:stretch>
                      <a:fillRect/>
                    </a:stretch>
                  </pic:blipFill>
                  <pic:spPr>
                    <a:xfrm>
                      <a:off x="0" y="0"/>
                      <a:ext cx="5273675" cy="7463790"/>
                    </a:xfrm>
                    <a:prstGeom prst="rect">
                      <a:avLst/>
                    </a:prstGeom>
                  </pic:spPr>
                </pic:pic>
              </a:graphicData>
            </a:graphic>
          </wp:inline>
        </w:drawing>
      </w:r>
    </w:p>
    <w:p>
      <w:pPr>
        <w:spacing w:line="360" w:lineRule="auto"/>
        <w:rPr>
          <w:rFonts w:hint="eastAsia" w:eastAsia="仿宋_GB2312"/>
          <w:color w:val="000000"/>
          <w:sz w:val="24"/>
          <w:lang w:eastAsia="zh-CN"/>
        </w:rPr>
      </w:pPr>
    </w:p>
    <w:p>
      <w:pPr>
        <w:spacing w:line="360" w:lineRule="auto"/>
        <w:rPr>
          <w:rFonts w:eastAsia="仿宋_GB2312"/>
          <w:color w:val="000000"/>
          <w:sz w:val="24"/>
        </w:rPr>
      </w:pPr>
    </w:p>
    <w:p>
      <w:pPr>
        <w:spacing w:line="360" w:lineRule="auto"/>
        <w:jc w:val="center"/>
        <w:rPr>
          <w:rFonts w:hint="eastAsia" w:eastAsia="仿宋_GB2312"/>
          <w:color w:val="000000"/>
          <w:sz w:val="24"/>
          <w:lang w:eastAsia="zh-CN"/>
        </w:rPr>
      </w:pPr>
    </w:p>
    <w:p>
      <w:pPr>
        <w:spacing w:line="360" w:lineRule="auto"/>
        <w:rPr>
          <w:rFonts w:eastAsia="仿宋_GB2312"/>
          <w:color w:val="000000"/>
          <w:sz w:val="24"/>
        </w:rPr>
      </w:pPr>
    </w:p>
    <w:p>
      <w:pPr>
        <w:spacing w:line="360" w:lineRule="auto"/>
        <w:jc w:val="center"/>
        <w:rPr>
          <w:rFonts w:eastAsia="仿宋_GB2312"/>
          <w:color w:val="000000"/>
          <w:sz w:val="24"/>
        </w:rPr>
      </w:pPr>
    </w:p>
    <w:p>
      <w:pPr>
        <w:spacing w:before="120" w:beforeLines="50" w:line="360" w:lineRule="auto"/>
        <w:outlineLvl w:val="1"/>
        <w:rPr>
          <w:rFonts w:eastAsia="仿宋_GB2312"/>
          <w:b/>
          <w:sz w:val="24"/>
        </w:rPr>
        <w:sectPr>
          <w:pgSz w:w="11906" w:h="16838"/>
          <w:pgMar w:top="1440" w:right="1797" w:bottom="1440" w:left="1797" w:header="851" w:footer="992" w:gutter="0"/>
          <w:pgNumType w:fmt="decimal"/>
          <w:cols w:space="720" w:num="1"/>
          <w:docGrid w:linePitch="312" w:charSpace="0"/>
        </w:sectPr>
      </w:pPr>
    </w:p>
    <w:p>
      <w:pPr>
        <w:spacing w:before="120" w:beforeLines="50" w:line="360" w:lineRule="auto"/>
        <w:outlineLvl w:val="1"/>
        <w:rPr>
          <w:rFonts w:hint="eastAsia" w:eastAsia="仿宋_GB2312"/>
          <w:b/>
          <w:sz w:val="24"/>
        </w:rPr>
      </w:pPr>
      <w:bookmarkStart w:id="185" w:name="_Toc6614"/>
      <w:r>
        <w:rPr>
          <w:rFonts w:hint="eastAsia" w:eastAsia="仿宋_GB2312"/>
          <w:b/>
          <w:sz w:val="24"/>
          <w:lang w:val="en-US" w:eastAsia="zh-CN"/>
        </w:rPr>
        <w:t>五</w:t>
      </w:r>
      <w:r>
        <w:rPr>
          <w:rFonts w:eastAsia="仿宋_GB2312"/>
          <w:b/>
          <w:sz w:val="24"/>
        </w:rPr>
        <w:t>、</w:t>
      </w:r>
      <w:r>
        <w:rPr>
          <w:rFonts w:hint="eastAsia" w:eastAsia="仿宋_GB2312"/>
          <w:b/>
          <w:sz w:val="24"/>
        </w:rPr>
        <w:t>排污许可证</w:t>
      </w:r>
      <w:bookmarkEnd w:id="185"/>
    </w:p>
    <w:p>
      <w:pPr>
        <w:bidi w:val="0"/>
        <w:rPr>
          <w:rFonts w:hint="eastAsia" w:ascii="Times New Roman" w:hAnsi="Times New Roman" w:eastAsia="宋体" w:cs="Times New Roman"/>
          <w:kern w:val="2"/>
          <w:sz w:val="21"/>
          <w:szCs w:val="24"/>
          <w:lang w:val="en-US" w:eastAsia="zh-CN" w:bidi="ar-SA"/>
        </w:rPr>
      </w:pPr>
    </w:p>
    <w:p>
      <w:pPr>
        <w:bidi w:val="0"/>
        <w:jc w:val="left"/>
        <w:rPr>
          <w:rFonts w:hint="eastAsia" w:eastAsia="仿宋"/>
          <w:sz w:val="28"/>
          <w:szCs w:val="28"/>
          <w:lang w:eastAsia="zh-CN"/>
        </w:rPr>
      </w:pPr>
      <w:r>
        <w:rPr>
          <w:rFonts w:ascii="Times New Roman" w:hAnsi="Times New Roman" w:eastAsia="宋体" w:cs="Times New Roman"/>
          <w:kern w:val="2"/>
          <w:sz w:val="21"/>
          <w:szCs w:val="24"/>
          <w:lang w:val="en-US" w:eastAsia="zh-CN" w:bidi="ar-SA"/>
        </w:rPr>
        <w:drawing>
          <wp:inline distT="0" distB="0" distL="114300" distR="114300">
            <wp:extent cx="8085455" cy="5048885"/>
            <wp:effectExtent l="0" t="0" r="6985" b="10795"/>
            <wp:docPr id="18" name="图片 18" descr="排污许可证2020.12.19-2025.12.18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排污许可证2020.12.19-2025.12.18_00"/>
                    <pic:cNvPicPr>
                      <a:picLocks noChangeAspect="1"/>
                    </pic:cNvPicPr>
                  </pic:nvPicPr>
                  <pic:blipFill>
                    <a:blip r:embed="rId43"/>
                    <a:stretch>
                      <a:fillRect/>
                    </a:stretch>
                  </pic:blipFill>
                  <pic:spPr>
                    <a:xfrm>
                      <a:off x="0" y="0"/>
                      <a:ext cx="8085455" cy="5048885"/>
                    </a:xfrm>
                    <a:prstGeom prst="rect">
                      <a:avLst/>
                    </a:prstGeom>
                  </pic:spPr>
                </pic:pic>
              </a:graphicData>
            </a:graphic>
          </wp:inline>
        </w:drawing>
      </w:r>
    </w:p>
    <w:p>
      <w:pPr>
        <w:jc w:val="center"/>
        <w:rPr>
          <w:rFonts w:eastAsia="仿宋"/>
          <w:sz w:val="28"/>
          <w:szCs w:val="28"/>
        </w:rPr>
        <w:sectPr>
          <w:type w:val="continuous"/>
          <w:pgSz w:w="16838" w:h="11906" w:orient="landscape"/>
          <w:pgMar w:top="1440" w:right="1800" w:bottom="1440" w:left="1800" w:header="851" w:footer="992" w:gutter="0"/>
          <w:pgNumType w:fmt="decimal"/>
          <w:cols w:space="720" w:num="1"/>
          <w:docGrid w:linePitch="312" w:charSpace="0"/>
        </w:sectPr>
      </w:pPr>
    </w:p>
    <w:p>
      <w:pPr>
        <w:spacing w:before="120" w:beforeLines="50" w:line="360" w:lineRule="auto"/>
        <w:outlineLvl w:val="1"/>
        <w:rPr>
          <w:rFonts w:eastAsia="仿宋_GB2312"/>
          <w:b/>
          <w:sz w:val="24"/>
        </w:rPr>
      </w:pPr>
      <w:bookmarkStart w:id="186" w:name="_Toc8970"/>
      <w:r>
        <w:rPr>
          <w:rFonts w:hint="eastAsia" w:eastAsia="仿宋_GB2312"/>
          <w:b/>
          <w:sz w:val="24"/>
          <w:lang w:val="en-US" w:eastAsia="zh-CN"/>
        </w:rPr>
        <w:t>六</w:t>
      </w:r>
      <w:r>
        <w:rPr>
          <w:rFonts w:eastAsia="仿宋_GB2312"/>
          <w:b/>
          <w:sz w:val="24"/>
        </w:rPr>
        <w:t>、</w:t>
      </w:r>
      <w:r>
        <w:rPr>
          <w:rFonts w:hint="eastAsia" w:eastAsia="仿宋_GB2312"/>
          <w:b/>
          <w:sz w:val="24"/>
        </w:rPr>
        <w:t>危废合同</w:t>
      </w:r>
      <w:bookmarkEnd w:id="186"/>
    </w:p>
    <w:p>
      <w:pPr>
        <w:adjustRightInd w:val="0"/>
        <w:snapToGrid w:val="0"/>
        <w:spacing w:line="360" w:lineRule="auto"/>
        <w:jc w:val="center"/>
        <w:rPr>
          <w:rFonts w:hint="eastAsia" w:eastAsia="仿宋_GB2312"/>
          <w:b/>
          <w:color w:val="000000"/>
          <w:sz w:val="24"/>
          <w:lang w:eastAsia="zh-CN"/>
        </w:rPr>
      </w:pPr>
      <w:r>
        <w:rPr>
          <w:rFonts w:hint="eastAsia" w:eastAsia="仿宋_GB2312"/>
          <w:b/>
          <w:color w:val="000000"/>
          <w:sz w:val="24"/>
          <w:lang w:eastAsia="zh-CN"/>
        </w:rPr>
        <w:drawing>
          <wp:inline distT="0" distB="0" distL="114300" distR="114300">
            <wp:extent cx="5277485" cy="7459345"/>
            <wp:effectExtent l="0" t="0" r="10795" b="8255"/>
            <wp:docPr id="30" name="图片 30" descr="2021年废物（液）处置及工业服务合同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021年废物（液）处置及工业服务合同_00"/>
                    <pic:cNvPicPr>
                      <a:picLocks noChangeAspect="1"/>
                    </pic:cNvPicPr>
                  </pic:nvPicPr>
                  <pic:blipFill>
                    <a:blip r:embed="rId44"/>
                    <a:stretch>
                      <a:fillRect/>
                    </a:stretch>
                  </pic:blipFill>
                  <pic:spPr>
                    <a:xfrm>
                      <a:off x="0" y="0"/>
                      <a:ext cx="5277485" cy="7459345"/>
                    </a:xfrm>
                    <a:prstGeom prst="rect">
                      <a:avLst/>
                    </a:prstGeom>
                  </pic:spPr>
                </pic:pic>
              </a:graphicData>
            </a:graphic>
          </wp:inline>
        </w:drawing>
      </w:r>
      <w:r>
        <w:rPr>
          <w:rFonts w:hint="eastAsia" w:eastAsia="仿宋_GB2312"/>
          <w:b/>
          <w:color w:val="000000"/>
          <w:sz w:val="24"/>
          <w:lang w:eastAsia="zh-CN"/>
        </w:rPr>
        <w:drawing>
          <wp:inline distT="0" distB="0" distL="114300" distR="114300">
            <wp:extent cx="5277485" cy="7459345"/>
            <wp:effectExtent l="0" t="0" r="10795" b="8255"/>
            <wp:docPr id="27" name="图片 27" descr="2021年废物（液）处置及工业服务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021年废物（液）处置及工业服务合同_01"/>
                    <pic:cNvPicPr>
                      <a:picLocks noChangeAspect="1"/>
                    </pic:cNvPicPr>
                  </pic:nvPicPr>
                  <pic:blipFill>
                    <a:blip r:embed="rId45"/>
                    <a:stretch>
                      <a:fillRect/>
                    </a:stretch>
                  </pic:blipFill>
                  <pic:spPr>
                    <a:xfrm>
                      <a:off x="0" y="0"/>
                      <a:ext cx="5277485" cy="7459345"/>
                    </a:xfrm>
                    <a:prstGeom prst="rect">
                      <a:avLst/>
                    </a:prstGeom>
                  </pic:spPr>
                </pic:pic>
              </a:graphicData>
            </a:graphic>
          </wp:inline>
        </w:drawing>
      </w:r>
      <w:r>
        <w:rPr>
          <w:rFonts w:hint="eastAsia" w:eastAsia="仿宋_GB2312"/>
          <w:b/>
          <w:color w:val="000000"/>
          <w:sz w:val="24"/>
          <w:lang w:eastAsia="zh-CN"/>
        </w:rPr>
        <w:drawing>
          <wp:inline distT="0" distB="0" distL="114300" distR="114300">
            <wp:extent cx="5277485" cy="7459345"/>
            <wp:effectExtent l="0" t="0" r="10795" b="8255"/>
            <wp:docPr id="25" name="图片 25" descr="2021年废物（液）处置及工业服务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2021年废物（液）处置及工业服务合同_02"/>
                    <pic:cNvPicPr>
                      <a:picLocks noChangeAspect="1"/>
                    </pic:cNvPicPr>
                  </pic:nvPicPr>
                  <pic:blipFill>
                    <a:blip r:embed="rId46"/>
                    <a:stretch>
                      <a:fillRect/>
                    </a:stretch>
                  </pic:blipFill>
                  <pic:spPr>
                    <a:xfrm>
                      <a:off x="0" y="0"/>
                      <a:ext cx="5277485" cy="7459345"/>
                    </a:xfrm>
                    <a:prstGeom prst="rect">
                      <a:avLst/>
                    </a:prstGeom>
                  </pic:spPr>
                </pic:pic>
              </a:graphicData>
            </a:graphic>
          </wp:inline>
        </w:drawing>
      </w:r>
      <w:r>
        <w:rPr>
          <w:rFonts w:hint="eastAsia" w:eastAsia="仿宋_GB2312"/>
          <w:b/>
          <w:color w:val="000000"/>
          <w:sz w:val="24"/>
          <w:lang w:eastAsia="zh-CN"/>
        </w:rPr>
        <w:drawing>
          <wp:inline distT="0" distB="0" distL="114300" distR="114300">
            <wp:extent cx="5277485" cy="7459345"/>
            <wp:effectExtent l="0" t="0" r="10795" b="8255"/>
            <wp:docPr id="24" name="图片 24" descr="2021年废物（液）处置及工业服务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2021年废物（液）处置及工业服务合同_03"/>
                    <pic:cNvPicPr>
                      <a:picLocks noChangeAspect="1"/>
                    </pic:cNvPicPr>
                  </pic:nvPicPr>
                  <pic:blipFill>
                    <a:blip r:embed="rId47"/>
                    <a:stretch>
                      <a:fillRect/>
                    </a:stretch>
                  </pic:blipFill>
                  <pic:spPr>
                    <a:xfrm>
                      <a:off x="0" y="0"/>
                      <a:ext cx="5277485" cy="7459345"/>
                    </a:xfrm>
                    <a:prstGeom prst="rect">
                      <a:avLst/>
                    </a:prstGeom>
                  </pic:spPr>
                </pic:pic>
              </a:graphicData>
            </a:graphic>
          </wp:inline>
        </w:drawing>
      </w:r>
      <w:r>
        <w:rPr>
          <w:rFonts w:hint="eastAsia" w:eastAsia="仿宋_GB2312"/>
          <w:b/>
          <w:color w:val="000000"/>
          <w:sz w:val="24"/>
          <w:lang w:eastAsia="zh-CN"/>
        </w:rPr>
        <w:drawing>
          <wp:inline distT="0" distB="0" distL="114300" distR="114300">
            <wp:extent cx="5277485" cy="7459345"/>
            <wp:effectExtent l="0" t="0" r="10795" b="8255"/>
            <wp:docPr id="22" name="图片 22" descr="2021年废物（液）处置及工业服务合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021年废物（液）处置及工业服务合同_04"/>
                    <pic:cNvPicPr>
                      <a:picLocks noChangeAspect="1"/>
                    </pic:cNvPicPr>
                  </pic:nvPicPr>
                  <pic:blipFill>
                    <a:blip r:embed="rId48"/>
                    <a:stretch>
                      <a:fillRect/>
                    </a:stretch>
                  </pic:blipFill>
                  <pic:spPr>
                    <a:xfrm>
                      <a:off x="0" y="0"/>
                      <a:ext cx="5277485" cy="7459345"/>
                    </a:xfrm>
                    <a:prstGeom prst="rect">
                      <a:avLst/>
                    </a:prstGeom>
                  </pic:spPr>
                </pic:pic>
              </a:graphicData>
            </a:graphic>
          </wp:inline>
        </w:drawing>
      </w:r>
      <w:r>
        <w:rPr>
          <w:rFonts w:hint="eastAsia" w:eastAsia="仿宋_GB2312"/>
          <w:b/>
          <w:color w:val="000000"/>
          <w:sz w:val="24"/>
          <w:lang w:eastAsia="zh-CN"/>
        </w:rPr>
        <w:drawing>
          <wp:inline distT="0" distB="0" distL="114300" distR="114300">
            <wp:extent cx="5277485" cy="7459345"/>
            <wp:effectExtent l="0" t="0" r="10795" b="8255"/>
            <wp:docPr id="20" name="图片 20" descr="2021年废物（液）处置及工业服务合同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021年废物（液）处置及工业服务合同_05"/>
                    <pic:cNvPicPr>
                      <a:picLocks noChangeAspect="1"/>
                    </pic:cNvPicPr>
                  </pic:nvPicPr>
                  <pic:blipFill>
                    <a:blip r:embed="rId49"/>
                    <a:stretch>
                      <a:fillRect/>
                    </a:stretch>
                  </pic:blipFill>
                  <pic:spPr>
                    <a:xfrm>
                      <a:off x="0" y="0"/>
                      <a:ext cx="5277485" cy="7459345"/>
                    </a:xfrm>
                    <a:prstGeom prst="rect">
                      <a:avLst/>
                    </a:prstGeom>
                  </pic:spPr>
                </pic:pic>
              </a:graphicData>
            </a:graphic>
          </wp:inline>
        </w:drawing>
      </w:r>
      <w:r>
        <w:rPr>
          <w:rFonts w:hint="eastAsia" w:eastAsia="仿宋_GB2312"/>
          <w:b/>
          <w:color w:val="000000"/>
          <w:sz w:val="24"/>
          <w:lang w:eastAsia="zh-CN"/>
        </w:rPr>
        <w:drawing>
          <wp:inline distT="0" distB="0" distL="114300" distR="114300">
            <wp:extent cx="5277485" cy="7459345"/>
            <wp:effectExtent l="0" t="0" r="10795" b="8255"/>
            <wp:docPr id="19" name="图片 19" descr="2021年废物（液）处置及工业服务合同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021年废物（液）处置及工业服务合同_06"/>
                    <pic:cNvPicPr>
                      <a:picLocks noChangeAspect="1"/>
                    </pic:cNvPicPr>
                  </pic:nvPicPr>
                  <pic:blipFill>
                    <a:blip r:embed="rId50"/>
                    <a:stretch>
                      <a:fillRect/>
                    </a:stretch>
                  </pic:blipFill>
                  <pic:spPr>
                    <a:xfrm>
                      <a:off x="0" y="0"/>
                      <a:ext cx="5277485" cy="7459345"/>
                    </a:xfrm>
                    <a:prstGeom prst="rect">
                      <a:avLst/>
                    </a:prstGeom>
                  </pic:spPr>
                </pic:pic>
              </a:graphicData>
            </a:graphic>
          </wp:inline>
        </w:drawing>
      </w:r>
    </w:p>
    <w:p>
      <w:pPr>
        <w:adjustRightInd w:val="0"/>
        <w:snapToGrid w:val="0"/>
        <w:spacing w:line="360" w:lineRule="auto"/>
        <w:rPr>
          <w:rFonts w:eastAsia="仿宋_GB2312"/>
          <w:b/>
          <w:color w:val="000000"/>
          <w:sz w:val="24"/>
        </w:rPr>
      </w:pPr>
    </w:p>
    <w:p>
      <w:pPr>
        <w:adjustRightInd w:val="0"/>
        <w:snapToGrid w:val="0"/>
        <w:spacing w:line="360" w:lineRule="auto"/>
        <w:rPr>
          <w:rFonts w:eastAsia="仿宋_GB2312"/>
          <w:b/>
          <w:color w:val="000000"/>
          <w:sz w:val="24"/>
        </w:rPr>
      </w:pPr>
    </w:p>
    <w:p>
      <w:pPr>
        <w:jc w:val="center"/>
        <w:rPr>
          <w:rFonts w:eastAsia="仿宋"/>
          <w:sz w:val="28"/>
          <w:szCs w:val="28"/>
        </w:rPr>
      </w:pPr>
    </w:p>
    <w:p>
      <w:pPr>
        <w:jc w:val="center"/>
        <w:rPr>
          <w:rFonts w:eastAsia="仿宋"/>
          <w:sz w:val="28"/>
          <w:szCs w:val="28"/>
        </w:rPr>
      </w:pPr>
    </w:p>
    <w:p>
      <w:pPr>
        <w:pStyle w:val="2"/>
      </w:pPr>
    </w:p>
    <w:p>
      <w:pPr>
        <w:jc w:val="center"/>
        <w:rPr>
          <w:rFonts w:eastAsia="仿宋"/>
          <w:sz w:val="28"/>
          <w:szCs w:val="28"/>
        </w:rPr>
        <w:sectPr>
          <w:pgSz w:w="11906" w:h="16838"/>
          <w:pgMar w:top="1440" w:right="1797" w:bottom="1440" w:left="1797" w:header="851" w:footer="992" w:gutter="0"/>
          <w:pgNumType w:fmt="decimal"/>
          <w:cols w:space="720" w:num="1"/>
          <w:docGrid w:linePitch="312" w:charSpace="0"/>
        </w:sectPr>
      </w:pPr>
    </w:p>
    <w:p>
      <w:pPr>
        <w:spacing w:before="120" w:beforeLines="50" w:line="360" w:lineRule="auto"/>
        <w:outlineLvl w:val="1"/>
        <w:rPr>
          <w:rFonts w:eastAsia="仿宋_GB2312"/>
          <w:b/>
          <w:sz w:val="24"/>
        </w:rPr>
      </w:pPr>
      <w:bookmarkStart w:id="187" w:name="_Toc23800"/>
      <w:r>
        <w:rPr>
          <w:rFonts w:hint="eastAsia" w:eastAsia="仿宋_GB2312"/>
          <w:b/>
          <w:sz w:val="24"/>
          <w:lang w:val="en-US" w:eastAsia="zh-CN"/>
        </w:rPr>
        <w:t>七</w:t>
      </w:r>
      <w:r>
        <w:rPr>
          <w:rFonts w:eastAsia="仿宋_GB2312"/>
          <w:b/>
          <w:sz w:val="24"/>
        </w:rPr>
        <w:t>、</w:t>
      </w:r>
      <w:r>
        <w:rPr>
          <w:rFonts w:hint="eastAsia" w:eastAsia="仿宋_GB2312"/>
          <w:b/>
          <w:sz w:val="24"/>
        </w:rPr>
        <w:t>原应急预案备案表</w:t>
      </w:r>
      <w:bookmarkEnd w:id="187"/>
    </w:p>
    <w:p>
      <w:pPr>
        <w:pStyle w:val="2"/>
        <w:jc w:val="center"/>
        <w:rPr>
          <w:rFonts w:hint="eastAsia" w:eastAsia="宋体"/>
          <w:lang w:eastAsia="zh-CN"/>
        </w:rPr>
      </w:pPr>
      <w:r>
        <w:rPr>
          <w:rFonts w:hint="eastAsia" w:eastAsia="宋体"/>
          <w:lang w:eastAsia="zh-CN"/>
        </w:rPr>
        <w:drawing>
          <wp:inline distT="0" distB="0" distL="114300" distR="114300">
            <wp:extent cx="5266690" cy="7461250"/>
            <wp:effectExtent l="0" t="0" r="6350" b="6350"/>
            <wp:docPr id="39" name="图片 39" descr="突发环境事故应急预案备案登记表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突发环境事故应急预案备案登记表_00"/>
                    <pic:cNvPicPr>
                      <a:picLocks noChangeAspect="1"/>
                    </pic:cNvPicPr>
                  </pic:nvPicPr>
                  <pic:blipFill>
                    <a:blip r:embed="rId51"/>
                    <a:stretch>
                      <a:fillRect/>
                    </a:stretch>
                  </pic:blipFill>
                  <pic:spPr>
                    <a:xfrm>
                      <a:off x="0" y="0"/>
                      <a:ext cx="5266690" cy="7461250"/>
                    </a:xfrm>
                    <a:prstGeom prst="rect">
                      <a:avLst/>
                    </a:prstGeom>
                  </pic:spPr>
                </pic:pic>
              </a:graphicData>
            </a:graphic>
          </wp:inline>
        </w:drawing>
      </w:r>
      <w:r>
        <w:rPr>
          <w:rFonts w:hint="eastAsia" w:eastAsia="宋体"/>
          <w:lang w:eastAsia="zh-CN"/>
        </w:rPr>
        <w:drawing>
          <wp:inline distT="0" distB="0" distL="114300" distR="114300">
            <wp:extent cx="5266690" cy="7408545"/>
            <wp:effectExtent l="0" t="0" r="6350" b="13335"/>
            <wp:docPr id="37" name="图片 37" descr="突发环境事故应急预案备案登记表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突发环境事故应急预案备案登记表_01"/>
                    <pic:cNvPicPr>
                      <a:picLocks noChangeAspect="1"/>
                    </pic:cNvPicPr>
                  </pic:nvPicPr>
                  <pic:blipFill>
                    <a:blip r:embed="rId52"/>
                    <a:stretch>
                      <a:fillRect/>
                    </a:stretch>
                  </pic:blipFill>
                  <pic:spPr>
                    <a:xfrm>
                      <a:off x="0" y="0"/>
                      <a:ext cx="5266690" cy="7408545"/>
                    </a:xfrm>
                    <a:prstGeom prst="rect">
                      <a:avLst/>
                    </a:prstGeom>
                  </pic:spPr>
                </pic:pic>
              </a:graphicData>
            </a:graphic>
          </wp:inline>
        </w:drawing>
      </w:r>
    </w:p>
    <w:p>
      <w:pPr>
        <w:jc w:val="center"/>
        <w:rPr>
          <w:rFonts w:eastAsia="仿宋"/>
          <w:sz w:val="28"/>
          <w:szCs w:val="28"/>
        </w:rPr>
      </w:pPr>
    </w:p>
    <w:p>
      <w:pPr>
        <w:pStyle w:val="2"/>
      </w:pPr>
    </w:p>
    <w:p>
      <w:pPr>
        <w:pStyle w:val="2"/>
      </w:pPr>
    </w:p>
    <w:p>
      <w:pPr>
        <w:pStyle w:val="2"/>
      </w:pPr>
    </w:p>
    <w:p>
      <w:pPr>
        <w:pStyle w:val="2"/>
      </w:pPr>
    </w:p>
    <w:p>
      <w:pPr>
        <w:pStyle w:val="2"/>
      </w:pPr>
    </w:p>
    <w:p>
      <w:pPr>
        <w:pStyle w:val="2"/>
      </w:pPr>
    </w:p>
    <w:p>
      <w:pPr>
        <w:spacing w:before="120" w:beforeLines="50" w:line="360" w:lineRule="auto"/>
        <w:outlineLvl w:val="1"/>
        <w:rPr>
          <w:rFonts w:hint="default" w:eastAsia="仿宋_GB2312"/>
          <w:b/>
          <w:sz w:val="24"/>
          <w:lang w:val="en-US" w:eastAsia="zh-CN"/>
        </w:rPr>
      </w:pPr>
      <w:bookmarkStart w:id="188" w:name="_Toc30204"/>
      <w:r>
        <w:rPr>
          <w:rFonts w:hint="eastAsia" w:eastAsia="仿宋_GB2312"/>
          <w:b/>
          <w:sz w:val="24"/>
          <w:lang w:val="en-US" w:eastAsia="zh-CN"/>
        </w:rPr>
        <w:t>八</w:t>
      </w:r>
      <w:r>
        <w:rPr>
          <w:rFonts w:eastAsia="仿宋_GB2312"/>
          <w:b/>
          <w:sz w:val="24"/>
        </w:rPr>
        <w:t>、</w:t>
      </w:r>
      <w:r>
        <w:rPr>
          <w:rFonts w:hint="eastAsia" w:eastAsia="仿宋_GB2312"/>
          <w:b/>
          <w:sz w:val="24"/>
          <w:lang w:val="en-US" w:eastAsia="zh-CN"/>
        </w:rPr>
        <w:t>演练资料</w:t>
      </w:r>
      <w:bookmarkEnd w:id="188"/>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55"/>
        <w:gridCol w:w="4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pStyle w:val="100"/>
              <w:spacing w:before="190" w:beforeLines="50"/>
              <w:rPr>
                <w:rFonts w:hint="default"/>
                <w:vertAlign w:val="baseline"/>
                <w:lang w:val="en-US" w:eastAsia="zh-CN"/>
              </w:rPr>
            </w:pPr>
            <w:r>
              <w:rPr>
                <w:rFonts w:hint="eastAsia" w:ascii="仿宋" w:hAnsi="仿宋" w:eastAsia="仿宋" w:cs="仿宋"/>
                <w:b/>
                <w:bCs/>
                <w:sz w:val="28"/>
                <w:szCs w:val="28"/>
                <w:lang w:eastAsia="zh-CN"/>
              </w:rPr>
              <w:drawing>
                <wp:inline distT="0" distB="0" distL="114300" distR="114300">
                  <wp:extent cx="2590165" cy="1938020"/>
                  <wp:effectExtent l="0" t="0" r="635" b="12700"/>
                  <wp:docPr id="41" name="图片 1" descr="IMG_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 descr="IMG_0521"/>
                          <pic:cNvPicPr>
                            <a:picLocks noChangeAspect="1"/>
                          </pic:cNvPicPr>
                        </pic:nvPicPr>
                        <pic:blipFill>
                          <a:blip r:embed="rId53"/>
                          <a:stretch>
                            <a:fillRect/>
                          </a:stretch>
                        </pic:blipFill>
                        <pic:spPr>
                          <a:xfrm>
                            <a:off x="0" y="0"/>
                            <a:ext cx="2590165" cy="1938020"/>
                          </a:xfrm>
                          <a:prstGeom prst="rect">
                            <a:avLst/>
                          </a:prstGeom>
                          <a:noFill/>
                          <a:ln>
                            <a:noFill/>
                          </a:ln>
                        </pic:spPr>
                      </pic:pic>
                    </a:graphicData>
                  </a:graphic>
                </wp:inline>
              </w:drawing>
            </w:r>
          </w:p>
        </w:tc>
        <w:tc>
          <w:tcPr>
            <w:tcW w:w="4261" w:type="dxa"/>
          </w:tcPr>
          <w:p>
            <w:pPr>
              <w:pStyle w:val="100"/>
              <w:spacing w:before="190" w:beforeLines="50"/>
              <w:rPr>
                <w:rFonts w:hint="default"/>
                <w:vertAlign w:val="baseline"/>
                <w:lang w:val="en-US" w:eastAsia="zh-CN"/>
              </w:rPr>
            </w:pPr>
            <w:r>
              <w:rPr>
                <w:rFonts w:hint="eastAsia" w:ascii="仿宋" w:hAnsi="仿宋" w:eastAsia="仿宋" w:cs="仿宋"/>
                <w:b/>
                <w:bCs/>
                <w:sz w:val="28"/>
                <w:szCs w:val="28"/>
                <w:lang w:eastAsia="zh-CN"/>
              </w:rPr>
              <w:drawing>
                <wp:inline distT="0" distB="0" distL="114300" distR="114300">
                  <wp:extent cx="2559685" cy="1979930"/>
                  <wp:effectExtent l="0" t="0" r="635" b="1270"/>
                  <wp:docPr id="43" name="图片 2" descr="IMG_0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descr="IMG_0539"/>
                          <pic:cNvPicPr>
                            <a:picLocks noChangeAspect="1"/>
                          </pic:cNvPicPr>
                        </pic:nvPicPr>
                        <pic:blipFill>
                          <a:blip r:embed="rId54"/>
                          <a:stretch>
                            <a:fillRect/>
                          </a:stretch>
                        </pic:blipFill>
                        <pic:spPr>
                          <a:xfrm>
                            <a:off x="0" y="0"/>
                            <a:ext cx="2559685" cy="19799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pStyle w:val="100"/>
              <w:spacing w:before="190" w:beforeLines="50"/>
              <w:rPr>
                <w:rFonts w:hint="default"/>
                <w:vertAlign w:val="baseline"/>
                <w:lang w:val="en-US" w:eastAsia="zh-CN"/>
              </w:rPr>
            </w:pPr>
            <w:r>
              <w:rPr>
                <w:rFonts w:hint="default" w:ascii="仿宋" w:hAnsi="仿宋" w:eastAsia="仿宋" w:cs="仿宋"/>
                <w:b w:val="0"/>
                <w:bCs/>
                <w:sz w:val="28"/>
                <w:szCs w:val="28"/>
                <w:lang w:val="en-US" w:eastAsia="zh-CN"/>
              </w:rPr>
              <w:drawing>
                <wp:inline distT="0" distB="0" distL="114300" distR="114300">
                  <wp:extent cx="2667635" cy="1971675"/>
                  <wp:effectExtent l="0" t="0" r="14605" b="9525"/>
                  <wp:docPr id="47" name="图片 47" descr="IMG_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IMG_1021"/>
                          <pic:cNvPicPr>
                            <a:picLocks noChangeAspect="1"/>
                          </pic:cNvPicPr>
                        </pic:nvPicPr>
                        <pic:blipFill>
                          <a:blip r:embed="rId55"/>
                          <a:stretch>
                            <a:fillRect/>
                          </a:stretch>
                        </pic:blipFill>
                        <pic:spPr>
                          <a:xfrm>
                            <a:off x="0" y="0"/>
                            <a:ext cx="2667635" cy="1971675"/>
                          </a:xfrm>
                          <a:prstGeom prst="rect">
                            <a:avLst/>
                          </a:prstGeom>
                        </pic:spPr>
                      </pic:pic>
                    </a:graphicData>
                  </a:graphic>
                </wp:inline>
              </w:drawing>
            </w:r>
          </w:p>
        </w:tc>
        <w:tc>
          <w:tcPr>
            <w:tcW w:w="4261" w:type="dxa"/>
          </w:tcPr>
          <w:p>
            <w:pPr>
              <w:pStyle w:val="100"/>
              <w:spacing w:before="190" w:beforeLines="50"/>
              <w:rPr>
                <w:rFonts w:hint="default"/>
                <w:vertAlign w:val="baseline"/>
                <w:lang w:val="en-US" w:eastAsia="zh-CN"/>
              </w:rPr>
            </w:pPr>
            <w:r>
              <w:rPr>
                <w:rFonts w:hint="default" w:ascii="仿宋" w:hAnsi="仿宋" w:eastAsia="仿宋" w:cs="仿宋"/>
                <w:b w:val="0"/>
                <w:bCs/>
                <w:sz w:val="28"/>
                <w:szCs w:val="28"/>
                <w:lang w:val="en-US" w:eastAsia="zh-CN"/>
              </w:rPr>
              <w:drawing>
                <wp:inline distT="0" distB="0" distL="114300" distR="114300">
                  <wp:extent cx="2527300" cy="1990090"/>
                  <wp:effectExtent l="0" t="0" r="2540" b="6350"/>
                  <wp:docPr id="48" name="图片 48" descr="IMG_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IMG_1041"/>
                          <pic:cNvPicPr>
                            <a:picLocks noChangeAspect="1"/>
                          </pic:cNvPicPr>
                        </pic:nvPicPr>
                        <pic:blipFill>
                          <a:blip r:embed="rId56"/>
                          <a:stretch>
                            <a:fillRect/>
                          </a:stretch>
                        </pic:blipFill>
                        <pic:spPr>
                          <a:xfrm>
                            <a:off x="0" y="0"/>
                            <a:ext cx="2527300" cy="19900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pStyle w:val="100"/>
              <w:spacing w:before="190" w:beforeLines="50"/>
              <w:rPr>
                <w:rFonts w:hint="default"/>
                <w:vertAlign w:val="baseline"/>
                <w:lang w:val="en-US" w:eastAsia="zh-CN"/>
              </w:rPr>
            </w:pPr>
            <w:r>
              <w:rPr>
                <w:rFonts w:hint="default" w:ascii="仿宋" w:hAnsi="仿宋" w:eastAsia="仿宋" w:cs="仿宋"/>
                <w:b w:val="0"/>
                <w:bCs/>
                <w:sz w:val="28"/>
                <w:szCs w:val="28"/>
                <w:lang w:val="en-US" w:eastAsia="zh-CN"/>
              </w:rPr>
              <w:drawing>
                <wp:inline distT="0" distB="0" distL="114300" distR="114300">
                  <wp:extent cx="2596515" cy="2335530"/>
                  <wp:effectExtent l="0" t="0" r="9525" b="11430"/>
                  <wp:docPr id="49" name="图片 49" descr="IMG_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IMG_1032"/>
                          <pic:cNvPicPr>
                            <a:picLocks noChangeAspect="1"/>
                          </pic:cNvPicPr>
                        </pic:nvPicPr>
                        <pic:blipFill>
                          <a:blip r:embed="rId57"/>
                          <a:stretch>
                            <a:fillRect/>
                          </a:stretch>
                        </pic:blipFill>
                        <pic:spPr>
                          <a:xfrm>
                            <a:off x="0" y="0"/>
                            <a:ext cx="2596515" cy="2335530"/>
                          </a:xfrm>
                          <a:prstGeom prst="rect">
                            <a:avLst/>
                          </a:prstGeom>
                        </pic:spPr>
                      </pic:pic>
                    </a:graphicData>
                  </a:graphic>
                </wp:inline>
              </w:drawing>
            </w:r>
          </w:p>
        </w:tc>
        <w:tc>
          <w:tcPr>
            <w:tcW w:w="4261" w:type="dxa"/>
          </w:tcPr>
          <w:p>
            <w:pPr>
              <w:pStyle w:val="100"/>
              <w:spacing w:before="190" w:beforeLines="50"/>
              <w:rPr>
                <w:rFonts w:hint="default"/>
                <w:vertAlign w:val="baseline"/>
                <w:lang w:val="en-US" w:eastAsia="zh-CN"/>
              </w:rPr>
            </w:pPr>
            <w:r>
              <w:rPr>
                <w:rFonts w:hint="default"/>
                <w:vertAlign w:val="baseline"/>
                <w:lang w:val="en-US" w:eastAsia="zh-CN"/>
              </w:rPr>
              <w:drawing>
                <wp:inline distT="0" distB="0" distL="114300" distR="114300">
                  <wp:extent cx="2449195" cy="2350135"/>
                  <wp:effectExtent l="0" t="0" r="4445" b="12065"/>
                  <wp:docPr id="50" name="图片 50" descr="1641365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641365320(1)"/>
                          <pic:cNvPicPr>
                            <a:picLocks noChangeAspect="1"/>
                          </pic:cNvPicPr>
                        </pic:nvPicPr>
                        <pic:blipFill>
                          <a:blip r:embed="rId58"/>
                          <a:stretch>
                            <a:fillRect/>
                          </a:stretch>
                        </pic:blipFill>
                        <pic:spPr>
                          <a:xfrm>
                            <a:off x="0" y="0"/>
                            <a:ext cx="2449195" cy="23501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pStyle w:val="100"/>
              <w:spacing w:before="190" w:beforeLines="50"/>
              <w:rPr>
                <w:rFonts w:hint="default"/>
                <w:vertAlign w:val="baseline"/>
                <w:lang w:val="en-US" w:eastAsia="zh-CN"/>
              </w:rPr>
            </w:pPr>
            <w:r>
              <w:rPr>
                <w:rFonts w:hint="default"/>
                <w:vertAlign w:val="baseline"/>
                <w:lang w:val="en-US" w:eastAsia="zh-CN"/>
              </w:rPr>
              <w:drawing>
                <wp:inline distT="0" distB="0" distL="114300" distR="114300">
                  <wp:extent cx="2600325" cy="1733550"/>
                  <wp:effectExtent l="0" t="0" r="5715" b="3810"/>
                  <wp:docPr id="51" name="图片 51" descr="164136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641365365"/>
                          <pic:cNvPicPr>
                            <a:picLocks noChangeAspect="1"/>
                          </pic:cNvPicPr>
                        </pic:nvPicPr>
                        <pic:blipFill>
                          <a:blip r:embed="rId59"/>
                          <a:stretch>
                            <a:fillRect/>
                          </a:stretch>
                        </pic:blipFill>
                        <pic:spPr>
                          <a:xfrm>
                            <a:off x="0" y="0"/>
                            <a:ext cx="2600325" cy="1733550"/>
                          </a:xfrm>
                          <a:prstGeom prst="rect">
                            <a:avLst/>
                          </a:prstGeom>
                        </pic:spPr>
                      </pic:pic>
                    </a:graphicData>
                  </a:graphic>
                </wp:inline>
              </w:drawing>
            </w:r>
          </w:p>
        </w:tc>
        <w:tc>
          <w:tcPr>
            <w:tcW w:w="4261" w:type="dxa"/>
          </w:tcPr>
          <w:p>
            <w:pPr>
              <w:pStyle w:val="100"/>
              <w:spacing w:before="190" w:beforeLines="50"/>
              <w:rPr>
                <w:rFonts w:hint="default"/>
                <w:vertAlign w:val="baseline"/>
                <w:lang w:val="en-US" w:eastAsia="zh-CN"/>
              </w:rPr>
            </w:pPr>
            <w:r>
              <w:rPr>
                <w:rFonts w:hint="default"/>
                <w:vertAlign w:val="baseline"/>
                <w:lang w:val="en-US" w:eastAsia="zh-CN"/>
              </w:rPr>
              <w:drawing>
                <wp:inline distT="0" distB="0" distL="114300" distR="114300">
                  <wp:extent cx="2501900" cy="1668145"/>
                  <wp:effectExtent l="0" t="0" r="12700" b="8255"/>
                  <wp:docPr id="52" name="图片 52" descr="C:/Users/ASUS/AppData/Local/Temp/picturecompress_20220105145035/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C:/Users/ASUS/AppData/Local/Temp/picturecompress_20220105145035/output_1.jpgoutput_1"/>
                          <pic:cNvPicPr>
                            <a:picLocks noChangeAspect="1"/>
                          </pic:cNvPicPr>
                        </pic:nvPicPr>
                        <pic:blipFill>
                          <a:blip r:embed="rId60"/>
                          <a:stretch>
                            <a:fillRect/>
                          </a:stretch>
                        </pic:blipFill>
                        <pic:spPr>
                          <a:xfrm>
                            <a:off x="0" y="0"/>
                            <a:ext cx="2501900" cy="1668145"/>
                          </a:xfrm>
                          <a:prstGeom prst="rect">
                            <a:avLst/>
                          </a:prstGeom>
                        </pic:spPr>
                      </pic:pic>
                    </a:graphicData>
                  </a:graphic>
                </wp:inline>
              </w:drawing>
            </w:r>
          </w:p>
        </w:tc>
      </w:tr>
    </w:tbl>
    <w:p>
      <w:pPr>
        <w:spacing w:before="120" w:beforeLines="50" w:line="360" w:lineRule="auto"/>
        <w:outlineLvl w:val="1"/>
        <w:rPr>
          <w:rFonts w:hint="default" w:eastAsia="仿宋_GB2312"/>
          <w:b/>
          <w:sz w:val="24"/>
          <w:lang w:val="en-US" w:eastAsia="zh-CN"/>
        </w:rPr>
      </w:pPr>
      <w:bookmarkStart w:id="189" w:name="_Toc16436"/>
      <w:r>
        <w:rPr>
          <w:rFonts w:hint="eastAsia" w:eastAsia="仿宋_GB2312"/>
          <w:b/>
          <w:sz w:val="24"/>
          <w:lang w:val="en-US" w:eastAsia="zh-CN"/>
        </w:rPr>
        <w:t>九</w:t>
      </w:r>
      <w:r>
        <w:rPr>
          <w:rFonts w:eastAsia="仿宋_GB2312"/>
          <w:b/>
          <w:sz w:val="24"/>
        </w:rPr>
        <w:t>、</w:t>
      </w:r>
      <w:r>
        <w:rPr>
          <w:rFonts w:hint="eastAsia" w:eastAsia="仿宋_GB2312"/>
          <w:b/>
          <w:sz w:val="24"/>
          <w:lang w:val="en-US" w:eastAsia="zh-CN"/>
        </w:rPr>
        <w:t>应急监测协议</w:t>
      </w:r>
      <w:bookmarkEnd w:id="189"/>
    </w:p>
    <w:p>
      <w:pPr>
        <w:pStyle w:val="2"/>
        <w:jc w:val="center"/>
        <w:rPr>
          <w:rFonts w:hint="eastAsia" w:eastAsia="宋体"/>
          <w:lang w:eastAsia="zh-CN"/>
        </w:rPr>
      </w:pPr>
      <w:r>
        <w:rPr>
          <w:rFonts w:hint="eastAsia" w:eastAsia="宋体"/>
          <w:lang w:eastAsia="zh-CN"/>
        </w:rPr>
        <w:drawing>
          <wp:inline distT="0" distB="0" distL="114300" distR="114300">
            <wp:extent cx="5268595" cy="7446010"/>
            <wp:effectExtent l="0" t="0" r="4445" b="6350"/>
            <wp:docPr id="21" name="图片 21" descr="突发环境事件应急监测委托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突发环境事件应急监测委托书"/>
                    <pic:cNvPicPr>
                      <a:picLocks noChangeAspect="1"/>
                    </pic:cNvPicPr>
                  </pic:nvPicPr>
                  <pic:blipFill>
                    <a:blip r:embed="rId61"/>
                    <a:stretch>
                      <a:fillRect/>
                    </a:stretch>
                  </pic:blipFill>
                  <pic:spPr>
                    <a:xfrm>
                      <a:off x="0" y="0"/>
                      <a:ext cx="5268595" cy="7446010"/>
                    </a:xfrm>
                    <a:prstGeom prst="rect">
                      <a:avLst/>
                    </a:prstGeom>
                  </pic:spPr>
                </pic:pic>
              </a:graphicData>
            </a:graphic>
          </wp:inline>
        </w:drawing>
      </w:r>
    </w:p>
    <w:p>
      <w:pPr>
        <w:pStyle w:val="2"/>
        <w:jc w:val="center"/>
        <w:rPr>
          <w:rFonts w:hint="eastAsia" w:eastAsia="宋体"/>
          <w:lang w:eastAsia="zh-CN"/>
        </w:rPr>
      </w:pPr>
    </w:p>
    <w:p>
      <w:pPr>
        <w:pStyle w:val="2"/>
        <w:jc w:val="center"/>
        <w:rPr>
          <w:rFonts w:hint="eastAsia" w:eastAsia="宋体"/>
          <w:lang w:eastAsia="zh-CN"/>
        </w:rPr>
      </w:pPr>
    </w:p>
    <w:p>
      <w:pPr>
        <w:pStyle w:val="2"/>
        <w:jc w:val="center"/>
        <w:rPr>
          <w:rFonts w:hint="eastAsia" w:eastAsia="宋体"/>
          <w:lang w:eastAsia="zh-CN"/>
        </w:rPr>
      </w:pPr>
    </w:p>
    <w:p>
      <w:pPr>
        <w:pStyle w:val="2"/>
        <w:jc w:val="center"/>
        <w:rPr>
          <w:rFonts w:hint="eastAsia" w:eastAsia="宋体"/>
          <w:lang w:eastAsia="zh-CN"/>
        </w:rPr>
      </w:pPr>
    </w:p>
    <w:p>
      <w:pPr>
        <w:pStyle w:val="2"/>
        <w:jc w:val="center"/>
        <w:rPr>
          <w:rFonts w:hint="eastAsia" w:eastAsia="宋体"/>
          <w:lang w:eastAsia="zh-CN"/>
        </w:rPr>
      </w:pPr>
    </w:p>
    <w:p>
      <w:pPr>
        <w:spacing w:before="120" w:beforeLines="50" w:line="360" w:lineRule="auto"/>
        <w:outlineLvl w:val="1"/>
        <w:rPr>
          <w:rFonts w:hint="eastAsia" w:eastAsia="仿宋_GB2312"/>
          <w:b/>
          <w:sz w:val="24"/>
          <w:lang w:val="en-US" w:eastAsia="zh-CN"/>
        </w:rPr>
      </w:pPr>
      <w:r>
        <w:rPr>
          <w:rFonts w:hint="eastAsia" w:eastAsia="仿宋_GB2312"/>
          <w:b/>
          <w:sz w:val="24"/>
          <w:lang w:val="en-US" w:eastAsia="zh-CN"/>
        </w:rPr>
        <w:t>10</w:t>
      </w:r>
      <w:r>
        <w:rPr>
          <w:rFonts w:eastAsia="仿宋_GB2312"/>
          <w:b/>
          <w:sz w:val="24"/>
        </w:rPr>
        <w:t>、</w:t>
      </w:r>
      <w:r>
        <w:rPr>
          <w:rFonts w:hint="eastAsia" w:eastAsia="仿宋_GB2312"/>
          <w:b/>
          <w:sz w:val="24"/>
          <w:lang w:val="en-US" w:eastAsia="zh-CN"/>
        </w:rPr>
        <w:t>评审意见</w:t>
      </w:r>
    </w:p>
    <w:p>
      <w:pPr>
        <w:pStyle w:val="2"/>
        <w:jc w:val="center"/>
        <w:rPr>
          <w:rFonts w:hint="eastAsia" w:eastAsia="宋体"/>
          <w:lang w:eastAsia="zh-CN"/>
        </w:rPr>
      </w:pPr>
      <w:r>
        <w:rPr>
          <w:rFonts w:hint="eastAsia" w:eastAsia="宋体"/>
          <w:lang w:eastAsia="zh-CN"/>
        </w:rPr>
        <w:drawing>
          <wp:inline distT="0" distB="0" distL="114300" distR="114300">
            <wp:extent cx="5269865" cy="8268335"/>
            <wp:effectExtent l="0" t="0" r="3175" b="6985"/>
            <wp:docPr id="53" name="图片 53"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001"/>
                    <pic:cNvPicPr>
                      <a:picLocks noChangeAspect="1"/>
                    </pic:cNvPicPr>
                  </pic:nvPicPr>
                  <pic:blipFill>
                    <a:blip r:embed="rId62"/>
                    <a:stretch>
                      <a:fillRect/>
                    </a:stretch>
                  </pic:blipFill>
                  <pic:spPr>
                    <a:xfrm>
                      <a:off x="0" y="0"/>
                      <a:ext cx="5269865" cy="8268335"/>
                    </a:xfrm>
                    <a:prstGeom prst="rect">
                      <a:avLst/>
                    </a:prstGeom>
                  </pic:spPr>
                </pic:pic>
              </a:graphicData>
            </a:graphic>
          </wp:inline>
        </w:drawing>
      </w:r>
    </w:p>
    <w:p>
      <w:pPr>
        <w:pStyle w:val="2"/>
        <w:jc w:val="center"/>
        <w:rPr>
          <w:rFonts w:hint="eastAsia" w:eastAsia="宋体"/>
          <w:lang w:eastAsia="zh-CN"/>
        </w:rPr>
      </w:pPr>
    </w:p>
    <w:p>
      <w:pPr>
        <w:spacing w:before="120" w:beforeLines="50" w:line="360" w:lineRule="auto"/>
        <w:outlineLvl w:val="1"/>
        <w:rPr>
          <w:rFonts w:hint="eastAsia" w:eastAsia="仿宋_GB2312"/>
          <w:b/>
          <w:sz w:val="24"/>
          <w:lang w:val="en-US" w:eastAsia="zh-CN"/>
        </w:rPr>
      </w:pPr>
      <w:r>
        <w:rPr>
          <w:rFonts w:hint="eastAsia" w:eastAsia="仿宋_GB2312"/>
          <w:b/>
          <w:sz w:val="24"/>
          <w:lang w:val="en-US" w:eastAsia="zh-CN"/>
        </w:rPr>
        <w:t>11</w:t>
      </w:r>
      <w:r>
        <w:rPr>
          <w:rFonts w:eastAsia="仿宋_GB2312"/>
          <w:b/>
          <w:sz w:val="24"/>
        </w:rPr>
        <w:t>、</w:t>
      </w:r>
      <w:r>
        <w:rPr>
          <w:rFonts w:hint="eastAsia" w:eastAsia="仿宋_GB2312"/>
          <w:b/>
          <w:sz w:val="24"/>
          <w:lang w:val="en-US" w:eastAsia="zh-CN"/>
        </w:rPr>
        <w:t>评分表</w:t>
      </w:r>
    </w:p>
    <w:p>
      <w:pPr>
        <w:pStyle w:val="2"/>
        <w:jc w:val="center"/>
        <w:rPr>
          <w:rFonts w:hint="eastAsia" w:eastAsia="宋体"/>
          <w:lang w:eastAsia="zh-CN"/>
        </w:rPr>
      </w:pPr>
      <w:r>
        <w:rPr>
          <w:rFonts w:hint="eastAsia" w:eastAsia="宋体"/>
          <w:lang w:eastAsia="zh-CN"/>
        </w:rPr>
        <w:drawing>
          <wp:inline distT="0" distB="0" distL="114300" distR="114300">
            <wp:extent cx="5269865" cy="8275320"/>
            <wp:effectExtent l="0" t="0" r="3175" b="0"/>
            <wp:docPr id="102" name="图片 102"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003"/>
                    <pic:cNvPicPr>
                      <a:picLocks noChangeAspect="1"/>
                    </pic:cNvPicPr>
                  </pic:nvPicPr>
                  <pic:blipFill>
                    <a:blip r:embed="rId63"/>
                    <a:stretch>
                      <a:fillRect/>
                    </a:stretch>
                  </pic:blipFill>
                  <pic:spPr>
                    <a:xfrm rot="10800000">
                      <a:off x="0" y="0"/>
                      <a:ext cx="5269865" cy="827532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97" name="图片 97"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004"/>
                    <pic:cNvPicPr>
                      <a:picLocks noChangeAspect="1"/>
                    </pic:cNvPicPr>
                  </pic:nvPicPr>
                  <pic:blipFill>
                    <a:blip r:embed="rId64"/>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96" name="图片 96" descr="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005"/>
                    <pic:cNvPicPr>
                      <a:picLocks noChangeAspect="1"/>
                    </pic:cNvPicPr>
                  </pic:nvPicPr>
                  <pic:blipFill>
                    <a:blip r:embed="rId65"/>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95" name="图片 95" descr="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006"/>
                    <pic:cNvPicPr>
                      <a:picLocks noChangeAspect="1"/>
                    </pic:cNvPicPr>
                  </pic:nvPicPr>
                  <pic:blipFill>
                    <a:blip r:embed="rId66"/>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94" name="图片 94"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007"/>
                    <pic:cNvPicPr>
                      <a:picLocks noChangeAspect="1"/>
                    </pic:cNvPicPr>
                  </pic:nvPicPr>
                  <pic:blipFill>
                    <a:blip r:embed="rId67"/>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93" name="图片 93" descr="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008"/>
                    <pic:cNvPicPr>
                      <a:picLocks noChangeAspect="1"/>
                    </pic:cNvPicPr>
                  </pic:nvPicPr>
                  <pic:blipFill>
                    <a:blip r:embed="rId68"/>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92" name="图片 92" descr="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009"/>
                    <pic:cNvPicPr>
                      <a:picLocks noChangeAspect="1"/>
                    </pic:cNvPicPr>
                  </pic:nvPicPr>
                  <pic:blipFill>
                    <a:blip r:embed="rId69"/>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91" name="图片 91" descr="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010"/>
                    <pic:cNvPicPr>
                      <a:picLocks noChangeAspect="1"/>
                    </pic:cNvPicPr>
                  </pic:nvPicPr>
                  <pic:blipFill>
                    <a:blip r:embed="rId70"/>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90" name="图片 90" descr="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011"/>
                    <pic:cNvPicPr>
                      <a:picLocks noChangeAspect="1"/>
                    </pic:cNvPicPr>
                  </pic:nvPicPr>
                  <pic:blipFill>
                    <a:blip r:embed="rId71"/>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89" name="图片 89" descr="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012"/>
                    <pic:cNvPicPr>
                      <a:picLocks noChangeAspect="1"/>
                    </pic:cNvPicPr>
                  </pic:nvPicPr>
                  <pic:blipFill>
                    <a:blip r:embed="rId72"/>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88" name="图片 88" descr="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013"/>
                    <pic:cNvPicPr>
                      <a:picLocks noChangeAspect="1"/>
                    </pic:cNvPicPr>
                  </pic:nvPicPr>
                  <pic:blipFill>
                    <a:blip r:embed="rId73"/>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86" name="图片 86" descr="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015"/>
                    <pic:cNvPicPr>
                      <a:picLocks noChangeAspect="1"/>
                    </pic:cNvPicPr>
                  </pic:nvPicPr>
                  <pic:blipFill>
                    <a:blip r:embed="rId74"/>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85" name="图片 85" descr="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016"/>
                    <pic:cNvPicPr>
                      <a:picLocks noChangeAspect="1"/>
                    </pic:cNvPicPr>
                  </pic:nvPicPr>
                  <pic:blipFill>
                    <a:blip r:embed="rId75"/>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82" name="图片 82" descr="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017"/>
                    <pic:cNvPicPr>
                      <a:picLocks noChangeAspect="1"/>
                    </pic:cNvPicPr>
                  </pic:nvPicPr>
                  <pic:blipFill>
                    <a:blip r:embed="rId76"/>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81" name="图片 81" descr="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018"/>
                    <pic:cNvPicPr>
                      <a:picLocks noChangeAspect="1"/>
                    </pic:cNvPicPr>
                  </pic:nvPicPr>
                  <pic:blipFill>
                    <a:blip r:embed="rId77"/>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80" name="图片 80" descr="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019"/>
                    <pic:cNvPicPr>
                      <a:picLocks noChangeAspect="1"/>
                    </pic:cNvPicPr>
                  </pic:nvPicPr>
                  <pic:blipFill>
                    <a:blip r:embed="rId78"/>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79" name="图片 79" descr="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020"/>
                    <pic:cNvPicPr>
                      <a:picLocks noChangeAspect="1"/>
                    </pic:cNvPicPr>
                  </pic:nvPicPr>
                  <pic:blipFill>
                    <a:blip r:embed="rId79"/>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78" name="图片 78" descr="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021"/>
                    <pic:cNvPicPr>
                      <a:picLocks noChangeAspect="1"/>
                    </pic:cNvPicPr>
                  </pic:nvPicPr>
                  <pic:blipFill>
                    <a:blip r:embed="rId80"/>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77" name="图片 77" descr="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022"/>
                    <pic:cNvPicPr>
                      <a:picLocks noChangeAspect="1"/>
                    </pic:cNvPicPr>
                  </pic:nvPicPr>
                  <pic:blipFill>
                    <a:blip r:embed="rId81"/>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76" name="图片 76" descr="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023"/>
                    <pic:cNvPicPr>
                      <a:picLocks noChangeAspect="1"/>
                    </pic:cNvPicPr>
                  </pic:nvPicPr>
                  <pic:blipFill>
                    <a:blip r:embed="rId82"/>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71" name="图片 71" descr="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024"/>
                    <pic:cNvPicPr>
                      <a:picLocks noChangeAspect="1"/>
                    </pic:cNvPicPr>
                  </pic:nvPicPr>
                  <pic:blipFill>
                    <a:blip r:embed="rId83"/>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66" name="图片 66" descr="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025"/>
                    <pic:cNvPicPr>
                      <a:picLocks noChangeAspect="1"/>
                    </pic:cNvPicPr>
                  </pic:nvPicPr>
                  <pic:blipFill>
                    <a:blip r:embed="rId84"/>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65" name="图片 65" descr="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026"/>
                    <pic:cNvPicPr>
                      <a:picLocks noChangeAspect="1"/>
                    </pic:cNvPicPr>
                  </pic:nvPicPr>
                  <pic:blipFill>
                    <a:blip r:embed="rId85"/>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64" name="图片 64" descr="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027"/>
                    <pic:cNvPicPr>
                      <a:picLocks noChangeAspect="1"/>
                    </pic:cNvPicPr>
                  </pic:nvPicPr>
                  <pic:blipFill>
                    <a:blip r:embed="rId86"/>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63" name="图片 63" descr="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028"/>
                    <pic:cNvPicPr>
                      <a:picLocks noChangeAspect="1"/>
                    </pic:cNvPicPr>
                  </pic:nvPicPr>
                  <pic:blipFill>
                    <a:blip r:embed="rId87"/>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62" name="图片 62" descr="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029"/>
                    <pic:cNvPicPr>
                      <a:picLocks noChangeAspect="1"/>
                    </pic:cNvPicPr>
                  </pic:nvPicPr>
                  <pic:blipFill>
                    <a:blip r:embed="rId88"/>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61" name="图片 61" descr="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030"/>
                    <pic:cNvPicPr>
                      <a:picLocks noChangeAspect="1"/>
                    </pic:cNvPicPr>
                  </pic:nvPicPr>
                  <pic:blipFill>
                    <a:blip r:embed="rId89"/>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60" name="图片 60" descr="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031"/>
                    <pic:cNvPicPr>
                      <a:picLocks noChangeAspect="1"/>
                    </pic:cNvPicPr>
                  </pic:nvPicPr>
                  <pic:blipFill>
                    <a:blip r:embed="rId90"/>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59" name="图片 59" descr="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032"/>
                    <pic:cNvPicPr>
                      <a:picLocks noChangeAspect="1"/>
                    </pic:cNvPicPr>
                  </pic:nvPicPr>
                  <pic:blipFill>
                    <a:blip r:embed="rId91"/>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58" name="图片 58" descr="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033"/>
                    <pic:cNvPicPr>
                      <a:picLocks noChangeAspect="1"/>
                    </pic:cNvPicPr>
                  </pic:nvPicPr>
                  <pic:blipFill>
                    <a:blip r:embed="rId92"/>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57" name="图片 57" descr="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034"/>
                    <pic:cNvPicPr>
                      <a:picLocks noChangeAspect="1"/>
                    </pic:cNvPicPr>
                  </pic:nvPicPr>
                  <pic:blipFill>
                    <a:blip r:embed="rId93"/>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56" name="图片 56" descr="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035"/>
                    <pic:cNvPicPr>
                      <a:picLocks noChangeAspect="1"/>
                    </pic:cNvPicPr>
                  </pic:nvPicPr>
                  <pic:blipFill>
                    <a:blip r:embed="rId94"/>
                    <a:stretch>
                      <a:fillRect/>
                    </a:stretch>
                  </pic:blipFill>
                  <pic:spPr>
                    <a:xfrm rot="10800000">
                      <a:off x="0" y="0"/>
                      <a:ext cx="5269865" cy="8679180"/>
                    </a:xfrm>
                    <a:prstGeom prst="rect">
                      <a:avLst/>
                    </a:prstGeom>
                  </pic:spPr>
                </pic:pic>
              </a:graphicData>
            </a:graphic>
          </wp:inline>
        </w:drawing>
      </w:r>
      <w:r>
        <w:rPr>
          <w:rFonts w:hint="eastAsia" w:eastAsia="宋体"/>
          <w:lang w:eastAsia="zh-CN"/>
        </w:rPr>
        <w:drawing>
          <wp:inline distT="0" distB="0" distL="114300" distR="114300">
            <wp:extent cx="5269865" cy="8679180"/>
            <wp:effectExtent l="0" t="0" r="3175" b="7620"/>
            <wp:docPr id="54" name="图片 54" descr="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036"/>
                    <pic:cNvPicPr>
                      <a:picLocks noChangeAspect="1"/>
                    </pic:cNvPicPr>
                  </pic:nvPicPr>
                  <pic:blipFill>
                    <a:blip r:embed="rId95"/>
                    <a:stretch>
                      <a:fillRect/>
                    </a:stretch>
                  </pic:blipFill>
                  <pic:spPr>
                    <a:xfrm rot="10800000">
                      <a:off x="0" y="0"/>
                      <a:ext cx="5269865" cy="8679180"/>
                    </a:xfrm>
                    <a:prstGeom prst="rect">
                      <a:avLst/>
                    </a:prstGeom>
                  </pic:spPr>
                </pic:pic>
              </a:graphicData>
            </a:graphic>
          </wp:inline>
        </w:drawing>
      </w:r>
    </w:p>
    <w:p>
      <w:pPr>
        <w:spacing w:before="120" w:beforeLines="50" w:line="360" w:lineRule="auto"/>
        <w:outlineLvl w:val="1"/>
        <w:rPr>
          <w:rFonts w:hint="eastAsia" w:eastAsia="仿宋_GB2312"/>
          <w:b/>
          <w:sz w:val="24"/>
          <w:lang w:val="en-US" w:eastAsia="zh-CN"/>
        </w:rPr>
      </w:pPr>
      <w:r>
        <w:rPr>
          <w:rFonts w:hint="eastAsia" w:eastAsia="仿宋_GB2312"/>
          <w:b/>
          <w:sz w:val="24"/>
          <w:lang w:val="en-US" w:eastAsia="zh-CN"/>
        </w:rPr>
        <w:t>12</w:t>
      </w:r>
      <w:r>
        <w:rPr>
          <w:rFonts w:eastAsia="仿宋_GB2312"/>
          <w:b/>
          <w:sz w:val="24"/>
        </w:rPr>
        <w:t>、</w:t>
      </w:r>
      <w:r>
        <w:rPr>
          <w:rFonts w:hint="eastAsia" w:eastAsia="仿宋_GB2312"/>
          <w:b/>
          <w:sz w:val="24"/>
          <w:lang w:val="en-US" w:eastAsia="zh-CN"/>
        </w:rPr>
        <w:t>签到表</w:t>
      </w:r>
    </w:p>
    <w:p>
      <w:pPr>
        <w:pStyle w:val="2"/>
        <w:jc w:val="center"/>
        <w:rPr>
          <w:rFonts w:hint="eastAsia" w:eastAsia="宋体"/>
          <w:lang w:eastAsia="zh-CN"/>
        </w:rPr>
      </w:pPr>
      <w:r>
        <w:rPr>
          <w:rFonts w:hint="eastAsia" w:eastAsia="宋体"/>
          <w:lang w:eastAsia="zh-CN"/>
        </w:rPr>
        <w:drawing>
          <wp:inline distT="0" distB="0" distL="114300" distR="114300">
            <wp:extent cx="5269865" cy="8275320"/>
            <wp:effectExtent l="0" t="0" r="3175" b="0"/>
            <wp:docPr id="103" name="图片 103"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002"/>
                    <pic:cNvPicPr>
                      <a:picLocks noChangeAspect="1"/>
                    </pic:cNvPicPr>
                  </pic:nvPicPr>
                  <pic:blipFill>
                    <a:blip r:embed="rId96"/>
                    <a:stretch>
                      <a:fillRect/>
                    </a:stretch>
                  </pic:blipFill>
                  <pic:spPr>
                    <a:xfrm rot="10800000">
                      <a:off x="0" y="0"/>
                      <a:ext cx="5269865" cy="8275320"/>
                    </a:xfrm>
                    <a:prstGeom prst="rect">
                      <a:avLst/>
                    </a:prstGeom>
                  </pic:spPr>
                </pic:pic>
              </a:graphicData>
            </a:graphic>
          </wp:inline>
        </w:drawing>
      </w:r>
    </w:p>
    <w:sectPr>
      <w:pgSz w:w="11906" w:h="16838"/>
      <w:pgMar w:top="1440" w:right="1800" w:bottom="1440" w:left="1800" w:header="851" w:footer="992" w:gutter="0"/>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default"/>
    <w:sig w:usb0="E4002EFF" w:usb1="C000247B" w:usb2="00000009" w:usb3="00000000" w:csb0="200001FF" w:csb1="00000000"/>
  </w:font>
  <w:font w:name="方正宋三简体">
    <w:altName w:val="宋体"/>
    <w:panose1 w:val="00000000000000000000"/>
    <w:charset w:val="86"/>
    <w:family w:val="auto"/>
    <w:pitch w:val="default"/>
    <w:sig w:usb0="00000000" w:usb1="00000000" w:usb2="00000010" w:usb3="00000000" w:csb0="00040000" w:csb1="00000000"/>
  </w:font>
  <w:font w:name="TimesNewRomanPSMT">
    <w:altName w:val="Times New Roman"/>
    <w:panose1 w:val="00000000000000000000"/>
    <w:charset w:val="00"/>
    <w:family w:val="auto"/>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p>
  <w:p>
    <w:pPr>
      <w:pStyle w:val="21"/>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framePr w:wrap="around" w:vAnchor="text" w:hAnchor="margin" w:xAlign="right" w:y="1"/>
      <w:rPr>
        <w:rStyle w:val="36"/>
      </w:rPr>
    </w:pPr>
    <w:r>
      <w:fldChar w:fldCharType="begin"/>
    </w:r>
    <w:r>
      <w:rPr>
        <w:rStyle w:val="36"/>
      </w:rPr>
      <w:instrText xml:space="preserve">PAGE  </w:instrText>
    </w:r>
    <w:r>
      <w:fldChar w:fldCharType="end"/>
    </w:r>
  </w:p>
  <w:p>
    <w:pPr>
      <w:pStyle w:val="21"/>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4</w:t>
                    </w:r>
                    <w:r>
                      <w:fldChar w:fldCharType="end"/>
                    </w:r>
                  </w:p>
                </w:txbxContent>
              </v:textbox>
            </v:shape>
          </w:pict>
        </mc:Fallback>
      </mc:AlternateContent>
    </w:r>
  </w:p>
  <w:p>
    <w:pPr>
      <w:pStyle w:val="21"/>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10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EhH8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pFSWaKVT8/OP7&#10;+efv869vBGcQqLF+jrgHi8jQvjMt2mY49ziMvNvSqfgFIwI/5D1d5BVtIDxemk1nszFcHL5hA/zs&#10;6bp1PrwXRpFo5NShfklWdtz60IUOITGbNptaylRDqUmT0+urt+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MqEhH8tAgAAVwQAAA4AAAAAAAAAAQAgAAAAHwEAAGRycy9lMm9Eb2MueG1sUEsFBgAAAAAG&#10;AAYAWQEAAL4FA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10</w:t>
                    </w:r>
                    <w:r>
                      <w:fldChar w:fldCharType="end"/>
                    </w:r>
                  </w:p>
                </w:txbxContent>
              </v:textbox>
            </v:shape>
          </w:pict>
        </mc:Fallback>
      </mc:AlternateContent>
    </w:r>
  </w:p>
  <w:p>
    <w:pPr>
      <w:pStyle w:val="21"/>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126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1Ob0EtAgAAVw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rydpu2FqwfgUiNHJNE9Nlqh2Tc9s73J&#10;zyDmTNcb3vJNheRb5sMDc2gGPBjjEu6xFNIgiektSkrjvv7rPMajRvBSUqO5MqoxS5TIDxq1A2AY&#10;DDcY+8HQR3Vn0K1jjKHlrYkLLsjBLJxRXzBDq5gDLqY5MmU0DOZd6BocM8jFatUGodssC1u9szxC&#10;R/G8XR0DBGx1jaJ0SvRaod/ayvSzERv6z30b9fQ/WD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F1Ob0EtAgAAVwQAAA4AAAAAAAAAAQAgAAAAHwEAAGRycy9lMm9Eb2MueG1sUEsFBgAAAAAG&#10;AAYAWQEAAL4FA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126</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17" w:lineRule="exact"/>
      <w:ind w:firstLine="3975"/>
      <w:rPr>
        <w:rFonts w:ascii="Calibri" w:hAnsi="Calibri" w:eastAsia="Calibri" w:cs="Calibri"/>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68" name="文本框 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P6hPo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T+oT6MQIAAGMEAAAOAAAAAAAAAAEAIAAAAB8BAABkcnMvZTJvRG9jLnhtbFBLBQYA&#10;AAAABgAGAFkBAADCBQ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16" w:lineRule="exact"/>
      <w:ind w:firstLine="4438"/>
      <w:rPr>
        <w:rFonts w:ascii="Calibri" w:hAnsi="Calibri" w:eastAsia="Calibri" w:cs="Calibri"/>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69" name="文本框 6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83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FSExU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otJYZpVPz04/vp&#10;58Pp1zeCMwjUuDBD3L1DZGzf2RZtM5wHHCbebeV1+oIRgR/yHi/yijYSni5NJ9NpDheHb9gAP3u8&#10;7nyI74XVJBkF9ahfJys7bELsQ4eQlM3YtVSqq6EypAGJ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FSExUzAgAAYwQAAA4AAAAAAAAAAQAgAAAAHwEAAGRycy9lMm9Eb2MueG1sUEsF&#10;BgAAAAAGAAYAWQEAAMQFA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83</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rPr>
        <w:rFonts w:hint="eastAsia"/>
        <w:lang w:eastAsia="zh-CN"/>
      </w:rPr>
      <w:t>翁源县中源发展有限公司</w:t>
    </w:r>
    <w:r>
      <w:rPr>
        <w:rFonts w:hint="eastAsia"/>
      </w:rPr>
      <w:t>突发环境事件应急预案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534BD1"/>
    <w:multiLevelType w:val="singleLevel"/>
    <w:tmpl w:val="8C534BD1"/>
    <w:lvl w:ilvl="0" w:tentative="0">
      <w:start w:val="1"/>
      <w:numFmt w:val="decimal"/>
      <w:suff w:val="nothing"/>
      <w:lvlText w:val="（%1）"/>
      <w:lvlJc w:val="left"/>
      <w:pPr>
        <w:tabs>
          <w:tab w:val="left" w:pos="0"/>
        </w:tabs>
        <w:ind w:left="0" w:firstLine="0"/>
      </w:pPr>
    </w:lvl>
  </w:abstractNum>
  <w:abstractNum w:abstractNumId="1">
    <w:nsid w:val="91B99AD3"/>
    <w:multiLevelType w:val="singleLevel"/>
    <w:tmpl w:val="91B99AD3"/>
    <w:lvl w:ilvl="0" w:tentative="0">
      <w:start w:val="1"/>
      <w:numFmt w:val="decimal"/>
      <w:suff w:val="nothing"/>
      <w:lvlText w:val="（%1）"/>
      <w:lvlJc w:val="left"/>
      <w:pPr>
        <w:tabs>
          <w:tab w:val="left" w:pos="0"/>
        </w:tabs>
        <w:ind w:left="0" w:firstLine="0"/>
      </w:pPr>
    </w:lvl>
  </w:abstractNum>
  <w:abstractNum w:abstractNumId="2">
    <w:nsid w:val="A6C5CA40"/>
    <w:multiLevelType w:val="singleLevel"/>
    <w:tmpl w:val="A6C5CA40"/>
    <w:lvl w:ilvl="0" w:tentative="0">
      <w:start w:val="1"/>
      <w:numFmt w:val="decimal"/>
      <w:lvlText w:val="%1."/>
      <w:lvlJc w:val="left"/>
      <w:pPr>
        <w:tabs>
          <w:tab w:val="left" w:pos="312"/>
        </w:tabs>
      </w:pPr>
    </w:lvl>
  </w:abstractNum>
  <w:abstractNum w:abstractNumId="3">
    <w:nsid w:val="B295A757"/>
    <w:multiLevelType w:val="singleLevel"/>
    <w:tmpl w:val="B295A757"/>
    <w:lvl w:ilvl="0" w:tentative="0">
      <w:start w:val="1"/>
      <w:numFmt w:val="decimal"/>
      <w:suff w:val="nothing"/>
      <w:lvlText w:val="（%1）"/>
      <w:lvlJc w:val="left"/>
      <w:pPr>
        <w:tabs>
          <w:tab w:val="left" w:pos="0"/>
        </w:tabs>
        <w:ind w:left="0" w:firstLine="0"/>
      </w:pPr>
    </w:lvl>
  </w:abstractNum>
  <w:abstractNum w:abstractNumId="4">
    <w:nsid w:val="D948A7A5"/>
    <w:multiLevelType w:val="singleLevel"/>
    <w:tmpl w:val="D948A7A5"/>
    <w:lvl w:ilvl="0" w:tentative="0">
      <w:start w:val="1"/>
      <w:numFmt w:val="decimal"/>
      <w:suff w:val="nothing"/>
      <w:lvlText w:val="%1、"/>
      <w:lvlJc w:val="left"/>
    </w:lvl>
  </w:abstractNum>
  <w:abstractNum w:abstractNumId="5">
    <w:nsid w:val="DAA33696"/>
    <w:multiLevelType w:val="singleLevel"/>
    <w:tmpl w:val="DAA33696"/>
    <w:lvl w:ilvl="0" w:tentative="0">
      <w:start w:val="1"/>
      <w:numFmt w:val="decimal"/>
      <w:suff w:val="nothing"/>
      <w:lvlText w:val="（%1）"/>
      <w:lvlJc w:val="left"/>
      <w:pPr>
        <w:tabs>
          <w:tab w:val="left" w:pos="0"/>
        </w:tabs>
        <w:ind w:left="0" w:firstLine="0"/>
      </w:pPr>
    </w:lvl>
  </w:abstractNum>
  <w:abstractNum w:abstractNumId="6">
    <w:nsid w:val="ED612809"/>
    <w:multiLevelType w:val="singleLevel"/>
    <w:tmpl w:val="ED612809"/>
    <w:lvl w:ilvl="0" w:tentative="0">
      <w:start w:val="1"/>
      <w:numFmt w:val="decimal"/>
      <w:lvlText w:val="%1."/>
      <w:lvlJc w:val="left"/>
      <w:pPr>
        <w:tabs>
          <w:tab w:val="left" w:pos="312"/>
        </w:tabs>
      </w:pPr>
    </w:lvl>
  </w:abstractNum>
  <w:abstractNum w:abstractNumId="7">
    <w:nsid w:val="0AC31599"/>
    <w:multiLevelType w:val="singleLevel"/>
    <w:tmpl w:val="0AC31599"/>
    <w:lvl w:ilvl="0" w:tentative="0">
      <w:start w:val="1"/>
      <w:numFmt w:val="decimal"/>
      <w:suff w:val="nothing"/>
      <w:lvlText w:val="（%1）"/>
      <w:lvlJc w:val="left"/>
      <w:pPr>
        <w:tabs>
          <w:tab w:val="left" w:pos="0"/>
        </w:tabs>
        <w:ind w:left="0" w:firstLine="0"/>
      </w:pPr>
    </w:lvl>
  </w:abstractNum>
  <w:abstractNum w:abstractNumId="8">
    <w:nsid w:val="3C55DE40"/>
    <w:multiLevelType w:val="singleLevel"/>
    <w:tmpl w:val="3C55DE40"/>
    <w:lvl w:ilvl="0" w:tentative="0">
      <w:start w:val="1"/>
      <w:numFmt w:val="decimal"/>
      <w:suff w:val="nothing"/>
      <w:lvlText w:val="（%1）"/>
      <w:lvlJc w:val="left"/>
      <w:pPr>
        <w:tabs>
          <w:tab w:val="left" w:pos="0"/>
        </w:tabs>
        <w:ind w:left="0" w:firstLine="0"/>
      </w:pPr>
    </w:lvl>
  </w:abstractNum>
  <w:abstractNum w:abstractNumId="9">
    <w:nsid w:val="3E89C8F8"/>
    <w:multiLevelType w:val="singleLevel"/>
    <w:tmpl w:val="3E89C8F8"/>
    <w:lvl w:ilvl="0" w:tentative="0">
      <w:start w:val="1"/>
      <w:numFmt w:val="decimal"/>
      <w:suff w:val="nothing"/>
      <w:lvlText w:val="（%1）"/>
      <w:lvlJc w:val="left"/>
    </w:lvl>
  </w:abstractNum>
  <w:abstractNum w:abstractNumId="10">
    <w:nsid w:val="5B7F73F6"/>
    <w:multiLevelType w:val="singleLevel"/>
    <w:tmpl w:val="5B7F73F6"/>
    <w:lvl w:ilvl="0" w:tentative="0">
      <w:start w:val="1"/>
      <w:numFmt w:val="decimal"/>
      <w:lvlText w:val="%1."/>
      <w:lvlJc w:val="left"/>
      <w:pPr>
        <w:tabs>
          <w:tab w:val="left" w:pos="312"/>
        </w:tabs>
      </w:pPr>
    </w:lvl>
  </w:abstractNum>
  <w:abstractNum w:abstractNumId="11">
    <w:nsid w:val="6E87416A"/>
    <w:multiLevelType w:val="singleLevel"/>
    <w:tmpl w:val="6E87416A"/>
    <w:lvl w:ilvl="0" w:tentative="0">
      <w:start w:val="1"/>
      <w:numFmt w:val="decimal"/>
      <w:suff w:val="nothing"/>
      <w:lvlText w:val="（%1）"/>
      <w:lvlJc w:val="left"/>
    </w:lvl>
  </w:abstractNum>
  <w:abstractNum w:abstractNumId="12">
    <w:nsid w:val="72A31B4E"/>
    <w:multiLevelType w:val="multilevel"/>
    <w:tmpl w:val="72A31B4E"/>
    <w:lvl w:ilvl="0" w:tentative="0">
      <w:start w:val="1"/>
      <w:numFmt w:val="decimalEnclosedParen"/>
      <w:lvlText w:val="%1"/>
      <w:lvlJc w:val="left"/>
      <w:pPr>
        <w:ind w:left="927" w:hanging="360"/>
      </w:pPr>
      <w:rPr>
        <w:rFonts w:hint="eastAsia" w:ascii="仿宋_GB2312" w:eastAsia="仿宋_GB2312"/>
        <w:sz w:val="24"/>
        <w:szCs w:val="24"/>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num w:numId="1">
    <w:abstractNumId w:val="12"/>
  </w:num>
  <w:num w:numId="2">
    <w:abstractNumId w:val="9"/>
  </w:num>
  <w:num w:numId="3">
    <w:abstractNumId w:val="1"/>
  </w:num>
  <w:num w:numId="4">
    <w:abstractNumId w:val="5"/>
  </w:num>
  <w:num w:numId="5">
    <w:abstractNumId w:val="7"/>
  </w:num>
  <w:num w:numId="6">
    <w:abstractNumId w:val="0"/>
  </w:num>
  <w:num w:numId="7">
    <w:abstractNumId w:val="8"/>
  </w:num>
  <w:num w:numId="8">
    <w:abstractNumId w:val="11"/>
  </w:num>
  <w:num w:numId="9">
    <w:abstractNumId w:val="3"/>
  </w:num>
  <w:num w:numId="10">
    <w:abstractNumId w:val="6"/>
  </w:num>
  <w:num w:numId="11">
    <w:abstractNumId w:val="2"/>
  </w:num>
  <w:num w:numId="12">
    <w:abstractNumId w:val="10"/>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27E6"/>
    <w:rsid w:val="000010F8"/>
    <w:rsid w:val="000011A3"/>
    <w:rsid w:val="000012FA"/>
    <w:rsid w:val="0000138C"/>
    <w:rsid w:val="0000139F"/>
    <w:rsid w:val="00002333"/>
    <w:rsid w:val="000026AB"/>
    <w:rsid w:val="00002773"/>
    <w:rsid w:val="00002D4A"/>
    <w:rsid w:val="000034F2"/>
    <w:rsid w:val="00003534"/>
    <w:rsid w:val="00003FEB"/>
    <w:rsid w:val="00004273"/>
    <w:rsid w:val="0000448B"/>
    <w:rsid w:val="00004907"/>
    <w:rsid w:val="00004D18"/>
    <w:rsid w:val="0000513D"/>
    <w:rsid w:val="000056AF"/>
    <w:rsid w:val="00005AC9"/>
    <w:rsid w:val="00006792"/>
    <w:rsid w:val="00006A38"/>
    <w:rsid w:val="00006E35"/>
    <w:rsid w:val="00007057"/>
    <w:rsid w:val="000102A5"/>
    <w:rsid w:val="0001083E"/>
    <w:rsid w:val="00010879"/>
    <w:rsid w:val="000109E3"/>
    <w:rsid w:val="00010B38"/>
    <w:rsid w:val="0001141B"/>
    <w:rsid w:val="00011F9C"/>
    <w:rsid w:val="000125CC"/>
    <w:rsid w:val="00012888"/>
    <w:rsid w:val="00012E31"/>
    <w:rsid w:val="00013461"/>
    <w:rsid w:val="00013632"/>
    <w:rsid w:val="00013BB7"/>
    <w:rsid w:val="00013F39"/>
    <w:rsid w:val="000145D9"/>
    <w:rsid w:val="0001587F"/>
    <w:rsid w:val="0001616C"/>
    <w:rsid w:val="0001687D"/>
    <w:rsid w:val="00016A45"/>
    <w:rsid w:val="00016DEC"/>
    <w:rsid w:val="000170FB"/>
    <w:rsid w:val="000176A3"/>
    <w:rsid w:val="00020F20"/>
    <w:rsid w:val="000214E3"/>
    <w:rsid w:val="000215E1"/>
    <w:rsid w:val="00021982"/>
    <w:rsid w:val="00022F38"/>
    <w:rsid w:val="00023086"/>
    <w:rsid w:val="000232E0"/>
    <w:rsid w:val="0002387D"/>
    <w:rsid w:val="00024124"/>
    <w:rsid w:val="000243C9"/>
    <w:rsid w:val="00024444"/>
    <w:rsid w:val="00025B9B"/>
    <w:rsid w:val="00026216"/>
    <w:rsid w:val="00027645"/>
    <w:rsid w:val="0002774D"/>
    <w:rsid w:val="00027DC7"/>
    <w:rsid w:val="00030008"/>
    <w:rsid w:val="00030A65"/>
    <w:rsid w:val="00031699"/>
    <w:rsid w:val="000320B5"/>
    <w:rsid w:val="00032284"/>
    <w:rsid w:val="0003240F"/>
    <w:rsid w:val="00032DE3"/>
    <w:rsid w:val="00033A3A"/>
    <w:rsid w:val="00033DE9"/>
    <w:rsid w:val="0003474C"/>
    <w:rsid w:val="00034762"/>
    <w:rsid w:val="00034A05"/>
    <w:rsid w:val="00034BD7"/>
    <w:rsid w:val="000353F8"/>
    <w:rsid w:val="00035B9E"/>
    <w:rsid w:val="00036124"/>
    <w:rsid w:val="0003687D"/>
    <w:rsid w:val="000369CE"/>
    <w:rsid w:val="00036CA4"/>
    <w:rsid w:val="000374E1"/>
    <w:rsid w:val="000376DC"/>
    <w:rsid w:val="00037B7F"/>
    <w:rsid w:val="00040056"/>
    <w:rsid w:val="00041939"/>
    <w:rsid w:val="00041DB9"/>
    <w:rsid w:val="00041E40"/>
    <w:rsid w:val="00042CFE"/>
    <w:rsid w:val="000438D8"/>
    <w:rsid w:val="00044811"/>
    <w:rsid w:val="00044961"/>
    <w:rsid w:val="00044F0D"/>
    <w:rsid w:val="0004502D"/>
    <w:rsid w:val="000453A0"/>
    <w:rsid w:val="000456D1"/>
    <w:rsid w:val="00045B9B"/>
    <w:rsid w:val="00046413"/>
    <w:rsid w:val="00046B0A"/>
    <w:rsid w:val="00046C2F"/>
    <w:rsid w:val="00046F24"/>
    <w:rsid w:val="00047154"/>
    <w:rsid w:val="00047681"/>
    <w:rsid w:val="00047951"/>
    <w:rsid w:val="00050166"/>
    <w:rsid w:val="00051621"/>
    <w:rsid w:val="00051ED2"/>
    <w:rsid w:val="000533D5"/>
    <w:rsid w:val="00054085"/>
    <w:rsid w:val="00054249"/>
    <w:rsid w:val="00054D0A"/>
    <w:rsid w:val="00054FE0"/>
    <w:rsid w:val="0005525F"/>
    <w:rsid w:val="000553CE"/>
    <w:rsid w:val="0005578E"/>
    <w:rsid w:val="00055940"/>
    <w:rsid w:val="000563B0"/>
    <w:rsid w:val="000563D0"/>
    <w:rsid w:val="00056DA6"/>
    <w:rsid w:val="000575D4"/>
    <w:rsid w:val="00057818"/>
    <w:rsid w:val="00057A03"/>
    <w:rsid w:val="00057E1F"/>
    <w:rsid w:val="00060803"/>
    <w:rsid w:val="00061762"/>
    <w:rsid w:val="00061D88"/>
    <w:rsid w:val="00063DCD"/>
    <w:rsid w:val="00064298"/>
    <w:rsid w:val="000649D2"/>
    <w:rsid w:val="00064D12"/>
    <w:rsid w:val="0006515E"/>
    <w:rsid w:val="000652B5"/>
    <w:rsid w:val="00065B5A"/>
    <w:rsid w:val="00065B5E"/>
    <w:rsid w:val="00065C1F"/>
    <w:rsid w:val="00066183"/>
    <w:rsid w:val="000663DF"/>
    <w:rsid w:val="000665F2"/>
    <w:rsid w:val="00066D1E"/>
    <w:rsid w:val="000700B9"/>
    <w:rsid w:val="0007068A"/>
    <w:rsid w:val="0007069B"/>
    <w:rsid w:val="00070ADC"/>
    <w:rsid w:val="00070BCC"/>
    <w:rsid w:val="00070F4C"/>
    <w:rsid w:val="00071399"/>
    <w:rsid w:val="000714A8"/>
    <w:rsid w:val="00071560"/>
    <w:rsid w:val="00072938"/>
    <w:rsid w:val="00072A28"/>
    <w:rsid w:val="00074D8B"/>
    <w:rsid w:val="00074DF0"/>
    <w:rsid w:val="0007560E"/>
    <w:rsid w:val="00075761"/>
    <w:rsid w:val="00075DDC"/>
    <w:rsid w:val="00075ECD"/>
    <w:rsid w:val="00076789"/>
    <w:rsid w:val="00077B85"/>
    <w:rsid w:val="0008013E"/>
    <w:rsid w:val="00080340"/>
    <w:rsid w:val="000808A2"/>
    <w:rsid w:val="0008099B"/>
    <w:rsid w:val="00080BFE"/>
    <w:rsid w:val="00081D33"/>
    <w:rsid w:val="00081DED"/>
    <w:rsid w:val="00081FE3"/>
    <w:rsid w:val="00082656"/>
    <w:rsid w:val="00082864"/>
    <w:rsid w:val="0008334A"/>
    <w:rsid w:val="00083DBC"/>
    <w:rsid w:val="000842F6"/>
    <w:rsid w:val="000844A9"/>
    <w:rsid w:val="00084DAA"/>
    <w:rsid w:val="000865A3"/>
    <w:rsid w:val="00086832"/>
    <w:rsid w:val="000869A0"/>
    <w:rsid w:val="00086C0A"/>
    <w:rsid w:val="00086D27"/>
    <w:rsid w:val="00087D86"/>
    <w:rsid w:val="0009044C"/>
    <w:rsid w:val="00090B33"/>
    <w:rsid w:val="00090BD1"/>
    <w:rsid w:val="00090F5B"/>
    <w:rsid w:val="000913FF"/>
    <w:rsid w:val="00091F03"/>
    <w:rsid w:val="00091FF6"/>
    <w:rsid w:val="00092280"/>
    <w:rsid w:val="00092619"/>
    <w:rsid w:val="0009267A"/>
    <w:rsid w:val="000928CD"/>
    <w:rsid w:val="00092965"/>
    <w:rsid w:val="00092A28"/>
    <w:rsid w:val="00093A87"/>
    <w:rsid w:val="000941CF"/>
    <w:rsid w:val="00094265"/>
    <w:rsid w:val="00094290"/>
    <w:rsid w:val="000949AA"/>
    <w:rsid w:val="00094C94"/>
    <w:rsid w:val="000961C0"/>
    <w:rsid w:val="0009638C"/>
    <w:rsid w:val="000967BA"/>
    <w:rsid w:val="00097C33"/>
    <w:rsid w:val="00097D5E"/>
    <w:rsid w:val="00097D6C"/>
    <w:rsid w:val="000A012B"/>
    <w:rsid w:val="000A04CF"/>
    <w:rsid w:val="000A092A"/>
    <w:rsid w:val="000A0BCD"/>
    <w:rsid w:val="000A0EE2"/>
    <w:rsid w:val="000A15B1"/>
    <w:rsid w:val="000A1ED4"/>
    <w:rsid w:val="000A21D6"/>
    <w:rsid w:val="000A2933"/>
    <w:rsid w:val="000A3C44"/>
    <w:rsid w:val="000A407E"/>
    <w:rsid w:val="000A423D"/>
    <w:rsid w:val="000A4C5F"/>
    <w:rsid w:val="000A5B28"/>
    <w:rsid w:val="000A5C6A"/>
    <w:rsid w:val="000A5D0F"/>
    <w:rsid w:val="000A5F5F"/>
    <w:rsid w:val="000A639D"/>
    <w:rsid w:val="000A6891"/>
    <w:rsid w:val="000A75CF"/>
    <w:rsid w:val="000A7709"/>
    <w:rsid w:val="000A78CF"/>
    <w:rsid w:val="000A78F7"/>
    <w:rsid w:val="000A7A48"/>
    <w:rsid w:val="000A7C46"/>
    <w:rsid w:val="000A7F0C"/>
    <w:rsid w:val="000B05F5"/>
    <w:rsid w:val="000B18F9"/>
    <w:rsid w:val="000B1BFC"/>
    <w:rsid w:val="000B2A94"/>
    <w:rsid w:val="000B325D"/>
    <w:rsid w:val="000B3497"/>
    <w:rsid w:val="000B3889"/>
    <w:rsid w:val="000B38F3"/>
    <w:rsid w:val="000B6203"/>
    <w:rsid w:val="000B63A5"/>
    <w:rsid w:val="000B7DA7"/>
    <w:rsid w:val="000C086C"/>
    <w:rsid w:val="000C0BE6"/>
    <w:rsid w:val="000C1396"/>
    <w:rsid w:val="000C1F34"/>
    <w:rsid w:val="000C2FB0"/>
    <w:rsid w:val="000C2FF9"/>
    <w:rsid w:val="000C3835"/>
    <w:rsid w:val="000C3CEC"/>
    <w:rsid w:val="000C4399"/>
    <w:rsid w:val="000C4424"/>
    <w:rsid w:val="000C4A5C"/>
    <w:rsid w:val="000C4B49"/>
    <w:rsid w:val="000C50CE"/>
    <w:rsid w:val="000C5972"/>
    <w:rsid w:val="000C5DD0"/>
    <w:rsid w:val="000C5DFF"/>
    <w:rsid w:val="000C5E28"/>
    <w:rsid w:val="000C6797"/>
    <w:rsid w:val="000C69D5"/>
    <w:rsid w:val="000C718E"/>
    <w:rsid w:val="000C799D"/>
    <w:rsid w:val="000C7B0F"/>
    <w:rsid w:val="000C7E26"/>
    <w:rsid w:val="000D03D8"/>
    <w:rsid w:val="000D0635"/>
    <w:rsid w:val="000D069C"/>
    <w:rsid w:val="000D1466"/>
    <w:rsid w:val="000D16FB"/>
    <w:rsid w:val="000D1A95"/>
    <w:rsid w:val="000D273B"/>
    <w:rsid w:val="000D295C"/>
    <w:rsid w:val="000D2F20"/>
    <w:rsid w:val="000D45AA"/>
    <w:rsid w:val="000D56CB"/>
    <w:rsid w:val="000D582E"/>
    <w:rsid w:val="000D5855"/>
    <w:rsid w:val="000D596C"/>
    <w:rsid w:val="000D6CAD"/>
    <w:rsid w:val="000D6EEB"/>
    <w:rsid w:val="000E09F8"/>
    <w:rsid w:val="000E0CEA"/>
    <w:rsid w:val="000E1991"/>
    <w:rsid w:val="000E1BD2"/>
    <w:rsid w:val="000E214C"/>
    <w:rsid w:val="000E2EF9"/>
    <w:rsid w:val="000E4D7C"/>
    <w:rsid w:val="000E5ADC"/>
    <w:rsid w:val="000E68E1"/>
    <w:rsid w:val="000E6B61"/>
    <w:rsid w:val="000E71C0"/>
    <w:rsid w:val="000E730C"/>
    <w:rsid w:val="000E7D5D"/>
    <w:rsid w:val="000F115A"/>
    <w:rsid w:val="000F14EC"/>
    <w:rsid w:val="000F31F1"/>
    <w:rsid w:val="000F3F56"/>
    <w:rsid w:val="000F4C30"/>
    <w:rsid w:val="000F6090"/>
    <w:rsid w:val="000F6326"/>
    <w:rsid w:val="000F6B36"/>
    <w:rsid w:val="000F7210"/>
    <w:rsid w:val="0010004B"/>
    <w:rsid w:val="001008DD"/>
    <w:rsid w:val="00100CC3"/>
    <w:rsid w:val="00100CFA"/>
    <w:rsid w:val="001014F9"/>
    <w:rsid w:val="00101E83"/>
    <w:rsid w:val="00101F19"/>
    <w:rsid w:val="001024F3"/>
    <w:rsid w:val="001047A3"/>
    <w:rsid w:val="00104900"/>
    <w:rsid w:val="00104C79"/>
    <w:rsid w:val="00104F69"/>
    <w:rsid w:val="00104FC5"/>
    <w:rsid w:val="00105401"/>
    <w:rsid w:val="00105473"/>
    <w:rsid w:val="001054F2"/>
    <w:rsid w:val="00105C25"/>
    <w:rsid w:val="001060DB"/>
    <w:rsid w:val="0010647F"/>
    <w:rsid w:val="00106D40"/>
    <w:rsid w:val="001076DD"/>
    <w:rsid w:val="0010771D"/>
    <w:rsid w:val="001078F3"/>
    <w:rsid w:val="001100BF"/>
    <w:rsid w:val="00110540"/>
    <w:rsid w:val="0011074B"/>
    <w:rsid w:val="00110A01"/>
    <w:rsid w:val="00110DDB"/>
    <w:rsid w:val="00110E68"/>
    <w:rsid w:val="00110FB3"/>
    <w:rsid w:val="001118A4"/>
    <w:rsid w:val="00111CA7"/>
    <w:rsid w:val="00111D59"/>
    <w:rsid w:val="00112343"/>
    <w:rsid w:val="00112548"/>
    <w:rsid w:val="00112D63"/>
    <w:rsid w:val="00112E24"/>
    <w:rsid w:val="00113635"/>
    <w:rsid w:val="001136B0"/>
    <w:rsid w:val="001136BD"/>
    <w:rsid w:val="00113858"/>
    <w:rsid w:val="00113BF7"/>
    <w:rsid w:val="00115EB9"/>
    <w:rsid w:val="001172F8"/>
    <w:rsid w:val="00117415"/>
    <w:rsid w:val="001178EA"/>
    <w:rsid w:val="00120B0F"/>
    <w:rsid w:val="00120EC3"/>
    <w:rsid w:val="00121BA8"/>
    <w:rsid w:val="0012233A"/>
    <w:rsid w:val="00122AED"/>
    <w:rsid w:val="00123504"/>
    <w:rsid w:val="001258A3"/>
    <w:rsid w:val="00126AEF"/>
    <w:rsid w:val="001271D0"/>
    <w:rsid w:val="001271F0"/>
    <w:rsid w:val="001275FB"/>
    <w:rsid w:val="001304A8"/>
    <w:rsid w:val="00130803"/>
    <w:rsid w:val="00130912"/>
    <w:rsid w:val="00131838"/>
    <w:rsid w:val="00132031"/>
    <w:rsid w:val="00132782"/>
    <w:rsid w:val="001329D2"/>
    <w:rsid w:val="00132E9F"/>
    <w:rsid w:val="00132F28"/>
    <w:rsid w:val="00133F47"/>
    <w:rsid w:val="00133F6B"/>
    <w:rsid w:val="0013463B"/>
    <w:rsid w:val="00134EB1"/>
    <w:rsid w:val="00135586"/>
    <w:rsid w:val="00137A88"/>
    <w:rsid w:val="00137ED9"/>
    <w:rsid w:val="0014017B"/>
    <w:rsid w:val="00141032"/>
    <w:rsid w:val="001436BA"/>
    <w:rsid w:val="001437D9"/>
    <w:rsid w:val="00143B7F"/>
    <w:rsid w:val="00144DB1"/>
    <w:rsid w:val="00144E40"/>
    <w:rsid w:val="00144E46"/>
    <w:rsid w:val="0014521B"/>
    <w:rsid w:val="00145504"/>
    <w:rsid w:val="00145709"/>
    <w:rsid w:val="00145B2C"/>
    <w:rsid w:val="00145C4F"/>
    <w:rsid w:val="00145EA8"/>
    <w:rsid w:val="0014607B"/>
    <w:rsid w:val="0014687D"/>
    <w:rsid w:val="00147303"/>
    <w:rsid w:val="00147821"/>
    <w:rsid w:val="00147DDD"/>
    <w:rsid w:val="00150025"/>
    <w:rsid w:val="00150337"/>
    <w:rsid w:val="001509D8"/>
    <w:rsid w:val="00150E8C"/>
    <w:rsid w:val="00151285"/>
    <w:rsid w:val="001515E3"/>
    <w:rsid w:val="00151C39"/>
    <w:rsid w:val="00151E16"/>
    <w:rsid w:val="0015240A"/>
    <w:rsid w:val="001524BB"/>
    <w:rsid w:val="00152BF0"/>
    <w:rsid w:val="00152EC5"/>
    <w:rsid w:val="00152F43"/>
    <w:rsid w:val="001537C3"/>
    <w:rsid w:val="00153A37"/>
    <w:rsid w:val="00154941"/>
    <w:rsid w:val="00155000"/>
    <w:rsid w:val="001551E0"/>
    <w:rsid w:val="00155421"/>
    <w:rsid w:val="001558EC"/>
    <w:rsid w:val="00155935"/>
    <w:rsid w:val="00156113"/>
    <w:rsid w:val="001561AD"/>
    <w:rsid w:val="00156AA1"/>
    <w:rsid w:val="001574D3"/>
    <w:rsid w:val="001578B8"/>
    <w:rsid w:val="001579ED"/>
    <w:rsid w:val="00157FCB"/>
    <w:rsid w:val="00160BAC"/>
    <w:rsid w:val="00160FB3"/>
    <w:rsid w:val="00161225"/>
    <w:rsid w:val="00161647"/>
    <w:rsid w:val="001621F5"/>
    <w:rsid w:val="001624E5"/>
    <w:rsid w:val="00162B7A"/>
    <w:rsid w:val="00163865"/>
    <w:rsid w:val="001644F2"/>
    <w:rsid w:val="001646A7"/>
    <w:rsid w:val="0016496D"/>
    <w:rsid w:val="001649A7"/>
    <w:rsid w:val="001650F6"/>
    <w:rsid w:val="00166628"/>
    <w:rsid w:val="00166B76"/>
    <w:rsid w:val="001676C5"/>
    <w:rsid w:val="0017033C"/>
    <w:rsid w:val="00170429"/>
    <w:rsid w:val="00170D84"/>
    <w:rsid w:val="0017227A"/>
    <w:rsid w:val="00172626"/>
    <w:rsid w:val="00172648"/>
    <w:rsid w:val="00172904"/>
    <w:rsid w:val="00173054"/>
    <w:rsid w:val="0017341C"/>
    <w:rsid w:val="00173A46"/>
    <w:rsid w:val="0017541A"/>
    <w:rsid w:val="00175780"/>
    <w:rsid w:val="00175DA8"/>
    <w:rsid w:val="0017601D"/>
    <w:rsid w:val="0017624A"/>
    <w:rsid w:val="00176469"/>
    <w:rsid w:val="0017741D"/>
    <w:rsid w:val="00177979"/>
    <w:rsid w:val="00182A57"/>
    <w:rsid w:val="00182AB6"/>
    <w:rsid w:val="0018365E"/>
    <w:rsid w:val="00183736"/>
    <w:rsid w:val="00183C09"/>
    <w:rsid w:val="00183ED9"/>
    <w:rsid w:val="00184A07"/>
    <w:rsid w:val="00184AD5"/>
    <w:rsid w:val="00184E75"/>
    <w:rsid w:val="00185B27"/>
    <w:rsid w:val="00186788"/>
    <w:rsid w:val="00186BA3"/>
    <w:rsid w:val="00187211"/>
    <w:rsid w:val="001876BE"/>
    <w:rsid w:val="00187C4A"/>
    <w:rsid w:val="00191BFE"/>
    <w:rsid w:val="00191E94"/>
    <w:rsid w:val="001926A6"/>
    <w:rsid w:val="00193234"/>
    <w:rsid w:val="001932F8"/>
    <w:rsid w:val="00193B04"/>
    <w:rsid w:val="00193D71"/>
    <w:rsid w:val="00193EFF"/>
    <w:rsid w:val="0019405D"/>
    <w:rsid w:val="00194B64"/>
    <w:rsid w:val="00194FF8"/>
    <w:rsid w:val="001951A9"/>
    <w:rsid w:val="001951ED"/>
    <w:rsid w:val="00195FA8"/>
    <w:rsid w:val="00195FC0"/>
    <w:rsid w:val="00196264"/>
    <w:rsid w:val="0019743F"/>
    <w:rsid w:val="00197931"/>
    <w:rsid w:val="00197E1E"/>
    <w:rsid w:val="00197FCE"/>
    <w:rsid w:val="001A00BD"/>
    <w:rsid w:val="001A052B"/>
    <w:rsid w:val="001A05B5"/>
    <w:rsid w:val="001A0891"/>
    <w:rsid w:val="001A0D1B"/>
    <w:rsid w:val="001A1893"/>
    <w:rsid w:val="001A2498"/>
    <w:rsid w:val="001A2564"/>
    <w:rsid w:val="001A289D"/>
    <w:rsid w:val="001A291D"/>
    <w:rsid w:val="001A2FFD"/>
    <w:rsid w:val="001A3913"/>
    <w:rsid w:val="001A4BA3"/>
    <w:rsid w:val="001A625E"/>
    <w:rsid w:val="001A641E"/>
    <w:rsid w:val="001A69CD"/>
    <w:rsid w:val="001A69F7"/>
    <w:rsid w:val="001A6B7B"/>
    <w:rsid w:val="001B0F59"/>
    <w:rsid w:val="001B15CB"/>
    <w:rsid w:val="001B19F6"/>
    <w:rsid w:val="001B246E"/>
    <w:rsid w:val="001B2874"/>
    <w:rsid w:val="001B3DA8"/>
    <w:rsid w:val="001B3E62"/>
    <w:rsid w:val="001B4194"/>
    <w:rsid w:val="001B42B0"/>
    <w:rsid w:val="001B46BF"/>
    <w:rsid w:val="001B47C1"/>
    <w:rsid w:val="001B4FDB"/>
    <w:rsid w:val="001B5650"/>
    <w:rsid w:val="001B5DD5"/>
    <w:rsid w:val="001B607A"/>
    <w:rsid w:val="001B6F1E"/>
    <w:rsid w:val="001B709A"/>
    <w:rsid w:val="001B7795"/>
    <w:rsid w:val="001B7BA3"/>
    <w:rsid w:val="001C0DBC"/>
    <w:rsid w:val="001C1BEB"/>
    <w:rsid w:val="001C2149"/>
    <w:rsid w:val="001C2DF5"/>
    <w:rsid w:val="001C2E44"/>
    <w:rsid w:val="001C322D"/>
    <w:rsid w:val="001C3A6C"/>
    <w:rsid w:val="001C3C83"/>
    <w:rsid w:val="001C6515"/>
    <w:rsid w:val="001C6998"/>
    <w:rsid w:val="001C69FB"/>
    <w:rsid w:val="001C6CD4"/>
    <w:rsid w:val="001C715A"/>
    <w:rsid w:val="001C726E"/>
    <w:rsid w:val="001C7384"/>
    <w:rsid w:val="001C7B39"/>
    <w:rsid w:val="001D0001"/>
    <w:rsid w:val="001D00E5"/>
    <w:rsid w:val="001D01EA"/>
    <w:rsid w:val="001D0249"/>
    <w:rsid w:val="001D0420"/>
    <w:rsid w:val="001D06A4"/>
    <w:rsid w:val="001D092B"/>
    <w:rsid w:val="001D0DEB"/>
    <w:rsid w:val="001D2B2F"/>
    <w:rsid w:val="001D2E47"/>
    <w:rsid w:val="001D352A"/>
    <w:rsid w:val="001D3704"/>
    <w:rsid w:val="001D3E9A"/>
    <w:rsid w:val="001D46DF"/>
    <w:rsid w:val="001D4BA7"/>
    <w:rsid w:val="001D56CE"/>
    <w:rsid w:val="001D5951"/>
    <w:rsid w:val="001D5B5D"/>
    <w:rsid w:val="001D6113"/>
    <w:rsid w:val="001D6553"/>
    <w:rsid w:val="001D664A"/>
    <w:rsid w:val="001D7217"/>
    <w:rsid w:val="001D796A"/>
    <w:rsid w:val="001D7C48"/>
    <w:rsid w:val="001D7C58"/>
    <w:rsid w:val="001E1777"/>
    <w:rsid w:val="001E1B1D"/>
    <w:rsid w:val="001E2A39"/>
    <w:rsid w:val="001E364D"/>
    <w:rsid w:val="001E408B"/>
    <w:rsid w:val="001E472D"/>
    <w:rsid w:val="001E484F"/>
    <w:rsid w:val="001E4C27"/>
    <w:rsid w:val="001E4E03"/>
    <w:rsid w:val="001E4EEC"/>
    <w:rsid w:val="001E5FDE"/>
    <w:rsid w:val="001E6386"/>
    <w:rsid w:val="001E6658"/>
    <w:rsid w:val="001E71DF"/>
    <w:rsid w:val="001F0146"/>
    <w:rsid w:val="001F03B7"/>
    <w:rsid w:val="001F04A2"/>
    <w:rsid w:val="001F1548"/>
    <w:rsid w:val="001F17BF"/>
    <w:rsid w:val="001F20E7"/>
    <w:rsid w:val="001F21FD"/>
    <w:rsid w:val="001F2E1E"/>
    <w:rsid w:val="001F2EDB"/>
    <w:rsid w:val="001F3205"/>
    <w:rsid w:val="001F3301"/>
    <w:rsid w:val="001F373E"/>
    <w:rsid w:val="001F4D8E"/>
    <w:rsid w:val="001F5029"/>
    <w:rsid w:val="001F5C86"/>
    <w:rsid w:val="001F6040"/>
    <w:rsid w:val="001F7317"/>
    <w:rsid w:val="001F768F"/>
    <w:rsid w:val="002001DA"/>
    <w:rsid w:val="00201CAC"/>
    <w:rsid w:val="00201F01"/>
    <w:rsid w:val="0020285C"/>
    <w:rsid w:val="00202A2E"/>
    <w:rsid w:val="002032E0"/>
    <w:rsid w:val="002033D1"/>
    <w:rsid w:val="00203BD6"/>
    <w:rsid w:val="00203E3D"/>
    <w:rsid w:val="002043B5"/>
    <w:rsid w:val="00204A7F"/>
    <w:rsid w:val="00204E22"/>
    <w:rsid w:val="00205097"/>
    <w:rsid w:val="002051E3"/>
    <w:rsid w:val="00205393"/>
    <w:rsid w:val="002056FD"/>
    <w:rsid w:val="00205FFD"/>
    <w:rsid w:val="00206340"/>
    <w:rsid w:val="00206400"/>
    <w:rsid w:val="0020709F"/>
    <w:rsid w:val="0020775F"/>
    <w:rsid w:val="00207FDC"/>
    <w:rsid w:val="002106BA"/>
    <w:rsid w:val="00210B55"/>
    <w:rsid w:val="00210D48"/>
    <w:rsid w:val="00211071"/>
    <w:rsid w:val="00211427"/>
    <w:rsid w:val="00211E43"/>
    <w:rsid w:val="00212008"/>
    <w:rsid w:val="00212977"/>
    <w:rsid w:val="00213536"/>
    <w:rsid w:val="002137CA"/>
    <w:rsid w:val="00213A59"/>
    <w:rsid w:val="00213B27"/>
    <w:rsid w:val="00214842"/>
    <w:rsid w:val="00214B71"/>
    <w:rsid w:val="00214CE0"/>
    <w:rsid w:val="00214F20"/>
    <w:rsid w:val="00215616"/>
    <w:rsid w:val="00215ACF"/>
    <w:rsid w:val="0021696C"/>
    <w:rsid w:val="00216A20"/>
    <w:rsid w:val="00216A66"/>
    <w:rsid w:val="00217E5D"/>
    <w:rsid w:val="00220DA4"/>
    <w:rsid w:val="002210CC"/>
    <w:rsid w:val="0022189D"/>
    <w:rsid w:val="0022277A"/>
    <w:rsid w:val="00223089"/>
    <w:rsid w:val="00223322"/>
    <w:rsid w:val="0022362A"/>
    <w:rsid w:val="0022369C"/>
    <w:rsid w:val="0022510F"/>
    <w:rsid w:val="002253D0"/>
    <w:rsid w:val="00225CFD"/>
    <w:rsid w:val="0022620F"/>
    <w:rsid w:val="00227A05"/>
    <w:rsid w:val="00227E1A"/>
    <w:rsid w:val="002303F2"/>
    <w:rsid w:val="00230B4C"/>
    <w:rsid w:val="00230CD0"/>
    <w:rsid w:val="002316F5"/>
    <w:rsid w:val="00232458"/>
    <w:rsid w:val="0023289E"/>
    <w:rsid w:val="00232E16"/>
    <w:rsid w:val="00233E75"/>
    <w:rsid w:val="00234516"/>
    <w:rsid w:val="00234813"/>
    <w:rsid w:val="002349A3"/>
    <w:rsid w:val="002362B6"/>
    <w:rsid w:val="00236860"/>
    <w:rsid w:val="00236EED"/>
    <w:rsid w:val="00237143"/>
    <w:rsid w:val="0023739F"/>
    <w:rsid w:val="002374A0"/>
    <w:rsid w:val="002411B5"/>
    <w:rsid w:val="00241327"/>
    <w:rsid w:val="0024154B"/>
    <w:rsid w:val="002416F3"/>
    <w:rsid w:val="0024235C"/>
    <w:rsid w:val="00242F45"/>
    <w:rsid w:val="00243128"/>
    <w:rsid w:val="002434AD"/>
    <w:rsid w:val="002435C1"/>
    <w:rsid w:val="00245C26"/>
    <w:rsid w:val="00246542"/>
    <w:rsid w:val="00246720"/>
    <w:rsid w:val="002469DC"/>
    <w:rsid w:val="0024728A"/>
    <w:rsid w:val="00250B1C"/>
    <w:rsid w:val="00250F89"/>
    <w:rsid w:val="00252B39"/>
    <w:rsid w:val="00252EC5"/>
    <w:rsid w:val="00254018"/>
    <w:rsid w:val="0025408F"/>
    <w:rsid w:val="00254370"/>
    <w:rsid w:val="00254C70"/>
    <w:rsid w:val="00254CD2"/>
    <w:rsid w:val="0025552F"/>
    <w:rsid w:val="00255A81"/>
    <w:rsid w:val="00256F62"/>
    <w:rsid w:val="002570C7"/>
    <w:rsid w:val="00257A76"/>
    <w:rsid w:val="00261DEE"/>
    <w:rsid w:val="0026360E"/>
    <w:rsid w:val="00263F9F"/>
    <w:rsid w:val="002648D2"/>
    <w:rsid w:val="00264943"/>
    <w:rsid w:val="00264D32"/>
    <w:rsid w:val="00264E24"/>
    <w:rsid w:val="00266B22"/>
    <w:rsid w:val="00266C72"/>
    <w:rsid w:val="002679E8"/>
    <w:rsid w:val="00267EBB"/>
    <w:rsid w:val="002702C0"/>
    <w:rsid w:val="00270767"/>
    <w:rsid w:val="0027094C"/>
    <w:rsid w:val="00271170"/>
    <w:rsid w:val="00271802"/>
    <w:rsid w:val="00271B09"/>
    <w:rsid w:val="00273032"/>
    <w:rsid w:val="00273381"/>
    <w:rsid w:val="00273BFA"/>
    <w:rsid w:val="00273C7F"/>
    <w:rsid w:val="00273CBA"/>
    <w:rsid w:val="00274788"/>
    <w:rsid w:val="00274CA1"/>
    <w:rsid w:val="0027553D"/>
    <w:rsid w:val="002756E0"/>
    <w:rsid w:val="00275B5A"/>
    <w:rsid w:val="00275BB4"/>
    <w:rsid w:val="00275F31"/>
    <w:rsid w:val="00275F42"/>
    <w:rsid w:val="00276987"/>
    <w:rsid w:val="00276B8F"/>
    <w:rsid w:val="00277932"/>
    <w:rsid w:val="00280B1C"/>
    <w:rsid w:val="002812E7"/>
    <w:rsid w:val="00281DB0"/>
    <w:rsid w:val="00281FC1"/>
    <w:rsid w:val="002821B0"/>
    <w:rsid w:val="002822E8"/>
    <w:rsid w:val="00283252"/>
    <w:rsid w:val="0028352D"/>
    <w:rsid w:val="00283AD5"/>
    <w:rsid w:val="00284C3A"/>
    <w:rsid w:val="00284CA0"/>
    <w:rsid w:val="00284D5E"/>
    <w:rsid w:val="00284E1A"/>
    <w:rsid w:val="00285046"/>
    <w:rsid w:val="002851CD"/>
    <w:rsid w:val="002878C6"/>
    <w:rsid w:val="0028799D"/>
    <w:rsid w:val="00287C47"/>
    <w:rsid w:val="0029024B"/>
    <w:rsid w:val="00290AF0"/>
    <w:rsid w:val="00290C66"/>
    <w:rsid w:val="00291F8F"/>
    <w:rsid w:val="00292485"/>
    <w:rsid w:val="00292911"/>
    <w:rsid w:val="00292AE9"/>
    <w:rsid w:val="00292EA2"/>
    <w:rsid w:val="0029314E"/>
    <w:rsid w:val="0029440E"/>
    <w:rsid w:val="0029483F"/>
    <w:rsid w:val="002948F7"/>
    <w:rsid w:val="00294D73"/>
    <w:rsid w:val="00295016"/>
    <w:rsid w:val="0029549B"/>
    <w:rsid w:val="0029555C"/>
    <w:rsid w:val="00295C16"/>
    <w:rsid w:val="002A071A"/>
    <w:rsid w:val="002A1006"/>
    <w:rsid w:val="002A16BB"/>
    <w:rsid w:val="002A326D"/>
    <w:rsid w:val="002A3515"/>
    <w:rsid w:val="002A36D1"/>
    <w:rsid w:val="002A3927"/>
    <w:rsid w:val="002A3A26"/>
    <w:rsid w:val="002A3AC7"/>
    <w:rsid w:val="002A46B2"/>
    <w:rsid w:val="002A5339"/>
    <w:rsid w:val="002A546E"/>
    <w:rsid w:val="002A57A1"/>
    <w:rsid w:val="002A5C86"/>
    <w:rsid w:val="002A6EA6"/>
    <w:rsid w:val="002A780A"/>
    <w:rsid w:val="002B00DE"/>
    <w:rsid w:val="002B0C56"/>
    <w:rsid w:val="002B1509"/>
    <w:rsid w:val="002B1B1E"/>
    <w:rsid w:val="002B1E33"/>
    <w:rsid w:val="002B1E56"/>
    <w:rsid w:val="002B1F44"/>
    <w:rsid w:val="002B20F0"/>
    <w:rsid w:val="002B217C"/>
    <w:rsid w:val="002B2F61"/>
    <w:rsid w:val="002B3292"/>
    <w:rsid w:val="002B3380"/>
    <w:rsid w:val="002B3795"/>
    <w:rsid w:val="002B5447"/>
    <w:rsid w:val="002B63E5"/>
    <w:rsid w:val="002B65B0"/>
    <w:rsid w:val="002B65FB"/>
    <w:rsid w:val="002B6D83"/>
    <w:rsid w:val="002B7DC4"/>
    <w:rsid w:val="002B7F7D"/>
    <w:rsid w:val="002C05CE"/>
    <w:rsid w:val="002C110A"/>
    <w:rsid w:val="002C170C"/>
    <w:rsid w:val="002C2CA5"/>
    <w:rsid w:val="002C2E28"/>
    <w:rsid w:val="002C2EAD"/>
    <w:rsid w:val="002C3267"/>
    <w:rsid w:val="002C3B46"/>
    <w:rsid w:val="002C3FD6"/>
    <w:rsid w:val="002C401A"/>
    <w:rsid w:val="002C44C0"/>
    <w:rsid w:val="002C469D"/>
    <w:rsid w:val="002C4A37"/>
    <w:rsid w:val="002C4E4F"/>
    <w:rsid w:val="002C50E9"/>
    <w:rsid w:val="002C52AC"/>
    <w:rsid w:val="002C557F"/>
    <w:rsid w:val="002C615C"/>
    <w:rsid w:val="002D03BF"/>
    <w:rsid w:val="002D077F"/>
    <w:rsid w:val="002D0C16"/>
    <w:rsid w:val="002D0CE2"/>
    <w:rsid w:val="002D1467"/>
    <w:rsid w:val="002D1D13"/>
    <w:rsid w:val="002D1E9B"/>
    <w:rsid w:val="002D2271"/>
    <w:rsid w:val="002D30F3"/>
    <w:rsid w:val="002D4BFE"/>
    <w:rsid w:val="002D5312"/>
    <w:rsid w:val="002D5714"/>
    <w:rsid w:val="002D598C"/>
    <w:rsid w:val="002D5C6C"/>
    <w:rsid w:val="002D5F57"/>
    <w:rsid w:val="002D6142"/>
    <w:rsid w:val="002D6E68"/>
    <w:rsid w:val="002D79FD"/>
    <w:rsid w:val="002E00D8"/>
    <w:rsid w:val="002E02FC"/>
    <w:rsid w:val="002E0949"/>
    <w:rsid w:val="002E0AF1"/>
    <w:rsid w:val="002E0D3E"/>
    <w:rsid w:val="002E0D57"/>
    <w:rsid w:val="002E122D"/>
    <w:rsid w:val="002E1521"/>
    <w:rsid w:val="002E2783"/>
    <w:rsid w:val="002E3C21"/>
    <w:rsid w:val="002E3E69"/>
    <w:rsid w:val="002E442E"/>
    <w:rsid w:val="002E45C3"/>
    <w:rsid w:val="002E5460"/>
    <w:rsid w:val="002E551E"/>
    <w:rsid w:val="002E5889"/>
    <w:rsid w:val="002E5AC7"/>
    <w:rsid w:val="002E5C3E"/>
    <w:rsid w:val="002E5DC1"/>
    <w:rsid w:val="002E5E09"/>
    <w:rsid w:val="002E6286"/>
    <w:rsid w:val="002E62D9"/>
    <w:rsid w:val="002E6F86"/>
    <w:rsid w:val="002E7540"/>
    <w:rsid w:val="002E762B"/>
    <w:rsid w:val="002E770B"/>
    <w:rsid w:val="002E7DB2"/>
    <w:rsid w:val="002F01A3"/>
    <w:rsid w:val="002F01BD"/>
    <w:rsid w:val="002F0779"/>
    <w:rsid w:val="002F0991"/>
    <w:rsid w:val="002F0C95"/>
    <w:rsid w:val="002F141D"/>
    <w:rsid w:val="002F21E9"/>
    <w:rsid w:val="002F31EC"/>
    <w:rsid w:val="002F3533"/>
    <w:rsid w:val="002F3E66"/>
    <w:rsid w:val="002F4631"/>
    <w:rsid w:val="002F4C9F"/>
    <w:rsid w:val="002F5038"/>
    <w:rsid w:val="002F51C2"/>
    <w:rsid w:val="002F545C"/>
    <w:rsid w:val="002F5609"/>
    <w:rsid w:val="002F59FA"/>
    <w:rsid w:val="002F63E2"/>
    <w:rsid w:val="002F66F4"/>
    <w:rsid w:val="002F6B00"/>
    <w:rsid w:val="002F6C8F"/>
    <w:rsid w:val="002F6D6F"/>
    <w:rsid w:val="002F72FB"/>
    <w:rsid w:val="002F77B9"/>
    <w:rsid w:val="002F78FB"/>
    <w:rsid w:val="002F790D"/>
    <w:rsid w:val="002F79D5"/>
    <w:rsid w:val="003003DC"/>
    <w:rsid w:val="003004ED"/>
    <w:rsid w:val="00300A72"/>
    <w:rsid w:val="00300A8C"/>
    <w:rsid w:val="00300C3F"/>
    <w:rsid w:val="00301DB1"/>
    <w:rsid w:val="003024D9"/>
    <w:rsid w:val="00303522"/>
    <w:rsid w:val="00303629"/>
    <w:rsid w:val="00303BFA"/>
    <w:rsid w:val="00303C83"/>
    <w:rsid w:val="003042C0"/>
    <w:rsid w:val="003042E6"/>
    <w:rsid w:val="00304354"/>
    <w:rsid w:val="00305A14"/>
    <w:rsid w:val="003068B6"/>
    <w:rsid w:val="00306E1D"/>
    <w:rsid w:val="00307A62"/>
    <w:rsid w:val="0031022F"/>
    <w:rsid w:val="0031031C"/>
    <w:rsid w:val="0031038C"/>
    <w:rsid w:val="003106BF"/>
    <w:rsid w:val="00310F59"/>
    <w:rsid w:val="00311D5B"/>
    <w:rsid w:val="00312661"/>
    <w:rsid w:val="003128FB"/>
    <w:rsid w:val="00312FBE"/>
    <w:rsid w:val="00313392"/>
    <w:rsid w:val="00313C3C"/>
    <w:rsid w:val="00314566"/>
    <w:rsid w:val="003147E9"/>
    <w:rsid w:val="00314C50"/>
    <w:rsid w:val="00314C94"/>
    <w:rsid w:val="00314EB5"/>
    <w:rsid w:val="00316224"/>
    <w:rsid w:val="00316753"/>
    <w:rsid w:val="00316B36"/>
    <w:rsid w:val="00316C11"/>
    <w:rsid w:val="003176A5"/>
    <w:rsid w:val="00320CA0"/>
    <w:rsid w:val="0032136C"/>
    <w:rsid w:val="00321AE7"/>
    <w:rsid w:val="00321C32"/>
    <w:rsid w:val="00321F4A"/>
    <w:rsid w:val="00322577"/>
    <w:rsid w:val="003226B0"/>
    <w:rsid w:val="00322721"/>
    <w:rsid w:val="003228DA"/>
    <w:rsid w:val="00322D15"/>
    <w:rsid w:val="00323673"/>
    <w:rsid w:val="003242C7"/>
    <w:rsid w:val="00324865"/>
    <w:rsid w:val="00324BD2"/>
    <w:rsid w:val="003261BE"/>
    <w:rsid w:val="00326E3F"/>
    <w:rsid w:val="003275C2"/>
    <w:rsid w:val="003276B6"/>
    <w:rsid w:val="00330D2F"/>
    <w:rsid w:val="00331FF0"/>
    <w:rsid w:val="0033218D"/>
    <w:rsid w:val="00332B56"/>
    <w:rsid w:val="0033311A"/>
    <w:rsid w:val="003334C6"/>
    <w:rsid w:val="003336A5"/>
    <w:rsid w:val="00333901"/>
    <w:rsid w:val="00333D12"/>
    <w:rsid w:val="00333EA8"/>
    <w:rsid w:val="00334E83"/>
    <w:rsid w:val="00335196"/>
    <w:rsid w:val="00335383"/>
    <w:rsid w:val="00336045"/>
    <w:rsid w:val="003366D6"/>
    <w:rsid w:val="003367B5"/>
    <w:rsid w:val="00336926"/>
    <w:rsid w:val="00336C2B"/>
    <w:rsid w:val="0033745F"/>
    <w:rsid w:val="003377E3"/>
    <w:rsid w:val="00337C33"/>
    <w:rsid w:val="00340B42"/>
    <w:rsid w:val="00341631"/>
    <w:rsid w:val="00341787"/>
    <w:rsid w:val="00341B71"/>
    <w:rsid w:val="0034244E"/>
    <w:rsid w:val="00342A22"/>
    <w:rsid w:val="00342AEB"/>
    <w:rsid w:val="00342CD1"/>
    <w:rsid w:val="00342F6E"/>
    <w:rsid w:val="00343B0B"/>
    <w:rsid w:val="00343DBF"/>
    <w:rsid w:val="00345819"/>
    <w:rsid w:val="003459C5"/>
    <w:rsid w:val="003462A3"/>
    <w:rsid w:val="00346357"/>
    <w:rsid w:val="0034679C"/>
    <w:rsid w:val="00346E59"/>
    <w:rsid w:val="0035014A"/>
    <w:rsid w:val="003501FB"/>
    <w:rsid w:val="00350786"/>
    <w:rsid w:val="00350FDA"/>
    <w:rsid w:val="00350FE1"/>
    <w:rsid w:val="00350FF3"/>
    <w:rsid w:val="00351D70"/>
    <w:rsid w:val="00352739"/>
    <w:rsid w:val="0035296B"/>
    <w:rsid w:val="003529AD"/>
    <w:rsid w:val="003532B5"/>
    <w:rsid w:val="00353835"/>
    <w:rsid w:val="00354D4C"/>
    <w:rsid w:val="00355D3E"/>
    <w:rsid w:val="003568BE"/>
    <w:rsid w:val="003574EE"/>
    <w:rsid w:val="003576A5"/>
    <w:rsid w:val="003577A7"/>
    <w:rsid w:val="003577B8"/>
    <w:rsid w:val="00360A2D"/>
    <w:rsid w:val="00360FB4"/>
    <w:rsid w:val="00361DE7"/>
    <w:rsid w:val="0036254C"/>
    <w:rsid w:val="00363732"/>
    <w:rsid w:val="00364280"/>
    <w:rsid w:val="003659E8"/>
    <w:rsid w:val="00365A5C"/>
    <w:rsid w:val="00365B4D"/>
    <w:rsid w:val="0036670D"/>
    <w:rsid w:val="00366BB6"/>
    <w:rsid w:val="00367053"/>
    <w:rsid w:val="00367414"/>
    <w:rsid w:val="003675C9"/>
    <w:rsid w:val="003679F4"/>
    <w:rsid w:val="00367E62"/>
    <w:rsid w:val="00370315"/>
    <w:rsid w:val="003703B0"/>
    <w:rsid w:val="00371325"/>
    <w:rsid w:val="0037178F"/>
    <w:rsid w:val="0037231A"/>
    <w:rsid w:val="00372AD3"/>
    <w:rsid w:val="00372DF5"/>
    <w:rsid w:val="0037323B"/>
    <w:rsid w:val="003733FB"/>
    <w:rsid w:val="00373789"/>
    <w:rsid w:val="0037420B"/>
    <w:rsid w:val="0037473E"/>
    <w:rsid w:val="00374ADA"/>
    <w:rsid w:val="00376144"/>
    <w:rsid w:val="00376179"/>
    <w:rsid w:val="00376E27"/>
    <w:rsid w:val="0037790A"/>
    <w:rsid w:val="0038050A"/>
    <w:rsid w:val="0038067A"/>
    <w:rsid w:val="003816AF"/>
    <w:rsid w:val="003818FC"/>
    <w:rsid w:val="003820F7"/>
    <w:rsid w:val="00384A8C"/>
    <w:rsid w:val="00384F59"/>
    <w:rsid w:val="0038592E"/>
    <w:rsid w:val="003860EF"/>
    <w:rsid w:val="00386124"/>
    <w:rsid w:val="00386739"/>
    <w:rsid w:val="00386836"/>
    <w:rsid w:val="003868B7"/>
    <w:rsid w:val="00386B83"/>
    <w:rsid w:val="00387784"/>
    <w:rsid w:val="00387B2A"/>
    <w:rsid w:val="00387D05"/>
    <w:rsid w:val="003906B1"/>
    <w:rsid w:val="00390826"/>
    <w:rsid w:val="00391119"/>
    <w:rsid w:val="0039188E"/>
    <w:rsid w:val="0039224E"/>
    <w:rsid w:val="003929BC"/>
    <w:rsid w:val="00392BAF"/>
    <w:rsid w:val="003935DA"/>
    <w:rsid w:val="00393E3B"/>
    <w:rsid w:val="003951C6"/>
    <w:rsid w:val="00395F79"/>
    <w:rsid w:val="003962A4"/>
    <w:rsid w:val="003962EB"/>
    <w:rsid w:val="0039655D"/>
    <w:rsid w:val="003967FF"/>
    <w:rsid w:val="003971F5"/>
    <w:rsid w:val="003A0529"/>
    <w:rsid w:val="003A052B"/>
    <w:rsid w:val="003A1314"/>
    <w:rsid w:val="003A1A3D"/>
    <w:rsid w:val="003A1B13"/>
    <w:rsid w:val="003A1BF9"/>
    <w:rsid w:val="003A22FC"/>
    <w:rsid w:val="003A2A87"/>
    <w:rsid w:val="003A2E3C"/>
    <w:rsid w:val="003A32B0"/>
    <w:rsid w:val="003A360B"/>
    <w:rsid w:val="003A39A0"/>
    <w:rsid w:val="003A3FBA"/>
    <w:rsid w:val="003A5B16"/>
    <w:rsid w:val="003A6900"/>
    <w:rsid w:val="003A698F"/>
    <w:rsid w:val="003A6FF7"/>
    <w:rsid w:val="003A70AB"/>
    <w:rsid w:val="003A7AC5"/>
    <w:rsid w:val="003B04C9"/>
    <w:rsid w:val="003B1704"/>
    <w:rsid w:val="003B2165"/>
    <w:rsid w:val="003B289D"/>
    <w:rsid w:val="003B28DA"/>
    <w:rsid w:val="003B2F80"/>
    <w:rsid w:val="003B3A68"/>
    <w:rsid w:val="003B3D25"/>
    <w:rsid w:val="003B450B"/>
    <w:rsid w:val="003B4525"/>
    <w:rsid w:val="003B4C60"/>
    <w:rsid w:val="003B5162"/>
    <w:rsid w:val="003B6C30"/>
    <w:rsid w:val="003B7822"/>
    <w:rsid w:val="003B7DEC"/>
    <w:rsid w:val="003B7E6A"/>
    <w:rsid w:val="003C0778"/>
    <w:rsid w:val="003C0954"/>
    <w:rsid w:val="003C12C3"/>
    <w:rsid w:val="003C2215"/>
    <w:rsid w:val="003C22DF"/>
    <w:rsid w:val="003C23F0"/>
    <w:rsid w:val="003C35B1"/>
    <w:rsid w:val="003C3DC3"/>
    <w:rsid w:val="003C3ED8"/>
    <w:rsid w:val="003C4B9A"/>
    <w:rsid w:val="003C4BC9"/>
    <w:rsid w:val="003C4D73"/>
    <w:rsid w:val="003C55F1"/>
    <w:rsid w:val="003C5B68"/>
    <w:rsid w:val="003C5F26"/>
    <w:rsid w:val="003C62C4"/>
    <w:rsid w:val="003C6DC0"/>
    <w:rsid w:val="003C6F41"/>
    <w:rsid w:val="003C78FD"/>
    <w:rsid w:val="003C796F"/>
    <w:rsid w:val="003C7C51"/>
    <w:rsid w:val="003D1166"/>
    <w:rsid w:val="003D146A"/>
    <w:rsid w:val="003D177C"/>
    <w:rsid w:val="003D198E"/>
    <w:rsid w:val="003D1F39"/>
    <w:rsid w:val="003D26E6"/>
    <w:rsid w:val="003D41E4"/>
    <w:rsid w:val="003D4444"/>
    <w:rsid w:val="003D4FA5"/>
    <w:rsid w:val="003D5070"/>
    <w:rsid w:val="003D56DC"/>
    <w:rsid w:val="003D5740"/>
    <w:rsid w:val="003D5798"/>
    <w:rsid w:val="003D6187"/>
    <w:rsid w:val="003D6309"/>
    <w:rsid w:val="003D6B7D"/>
    <w:rsid w:val="003D6CD3"/>
    <w:rsid w:val="003D6EB9"/>
    <w:rsid w:val="003D740F"/>
    <w:rsid w:val="003D7622"/>
    <w:rsid w:val="003D7996"/>
    <w:rsid w:val="003D79BF"/>
    <w:rsid w:val="003D7AD4"/>
    <w:rsid w:val="003D7C35"/>
    <w:rsid w:val="003E084D"/>
    <w:rsid w:val="003E0BA8"/>
    <w:rsid w:val="003E0C22"/>
    <w:rsid w:val="003E1025"/>
    <w:rsid w:val="003E14A6"/>
    <w:rsid w:val="003E1EC7"/>
    <w:rsid w:val="003E2018"/>
    <w:rsid w:val="003E2036"/>
    <w:rsid w:val="003E210B"/>
    <w:rsid w:val="003E285D"/>
    <w:rsid w:val="003E2D4A"/>
    <w:rsid w:val="003E3534"/>
    <w:rsid w:val="003E375A"/>
    <w:rsid w:val="003E3A6F"/>
    <w:rsid w:val="003E3BB6"/>
    <w:rsid w:val="003E3E02"/>
    <w:rsid w:val="003E4812"/>
    <w:rsid w:val="003E49BB"/>
    <w:rsid w:val="003E4F5C"/>
    <w:rsid w:val="003E5A86"/>
    <w:rsid w:val="003E65F9"/>
    <w:rsid w:val="003E6A14"/>
    <w:rsid w:val="003E6DC3"/>
    <w:rsid w:val="003E7305"/>
    <w:rsid w:val="003E731B"/>
    <w:rsid w:val="003E7450"/>
    <w:rsid w:val="003F0C68"/>
    <w:rsid w:val="003F0F01"/>
    <w:rsid w:val="003F116C"/>
    <w:rsid w:val="003F1B51"/>
    <w:rsid w:val="003F21F5"/>
    <w:rsid w:val="003F2280"/>
    <w:rsid w:val="003F2289"/>
    <w:rsid w:val="003F363F"/>
    <w:rsid w:val="003F393E"/>
    <w:rsid w:val="003F3BFA"/>
    <w:rsid w:val="003F417D"/>
    <w:rsid w:val="003F480C"/>
    <w:rsid w:val="003F4AEB"/>
    <w:rsid w:val="003F4C3F"/>
    <w:rsid w:val="003F4E21"/>
    <w:rsid w:val="003F5188"/>
    <w:rsid w:val="003F59B1"/>
    <w:rsid w:val="003F5D8D"/>
    <w:rsid w:val="003F5F02"/>
    <w:rsid w:val="003F6A9A"/>
    <w:rsid w:val="003F6AA5"/>
    <w:rsid w:val="003F6B6A"/>
    <w:rsid w:val="003F7584"/>
    <w:rsid w:val="003F7DB0"/>
    <w:rsid w:val="004005F7"/>
    <w:rsid w:val="0040207B"/>
    <w:rsid w:val="004038FB"/>
    <w:rsid w:val="00403A61"/>
    <w:rsid w:val="00403F63"/>
    <w:rsid w:val="00404213"/>
    <w:rsid w:val="0040485C"/>
    <w:rsid w:val="004048B6"/>
    <w:rsid w:val="0040514A"/>
    <w:rsid w:val="00405BC0"/>
    <w:rsid w:val="00406B99"/>
    <w:rsid w:val="00406BC8"/>
    <w:rsid w:val="004071F8"/>
    <w:rsid w:val="004078D3"/>
    <w:rsid w:val="00407B9E"/>
    <w:rsid w:val="00410141"/>
    <w:rsid w:val="004106EF"/>
    <w:rsid w:val="0041134B"/>
    <w:rsid w:val="00411DB9"/>
    <w:rsid w:val="00412B4B"/>
    <w:rsid w:val="004135FE"/>
    <w:rsid w:val="00413954"/>
    <w:rsid w:val="00413D01"/>
    <w:rsid w:val="00414151"/>
    <w:rsid w:val="00414346"/>
    <w:rsid w:val="00414989"/>
    <w:rsid w:val="00415194"/>
    <w:rsid w:val="0041565E"/>
    <w:rsid w:val="00415AEF"/>
    <w:rsid w:val="00415E86"/>
    <w:rsid w:val="00415ED9"/>
    <w:rsid w:val="00416178"/>
    <w:rsid w:val="00416336"/>
    <w:rsid w:val="00416805"/>
    <w:rsid w:val="00416C9F"/>
    <w:rsid w:val="0041753E"/>
    <w:rsid w:val="00417F64"/>
    <w:rsid w:val="00417FDB"/>
    <w:rsid w:val="004203BD"/>
    <w:rsid w:val="004207E2"/>
    <w:rsid w:val="0042124F"/>
    <w:rsid w:val="00421642"/>
    <w:rsid w:val="00421C39"/>
    <w:rsid w:val="00421D6B"/>
    <w:rsid w:val="004221B5"/>
    <w:rsid w:val="00422584"/>
    <w:rsid w:val="004236DA"/>
    <w:rsid w:val="004237CD"/>
    <w:rsid w:val="004239F6"/>
    <w:rsid w:val="004243C1"/>
    <w:rsid w:val="00425333"/>
    <w:rsid w:val="00426024"/>
    <w:rsid w:val="004260FE"/>
    <w:rsid w:val="004268AC"/>
    <w:rsid w:val="00427AEC"/>
    <w:rsid w:val="0043119B"/>
    <w:rsid w:val="004312C4"/>
    <w:rsid w:val="0043187F"/>
    <w:rsid w:val="00432213"/>
    <w:rsid w:val="004323D9"/>
    <w:rsid w:val="0043255D"/>
    <w:rsid w:val="00432B8F"/>
    <w:rsid w:val="004335E4"/>
    <w:rsid w:val="004335EF"/>
    <w:rsid w:val="00433674"/>
    <w:rsid w:val="00433F77"/>
    <w:rsid w:val="0043403D"/>
    <w:rsid w:val="004340EF"/>
    <w:rsid w:val="0043432B"/>
    <w:rsid w:val="004350C9"/>
    <w:rsid w:val="00435CDE"/>
    <w:rsid w:val="004372F0"/>
    <w:rsid w:val="004374D0"/>
    <w:rsid w:val="00437BAE"/>
    <w:rsid w:val="00440053"/>
    <w:rsid w:val="0044045E"/>
    <w:rsid w:val="00440855"/>
    <w:rsid w:val="004408AB"/>
    <w:rsid w:val="00440D12"/>
    <w:rsid w:val="00441588"/>
    <w:rsid w:val="00441FBA"/>
    <w:rsid w:val="00441FDF"/>
    <w:rsid w:val="00442257"/>
    <w:rsid w:val="00442B27"/>
    <w:rsid w:val="00443E61"/>
    <w:rsid w:val="00443F72"/>
    <w:rsid w:val="00444707"/>
    <w:rsid w:val="00444C4D"/>
    <w:rsid w:val="004450C8"/>
    <w:rsid w:val="0044561D"/>
    <w:rsid w:val="00445A0B"/>
    <w:rsid w:val="00445B4E"/>
    <w:rsid w:val="004468C8"/>
    <w:rsid w:val="0044690E"/>
    <w:rsid w:val="00446D53"/>
    <w:rsid w:val="00446E09"/>
    <w:rsid w:val="004473FB"/>
    <w:rsid w:val="00447518"/>
    <w:rsid w:val="00450B35"/>
    <w:rsid w:val="00450BFA"/>
    <w:rsid w:val="00450D6B"/>
    <w:rsid w:val="00451C33"/>
    <w:rsid w:val="004527C5"/>
    <w:rsid w:val="004531CF"/>
    <w:rsid w:val="00453349"/>
    <w:rsid w:val="00453BD4"/>
    <w:rsid w:val="00454A7B"/>
    <w:rsid w:val="00454BFC"/>
    <w:rsid w:val="00455003"/>
    <w:rsid w:val="0045537E"/>
    <w:rsid w:val="00455804"/>
    <w:rsid w:val="00455C2F"/>
    <w:rsid w:val="00455EFA"/>
    <w:rsid w:val="00456306"/>
    <w:rsid w:val="004564C3"/>
    <w:rsid w:val="00456511"/>
    <w:rsid w:val="0045656F"/>
    <w:rsid w:val="00456A4C"/>
    <w:rsid w:val="00456E53"/>
    <w:rsid w:val="0045742D"/>
    <w:rsid w:val="00457525"/>
    <w:rsid w:val="00457D2D"/>
    <w:rsid w:val="00460D92"/>
    <w:rsid w:val="0046109D"/>
    <w:rsid w:val="00462829"/>
    <w:rsid w:val="00462BD5"/>
    <w:rsid w:val="004638E5"/>
    <w:rsid w:val="00464125"/>
    <w:rsid w:val="00464FC4"/>
    <w:rsid w:val="00465B66"/>
    <w:rsid w:val="00466138"/>
    <w:rsid w:val="0046655E"/>
    <w:rsid w:val="00470624"/>
    <w:rsid w:val="00471785"/>
    <w:rsid w:val="00471AE3"/>
    <w:rsid w:val="0047237C"/>
    <w:rsid w:val="004723EB"/>
    <w:rsid w:val="0047241C"/>
    <w:rsid w:val="00472EBB"/>
    <w:rsid w:val="00473252"/>
    <w:rsid w:val="004735AF"/>
    <w:rsid w:val="00473855"/>
    <w:rsid w:val="004740F9"/>
    <w:rsid w:val="00474299"/>
    <w:rsid w:val="00474544"/>
    <w:rsid w:val="004749AD"/>
    <w:rsid w:val="00474D61"/>
    <w:rsid w:val="00475890"/>
    <w:rsid w:val="00475E86"/>
    <w:rsid w:val="00476901"/>
    <w:rsid w:val="0047700A"/>
    <w:rsid w:val="0047777F"/>
    <w:rsid w:val="00481016"/>
    <w:rsid w:val="0048167F"/>
    <w:rsid w:val="00482DA3"/>
    <w:rsid w:val="0048339D"/>
    <w:rsid w:val="00483C65"/>
    <w:rsid w:val="00484142"/>
    <w:rsid w:val="00484491"/>
    <w:rsid w:val="004848A3"/>
    <w:rsid w:val="00484B6A"/>
    <w:rsid w:val="00484BF6"/>
    <w:rsid w:val="004857FD"/>
    <w:rsid w:val="0048646A"/>
    <w:rsid w:val="004865F6"/>
    <w:rsid w:val="00486D25"/>
    <w:rsid w:val="00487E5B"/>
    <w:rsid w:val="00491315"/>
    <w:rsid w:val="0049161C"/>
    <w:rsid w:val="004927E6"/>
    <w:rsid w:val="0049285F"/>
    <w:rsid w:val="00492B6D"/>
    <w:rsid w:val="0049310B"/>
    <w:rsid w:val="00493F3D"/>
    <w:rsid w:val="0049452F"/>
    <w:rsid w:val="0049537C"/>
    <w:rsid w:val="00495400"/>
    <w:rsid w:val="00495C1E"/>
    <w:rsid w:val="0049625F"/>
    <w:rsid w:val="00496292"/>
    <w:rsid w:val="00496C04"/>
    <w:rsid w:val="00496E71"/>
    <w:rsid w:val="0049766B"/>
    <w:rsid w:val="00497A63"/>
    <w:rsid w:val="004A13D6"/>
    <w:rsid w:val="004A1579"/>
    <w:rsid w:val="004A192F"/>
    <w:rsid w:val="004A1B86"/>
    <w:rsid w:val="004A1C80"/>
    <w:rsid w:val="004A2757"/>
    <w:rsid w:val="004A4291"/>
    <w:rsid w:val="004A45A8"/>
    <w:rsid w:val="004A47AA"/>
    <w:rsid w:val="004A4A78"/>
    <w:rsid w:val="004A4DF5"/>
    <w:rsid w:val="004A5E8B"/>
    <w:rsid w:val="004A70E5"/>
    <w:rsid w:val="004A76B4"/>
    <w:rsid w:val="004A7DD1"/>
    <w:rsid w:val="004B05D7"/>
    <w:rsid w:val="004B06D9"/>
    <w:rsid w:val="004B1855"/>
    <w:rsid w:val="004B1BA3"/>
    <w:rsid w:val="004B1BFF"/>
    <w:rsid w:val="004B1C3E"/>
    <w:rsid w:val="004B2387"/>
    <w:rsid w:val="004B3616"/>
    <w:rsid w:val="004B3940"/>
    <w:rsid w:val="004B4179"/>
    <w:rsid w:val="004B427A"/>
    <w:rsid w:val="004B4AE1"/>
    <w:rsid w:val="004B4B36"/>
    <w:rsid w:val="004B4FD4"/>
    <w:rsid w:val="004B5B6C"/>
    <w:rsid w:val="004B5FAE"/>
    <w:rsid w:val="004B6059"/>
    <w:rsid w:val="004B608C"/>
    <w:rsid w:val="004B7A45"/>
    <w:rsid w:val="004B7D45"/>
    <w:rsid w:val="004B7F74"/>
    <w:rsid w:val="004C05AB"/>
    <w:rsid w:val="004C1035"/>
    <w:rsid w:val="004C12C0"/>
    <w:rsid w:val="004C1E3E"/>
    <w:rsid w:val="004C21FA"/>
    <w:rsid w:val="004C26AA"/>
    <w:rsid w:val="004C3A4C"/>
    <w:rsid w:val="004C3BD1"/>
    <w:rsid w:val="004C41A4"/>
    <w:rsid w:val="004C4BE0"/>
    <w:rsid w:val="004C4C8E"/>
    <w:rsid w:val="004C5117"/>
    <w:rsid w:val="004C5382"/>
    <w:rsid w:val="004C5D55"/>
    <w:rsid w:val="004C66B4"/>
    <w:rsid w:val="004C6A01"/>
    <w:rsid w:val="004C7A08"/>
    <w:rsid w:val="004C7F83"/>
    <w:rsid w:val="004D0A25"/>
    <w:rsid w:val="004D0B8E"/>
    <w:rsid w:val="004D22A7"/>
    <w:rsid w:val="004D2FFD"/>
    <w:rsid w:val="004D34AF"/>
    <w:rsid w:val="004D4ADF"/>
    <w:rsid w:val="004D561A"/>
    <w:rsid w:val="004D5712"/>
    <w:rsid w:val="004D63DB"/>
    <w:rsid w:val="004D64C2"/>
    <w:rsid w:val="004D6F40"/>
    <w:rsid w:val="004D761F"/>
    <w:rsid w:val="004E0567"/>
    <w:rsid w:val="004E11D3"/>
    <w:rsid w:val="004E1C33"/>
    <w:rsid w:val="004E227A"/>
    <w:rsid w:val="004E334A"/>
    <w:rsid w:val="004E3CE6"/>
    <w:rsid w:val="004E3F93"/>
    <w:rsid w:val="004E4BB2"/>
    <w:rsid w:val="004E525A"/>
    <w:rsid w:val="004E541A"/>
    <w:rsid w:val="004E5E4B"/>
    <w:rsid w:val="004E664D"/>
    <w:rsid w:val="004E6A62"/>
    <w:rsid w:val="004E6EDE"/>
    <w:rsid w:val="004E6FFC"/>
    <w:rsid w:val="004E7162"/>
    <w:rsid w:val="004E7937"/>
    <w:rsid w:val="004F0079"/>
    <w:rsid w:val="004F020F"/>
    <w:rsid w:val="004F0491"/>
    <w:rsid w:val="004F04EF"/>
    <w:rsid w:val="004F0B51"/>
    <w:rsid w:val="004F1541"/>
    <w:rsid w:val="004F1C24"/>
    <w:rsid w:val="004F1CE9"/>
    <w:rsid w:val="004F2088"/>
    <w:rsid w:val="004F2205"/>
    <w:rsid w:val="004F34A0"/>
    <w:rsid w:val="004F3602"/>
    <w:rsid w:val="004F3A7A"/>
    <w:rsid w:val="004F3EF6"/>
    <w:rsid w:val="004F4010"/>
    <w:rsid w:val="004F419F"/>
    <w:rsid w:val="004F43DB"/>
    <w:rsid w:val="004F4464"/>
    <w:rsid w:val="004F44EE"/>
    <w:rsid w:val="004F49FB"/>
    <w:rsid w:val="004F52CC"/>
    <w:rsid w:val="004F5621"/>
    <w:rsid w:val="004F5B0A"/>
    <w:rsid w:val="004F5B51"/>
    <w:rsid w:val="004F7AA0"/>
    <w:rsid w:val="004F7DD3"/>
    <w:rsid w:val="004F7E38"/>
    <w:rsid w:val="004F7F29"/>
    <w:rsid w:val="00500313"/>
    <w:rsid w:val="00500E61"/>
    <w:rsid w:val="0050101D"/>
    <w:rsid w:val="005018A0"/>
    <w:rsid w:val="00501FDB"/>
    <w:rsid w:val="005023AE"/>
    <w:rsid w:val="005031B0"/>
    <w:rsid w:val="005035DA"/>
    <w:rsid w:val="00503A51"/>
    <w:rsid w:val="00503E90"/>
    <w:rsid w:val="0050575E"/>
    <w:rsid w:val="00505BF8"/>
    <w:rsid w:val="00505DFE"/>
    <w:rsid w:val="005066A4"/>
    <w:rsid w:val="00506B1D"/>
    <w:rsid w:val="0050797B"/>
    <w:rsid w:val="00507A75"/>
    <w:rsid w:val="00507DE9"/>
    <w:rsid w:val="00507FF0"/>
    <w:rsid w:val="00510614"/>
    <w:rsid w:val="00510EEB"/>
    <w:rsid w:val="0051159B"/>
    <w:rsid w:val="00511606"/>
    <w:rsid w:val="0051209D"/>
    <w:rsid w:val="00512726"/>
    <w:rsid w:val="00512FA2"/>
    <w:rsid w:val="005131A5"/>
    <w:rsid w:val="00513435"/>
    <w:rsid w:val="00513572"/>
    <w:rsid w:val="005135C5"/>
    <w:rsid w:val="00513DD5"/>
    <w:rsid w:val="00513E8C"/>
    <w:rsid w:val="0051439D"/>
    <w:rsid w:val="00514486"/>
    <w:rsid w:val="00514561"/>
    <w:rsid w:val="00514A0D"/>
    <w:rsid w:val="00514F38"/>
    <w:rsid w:val="00514F3B"/>
    <w:rsid w:val="00514F4A"/>
    <w:rsid w:val="0051515D"/>
    <w:rsid w:val="005157F4"/>
    <w:rsid w:val="00515F33"/>
    <w:rsid w:val="00516075"/>
    <w:rsid w:val="00516191"/>
    <w:rsid w:val="00516997"/>
    <w:rsid w:val="00516DA9"/>
    <w:rsid w:val="00517102"/>
    <w:rsid w:val="005173E0"/>
    <w:rsid w:val="0052091A"/>
    <w:rsid w:val="00520BCC"/>
    <w:rsid w:val="00520CB6"/>
    <w:rsid w:val="00521BB5"/>
    <w:rsid w:val="00521D6B"/>
    <w:rsid w:val="00521FF7"/>
    <w:rsid w:val="00523223"/>
    <w:rsid w:val="00524177"/>
    <w:rsid w:val="00524ADE"/>
    <w:rsid w:val="00524D8F"/>
    <w:rsid w:val="00524E98"/>
    <w:rsid w:val="00525208"/>
    <w:rsid w:val="0052535A"/>
    <w:rsid w:val="00525514"/>
    <w:rsid w:val="005255AB"/>
    <w:rsid w:val="005256E3"/>
    <w:rsid w:val="00525A7C"/>
    <w:rsid w:val="0052628B"/>
    <w:rsid w:val="005263EA"/>
    <w:rsid w:val="00526D43"/>
    <w:rsid w:val="005271AE"/>
    <w:rsid w:val="005277E1"/>
    <w:rsid w:val="00527D46"/>
    <w:rsid w:val="00530608"/>
    <w:rsid w:val="00530770"/>
    <w:rsid w:val="00531011"/>
    <w:rsid w:val="005313EA"/>
    <w:rsid w:val="005318CB"/>
    <w:rsid w:val="00531DB6"/>
    <w:rsid w:val="005320DC"/>
    <w:rsid w:val="0053248A"/>
    <w:rsid w:val="0053282A"/>
    <w:rsid w:val="005328E7"/>
    <w:rsid w:val="00532DFC"/>
    <w:rsid w:val="00533446"/>
    <w:rsid w:val="00533BD3"/>
    <w:rsid w:val="00534B15"/>
    <w:rsid w:val="00534B93"/>
    <w:rsid w:val="00534E65"/>
    <w:rsid w:val="00534FE9"/>
    <w:rsid w:val="005358F7"/>
    <w:rsid w:val="00535E23"/>
    <w:rsid w:val="00535FD9"/>
    <w:rsid w:val="00536475"/>
    <w:rsid w:val="00536F75"/>
    <w:rsid w:val="00537196"/>
    <w:rsid w:val="00537349"/>
    <w:rsid w:val="00537560"/>
    <w:rsid w:val="0053781D"/>
    <w:rsid w:val="00537887"/>
    <w:rsid w:val="00537F69"/>
    <w:rsid w:val="005412EF"/>
    <w:rsid w:val="00542003"/>
    <w:rsid w:val="00542F21"/>
    <w:rsid w:val="00542FF7"/>
    <w:rsid w:val="0054312D"/>
    <w:rsid w:val="00543862"/>
    <w:rsid w:val="0054408D"/>
    <w:rsid w:val="00544B2D"/>
    <w:rsid w:val="00545434"/>
    <w:rsid w:val="0054554C"/>
    <w:rsid w:val="005455D4"/>
    <w:rsid w:val="00545680"/>
    <w:rsid w:val="005459BD"/>
    <w:rsid w:val="00545DF1"/>
    <w:rsid w:val="005464C6"/>
    <w:rsid w:val="00546AA6"/>
    <w:rsid w:val="00546E96"/>
    <w:rsid w:val="005472F6"/>
    <w:rsid w:val="0054732C"/>
    <w:rsid w:val="00550555"/>
    <w:rsid w:val="005509AF"/>
    <w:rsid w:val="00550A60"/>
    <w:rsid w:val="00551176"/>
    <w:rsid w:val="00551406"/>
    <w:rsid w:val="00551721"/>
    <w:rsid w:val="00551C57"/>
    <w:rsid w:val="00552B1C"/>
    <w:rsid w:val="00552C95"/>
    <w:rsid w:val="005536AE"/>
    <w:rsid w:val="00553731"/>
    <w:rsid w:val="00553CA0"/>
    <w:rsid w:val="0055453D"/>
    <w:rsid w:val="00554C2E"/>
    <w:rsid w:val="00554F80"/>
    <w:rsid w:val="0055646E"/>
    <w:rsid w:val="00556AC6"/>
    <w:rsid w:val="00556C07"/>
    <w:rsid w:val="00556ED2"/>
    <w:rsid w:val="00557238"/>
    <w:rsid w:val="0055781E"/>
    <w:rsid w:val="0056015A"/>
    <w:rsid w:val="005607DF"/>
    <w:rsid w:val="00560EB8"/>
    <w:rsid w:val="00561028"/>
    <w:rsid w:val="0056135A"/>
    <w:rsid w:val="005615B7"/>
    <w:rsid w:val="00562DEF"/>
    <w:rsid w:val="005640E0"/>
    <w:rsid w:val="00564EE8"/>
    <w:rsid w:val="00564FBE"/>
    <w:rsid w:val="00565633"/>
    <w:rsid w:val="005659BC"/>
    <w:rsid w:val="00565B01"/>
    <w:rsid w:val="005661CE"/>
    <w:rsid w:val="005666A3"/>
    <w:rsid w:val="00567809"/>
    <w:rsid w:val="00567C89"/>
    <w:rsid w:val="0057039A"/>
    <w:rsid w:val="00570D29"/>
    <w:rsid w:val="00570D59"/>
    <w:rsid w:val="00571004"/>
    <w:rsid w:val="00571530"/>
    <w:rsid w:val="00571D8C"/>
    <w:rsid w:val="00572671"/>
    <w:rsid w:val="00572F10"/>
    <w:rsid w:val="005731C0"/>
    <w:rsid w:val="00574CE8"/>
    <w:rsid w:val="00574E86"/>
    <w:rsid w:val="00575371"/>
    <w:rsid w:val="00575664"/>
    <w:rsid w:val="00575E35"/>
    <w:rsid w:val="00576661"/>
    <w:rsid w:val="005768EA"/>
    <w:rsid w:val="00576CB2"/>
    <w:rsid w:val="00577329"/>
    <w:rsid w:val="00577744"/>
    <w:rsid w:val="005777E2"/>
    <w:rsid w:val="00577B70"/>
    <w:rsid w:val="0058035D"/>
    <w:rsid w:val="00580623"/>
    <w:rsid w:val="00580902"/>
    <w:rsid w:val="00580D8D"/>
    <w:rsid w:val="00581605"/>
    <w:rsid w:val="005821F9"/>
    <w:rsid w:val="00582326"/>
    <w:rsid w:val="00582355"/>
    <w:rsid w:val="00583DEF"/>
    <w:rsid w:val="0058442C"/>
    <w:rsid w:val="005847E3"/>
    <w:rsid w:val="0058579F"/>
    <w:rsid w:val="00585F0E"/>
    <w:rsid w:val="00586006"/>
    <w:rsid w:val="00586734"/>
    <w:rsid w:val="00586BD5"/>
    <w:rsid w:val="00586CBA"/>
    <w:rsid w:val="00587400"/>
    <w:rsid w:val="00587846"/>
    <w:rsid w:val="00587A9E"/>
    <w:rsid w:val="00590166"/>
    <w:rsid w:val="005907D0"/>
    <w:rsid w:val="00590D73"/>
    <w:rsid w:val="00590E2B"/>
    <w:rsid w:val="0059112D"/>
    <w:rsid w:val="00591509"/>
    <w:rsid w:val="005927EF"/>
    <w:rsid w:val="005935DB"/>
    <w:rsid w:val="005945E2"/>
    <w:rsid w:val="00594730"/>
    <w:rsid w:val="005948D4"/>
    <w:rsid w:val="00594F54"/>
    <w:rsid w:val="00595DCD"/>
    <w:rsid w:val="00596CF4"/>
    <w:rsid w:val="005A098A"/>
    <w:rsid w:val="005A1018"/>
    <w:rsid w:val="005A1088"/>
    <w:rsid w:val="005A15F5"/>
    <w:rsid w:val="005A1A43"/>
    <w:rsid w:val="005A207E"/>
    <w:rsid w:val="005A274A"/>
    <w:rsid w:val="005A2B08"/>
    <w:rsid w:val="005A2F0F"/>
    <w:rsid w:val="005A3567"/>
    <w:rsid w:val="005A4098"/>
    <w:rsid w:val="005A43B7"/>
    <w:rsid w:val="005A4E08"/>
    <w:rsid w:val="005A4E9F"/>
    <w:rsid w:val="005A53A4"/>
    <w:rsid w:val="005A5847"/>
    <w:rsid w:val="005A592A"/>
    <w:rsid w:val="005A5A6F"/>
    <w:rsid w:val="005A63B6"/>
    <w:rsid w:val="005A64AE"/>
    <w:rsid w:val="005A6709"/>
    <w:rsid w:val="005A6B57"/>
    <w:rsid w:val="005A6E81"/>
    <w:rsid w:val="005A70B7"/>
    <w:rsid w:val="005A75BF"/>
    <w:rsid w:val="005A7675"/>
    <w:rsid w:val="005A78EE"/>
    <w:rsid w:val="005A7FB2"/>
    <w:rsid w:val="005B0441"/>
    <w:rsid w:val="005B05F6"/>
    <w:rsid w:val="005B0BAA"/>
    <w:rsid w:val="005B1944"/>
    <w:rsid w:val="005B1955"/>
    <w:rsid w:val="005B2129"/>
    <w:rsid w:val="005B27F5"/>
    <w:rsid w:val="005B28AC"/>
    <w:rsid w:val="005B2B51"/>
    <w:rsid w:val="005B2F51"/>
    <w:rsid w:val="005B30EC"/>
    <w:rsid w:val="005B3198"/>
    <w:rsid w:val="005B35D8"/>
    <w:rsid w:val="005B3686"/>
    <w:rsid w:val="005B37E8"/>
    <w:rsid w:val="005B4195"/>
    <w:rsid w:val="005B4200"/>
    <w:rsid w:val="005B4941"/>
    <w:rsid w:val="005B5424"/>
    <w:rsid w:val="005B6191"/>
    <w:rsid w:val="005B630C"/>
    <w:rsid w:val="005B6B66"/>
    <w:rsid w:val="005B6FC8"/>
    <w:rsid w:val="005B7360"/>
    <w:rsid w:val="005B7D88"/>
    <w:rsid w:val="005C0C8A"/>
    <w:rsid w:val="005C0C93"/>
    <w:rsid w:val="005C1440"/>
    <w:rsid w:val="005C144D"/>
    <w:rsid w:val="005C2B9E"/>
    <w:rsid w:val="005C3C07"/>
    <w:rsid w:val="005C407B"/>
    <w:rsid w:val="005C4369"/>
    <w:rsid w:val="005C5704"/>
    <w:rsid w:val="005C5A6F"/>
    <w:rsid w:val="005C5B9B"/>
    <w:rsid w:val="005C5CC9"/>
    <w:rsid w:val="005C6242"/>
    <w:rsid w:val="005C6B2B"/>
    <w:rsid w:val="005C6EB5"/>
    <w:rsid w:val="005C7271"/>
    <w:rsid w:val="005D00CD"/>
    <w:rsid w:val="005D067F"/>
    <w:rsid w:val="005D101C"/>
    <w:rsid w:val="005D123C"/>
    <w:rsid w:val="005D1729"/>
    <w:rsid w:val="005D2F0D"/>
    <w:rsid w:val="005D3450"/>
    <w:rsid w:val="005D470D"/>
    <w:rsid w:val="005D47F4"/>
    <w:rsid w:val="005D582A"/>
    <w:rsid w:val="005D616E"/>
    <w:rsid w:val="005D67C7"/>
    <w:rsid w:val="005D6803"/>
    <w:rsid w:val="005D6B9B"/>
    <w:rsid w:val="005D7658"/>
    <w:rsid w:val="005D7DCF"/>
    <w:rsid w:val="005D7FF3"/>
    <w:rsid w:val="005E0251"/>
    <w:rsid w:val="005E16A3"/>
    <w:rsid w:val="005E1BE3"/>
    <w:rsid w:val="005E23D1"/>
    <w:rsid w:val="005E2A76"/>
    <w:rsid w:val="005E399B"/>
    <w:rsid w:val="005E4981"/>
    <w:rsid w:val="005E4EC8"/>
    <w:rsid w:val="005E51E9"/>
    <w:rsid w:val="005E576B"/>
    <w:rsid w:val="005E58FA"/>
    <w:rsid w:val="005E67BB"/>
    <w:rsid w:val="005E6BC9"/>
    <w:rsid w:val="005E7B35"/>
    <w:rsid w:val="005F0D77"/>
    <w:rsid w:val="005F1196"/>
    <w:rsid w:val="005F1F68"/>
    <w:rsid w:val="005F20D9"/>
    <w:rsid w:val="005F26A8"/>
    <w:rsid w:val="005F2E07"/>
    <w:rsid w:val="005F2ED4"/>
    <w:rsid w:val="005F3562"/>
    <w:rsid w:val="005F4106"/>
    <w:rsid w:val="005F4EB3"/>
    <w:rsid w:val="005F629D"/>
    <w:rsid w:val="005F66BB"/>
    <w:rsid w:val="005F6EA2"/>
    <w:rsid w:val="005F7BD0"/>
    <w:rsid w:val="005F7FDD"/>
    <w:rsid w:val="00600186"/>
    <w:rsid w:val="00601CDA"/>
    <w:rsid w:val="00602551"/>
    <w:rsid w:val="00603118"/>
    <w:rsid w:val="0060356F"/>
    <w:rsid w:val="00603651"/>
    <w:rsid w:val="00603E75"/>
    <w:rsid w:val="00604632"/>
    <w:rsid w:val="00605394"/>
    <w:rsid w:val="0060548F"/>
    <w:rsid w:val="006055D0"/>
    <w:rsid w:val="006058E8"/>
    <w:rsid w:val="006073E0"/>
    <w:rsid w:val="0061015F"/>
    <w:rsid w:val="00610594"/>
    <w:rsid w:val="006107AE"/>
    <w:rsid w:val="00610886"/>
    <w:rsid w:val="00610AFB"/>
    <w:rsid w:val="00610BCE"/>
    <w:rsid w:val="00611338"/>
    <w:rsid w:val="0061138E"/>
    <w:rsid w:val="00611656"/>
    <w:rsid w:val="00612C46"/>
    <w:rsid w:val="00613191"/>
    <w:rsid w:val="00613338"/>
    <w:rsid w:val="00613B9C"/>
    <w:rsid w:val="00613CE7"/>
    <w:rsid w:val="00614B77"/>
    <w:rsid w:val="00614D56"/>
    <w:rsid w:val="006152BE"/>
    <w:rsid w:val="006158B4"/>
    <w:rsid w:val="00616054"/>
    <w:rsid w:val="00616EB5"/>
    <w:rsid w:val="00617068"/>
    <w:rsid w:val="0061720C"/>
    <w:rsid w:val="006172AC"/>
    <w:rsid w:val="0061770F"/>
    <w:rsid w:val="006200BB"/>
    <w:rsid w:val="006201CA"/>
    <w:rsid w:val="00620761"/>
    <w:rsid w:val="0062111F"/>
    <w:rsid w:val="0062212A"/>
    <w:rsid w:val="0062220B"/>
    <w:rsid w:val="006223E3"/>
    <w:rsid w:val="00623476"/>
    <w:rsid w:val="006238F6"/>
    <w:rsid w:val="00623938"/>
    <w:rsid w:val="006252D1"/>
    <w:rsid w:val="00625358"/>
    <w:rsid w:val="00625837"/>
    <w:rsid w:val="00625C0E"/>
    <w:rsid w:val="006265A6"/>
    <w:rsid w:val="00626A95"/>
    <w:rsid w:val="0062713F"/>
    <w:rsid w:val="006275A0"/>
    <w:rsid w:val="006277F5"/>
    <w:rsid w:val="00627D7D"/>
    <w:rsid w:val="0063039B"/>
    <w:rsid w:val="0063146C"/>
    <w:rsid w:val="0063227B"/>
    <w:rsid w:val="00632BEF"/>
    <w:rsid w:val="00632C82"/>
    <w:rsid w:val="00632E3C"/>
    <w:rsid w:val="0063372A"/>
    <w:rsid w:val="00634EE1"/>
    <w:rsid w:val="00635443"/>
    <w:rsid w:val="00635EBB"/>
    <w:rsid w:val="006360DF"/>
    <w:rsid w:val="00636512"/>
    <w:rsid w:val="00636F10"/>
    <w:rsid w:val="0063781F"/>
    <w:rsid w:val="00637865"/>
    <w:rsid w:val="00637C7A"/>
    <w:rsid w:val="006402A1"/>
    <w:rsid w:val="00640ECE"/>
    <w:rsid w:val="006414D2"/>
    <w:rsid w:val="006418A6"/>
    <w:rsid w:val="0064196F"/>
    <w:rsid w:val="00641DAE"/>
    <w:rsid w:val="00641F0A"/>
    <w:rsid w:val="00641F44"/>
    <w:rsid w:val="006420A0"/>
    <w:rsid w:val="00642AE9"/>
    <w:rsid w:val="00643CF0"/>
    <w:rsid w:val="00643F57"/>
    <w:rsid w:val="00645102"/>
    <w:rsid w:val="00645816"/>
    <w:rsid w:val="00645985"/>
    <w:rsid w:val="00645D24"/>
    <w:rsid w:val="006460CB"/>
    <w:rsid w:val="006468C9"/>
    <w:rsid w:val="00646D06"/>
    <w:rsid w:val="0064734E"/>
    <w:rsid w:val="0064770A"/>
    <w:rsid w:val="00647888"/>
    <w:rsid w:val="00647AA5"/>
    <w:rsid w:val="00647D40"/>
    <w:rsid w:val="006504D5"/>
    <w:rsid w:val="00650A30"/>
    <w:rsid w:val="00650D3F"/>
    <w:rsid w:val="00650EB0"/>
    <w:rsid w:val="00651404"/>
    <w:rsid w:val="00651A63"/>
    <w:rsid w:val="006528F7"/>
    <w:rsid w:val="006530E5"/>
    <w:rsid w:val="006535C9"/>
    <w:rsid w:val="0065366E"/>
    <w:rsid w:val="006538F0"/>
    <w:rsid w:val="0065498C"/>
    <w:rsid w:val="006549B1"/>
    <w:rsid w:val="00655300"/>
    <w:rsid w:val="0065561D"/>
    <w:rsid w:val="00656251"/>
    <w:rsid w:val="00657548"/>
    <w:rsid w:val="00657669"/>
    <w:rsid w:val="0065798C"/>
    <w:rsid w:val="00660BD2"/>
    <w:rsid w:val="006611E6"/>
    <w:rsid w:val="00661B4F"/>
    <w:rsid w:val="00661CA3"/>
    <w:rsid w:val="006640A5"/>
    <w:rsid w:val="00664373"/>
    <w:rsid w:val="00664FEE"/>
    <w:rsid w:val="00665014"/>
    <w:rsid w:val="006657C4"/>
    <w:rsid w:val="00665AF2"/>
    <w:rsid w:val="006669E4"/>
    <w:rsid w:val="00666C59"/>
    <w:rsid w:val="006673A5"/>
    <w:rsid w:val="00667B5F"/>
    <w:rsid w:val="00667BE5"/>
    <w:rsid w:val="006706B4"/>
    <w:rsid w:val="00670D02"/>
    <w:rsid w:val="00670FE4"/>
    <w:rsid w:val="00672ABE"/>
    <w:rsid w:val="00672F5C"/>
    <w:rsid w:val="00673078"/>
    <w:rsid w:val="00673291"/>
    <w:rsid w:val="00673BE1"/>
    <w:rsid w:val="00674B31"/>
    <w:rsid w:val="00674E24"/>
    <w:rsid w:val="00675D09"/>
    <w:rsid w:val="00676448"/>
    <w:rsid w:val="006766A6"/>
    <w:rsid w:val="00677B93"/>
    <w:rsid w:val="00681950"/>
    <w:rsid w:val="00681BE8"/>
    <w:rsid w:val="00681BFF"/>
    <w:rsid w:val="00681DC9"/>
    <w:rsid w:val="0068234D"/>
    <w:rsid w:val="00682A84"/>
    <w:rsid w:val="00682F92"/>
    <w:rsid w:val="00683533"/>
    <w:rsid w:val="00683759"/>
    <w:rsid w:val="00683A94"/>
    <w:rsid w:val="00683F00"/>
    <w:rsid w:val="00684019"/>
    <w:rsid w:val="00684F0E"/>
    <w:rsid w:val="0068521C"/>
    <w:rsid w:val="006855A0"/>
    <w:rsid w:val="00685A03"/>
    <w:rsid w:val="00685D7B"/>
    <w:rsid w:val="006862BE"/>
    <w:rsid w:val="00686AB6"/>
    <w:rsid w:val="00686EB6"/>
    <w:rsid w:val="006873B7"/>
    <w:rsid w:val="006901ED"/>
    <w:rsid w:val="00690746"/>
    <w:rsid w:val="0069081A"/>
    <w:rsid w:val="00690CAE"/>
    <w:rsid w:val="00691A9D"/>
    <w:rsid w:val="00691C8F"/>
    <w:rsid w:val="00691CB0"/>
    <w:rsid w:val="0069313E"/>
    <w:rsid w:val="00694239"/>
    <w:rsid w:val="00694336"/>
    <w:rsid w:val="0069585D"/>
    <w:rsid w:val="00695919"/>
    <w:rsid w:val="006959F5"/>
    <w:rsid w:val="0069610A"/>
    <w:rsid w:val="006963BA"/>
    <w:rsid w:val="0069672E"/>
    <w:rsid w:val="00697479"/>
    <w:rsid w:val="006A0789"/>
    <w:rsid w:val="006A0A08"/>
    <w:rsid w:val="006A1595"/>
    <w:rsid w:val="006A20B8"/>
    <w:rsid w:val="006A3D28"/>
    <w:rsid w:val="006A420A"/>
    <w:rsid w:val="006A48E1"/>
    <w:rsid w:val="006A4B55"/>
    <w:rsid w:val="006A4B85"/>
    <w:rsid w:val="006A5432"/>
    <w:rsid w:val="006A5B0D"/>
    <w:rsid w:val="006A6500"/>
    <w:rsid w:val="006A6E3C"/>
    <w:rsid w:val="006A7B5D"/>
    <w:rsid w:val="006B0270"/>
    <w:rsid w:val="006B0463"/>
    <w:rsid w:val="006B1549"/>
    <w:rsid w:val="006B2406"/>
    <w:rsid w:val="006B25E3"/>
    <w:rsid w:val="006B3446"/>
    <w:rsid w:val="006B3BBE"/>
    <w:rsid w:val="006B3C50"/>
    <w:rsid w:val="006B3C8C"/>
    <w:rsid w:val="006B4150"/>
    <w:rsid w:val="006B4C52"/>
    <w:rsid w:val="006B4ED9"/>
    <w:rsid w:val="006B538A"/>
    <w:rsid w:val="006B57A4"/>
    <w:rsid w:val="006B5CBF"/>
    <w:rsid w:val="006B69E2"/>
    <w:rsid w:val="006B6A55"/>
    <w:rsid w:val="006B7630"/>
    <w:rsid w:val="006C227D"/>
    <w:rsid w:val="006C38A9"/>
    <w:rsid w:val="006C4129"/>
    <w:rsid w:val="006C496C"/>
    <w:rsid w:val="006C4B16"/>
    <w:rsid w:val="006C4BD4"/>
    <w:rsid w:val="006C5554"/>
    <w:rsid w:val="006C5857"/>
    <w:rsid w:val="006C58A1"/>
    <w:rsid w:val="006C5975"/>
    <w:rsid w:val="006C5AB8"/>
    <w:rsid w:val="006C6C77"/>
    <w:rsid w:val="006C7512"/>
    <w:rsid w:val="006C77FE"/>
    <w:rsid w:val="006C7C07"/>
    <w:rsid w:val="006D0087"/>
    <w:rsid w:val="006D0F0C"/>
    <w:rsid w:val="006D10B8"/>
    <w:rsid w:val="006D13B1"/>
    <w:rsid w:val="006D2034"/>
    <w:rsid w:val="006D215D"/>
    <w:rsid w:val="006D3B2C"/>
    <w:rsid w:val="006D4314"/>
    <w:rsid w:val="006D44B6"/>
    <w:rsid w:val="006D49C0"/>
    <w:rsid w:val="006D4DFF"/>
    <w:rsid w:val="006D58F0"/>
    <w:rsid w:val="006D5FD0"/>
    <w:rsid w:val="006D5FF6"/>
    <w:rsid w:val="006D624A"/>
    <w:rsid w:val="006D655D"/>
    <w:rsid w:val="006D6843"/>
    <w:rsid w:val="006D6B47"/>
    <w:rsid w:val="006D707A"/>
    <w:rsid w:val="006D735C"/>
    <w:rsid w:val="006D73DF"/>
    <w:rsid w:val="006D7520"/>
    <w:rsid w:val="006D767C"/>
    <w:rsid w:val="006D7C3C"/>
    <w:rsid w:val="006D7E5C"/>
    <w:rsid w:val="006E0297"/>
    <w:rsid w:val="006E0649"/>
    <w:rsid w:val="006E0FC2"/>
    <w:rsid w:val="006E1CEC"/>
    <w:rsid w:val="006E204E"/>
    <w:rsid w:val="006E2324"/>
    <w:rsid w:val="006E2AC2"/>
    <w:rsid w:val="006E2CAF"/>
    <w:rsid w:val="006E2F0E"/>
    <w:rsid w:val="006E311A"/>
    <w:rsid w:val="006E405F"/>
    <w:rsid w:val="006E4126"/>
    <w:rsid w:val="006E479C"/>
    <w:rsid w:val="006E47DF"/>
    <w:rsid w:val="006E5A7D"/>
    <w:rsid w:val="006E642A"/>
    <w:rsid w:val="006E69C7"/>
    <w:rsid w:val="006E70F3"/>
    <w:rsid w:val="006E713C"/>
    <w:rsid w:val="006E7760"/>
    <w:rsid w:val="006F034A"/>
    <w:rsid w:val="006F0429"/>
    <w:rsid w:val="006F0838"/>
    <w:rsid w:val="006F0864"/>
    <w:rsid w:val="006F0865"/>
    <w:rsid w:val="006F1679"/>
    <w:rsid w:val="006F233B"/>
    <w:rsid w:val="006F26D4"/>
    <w:rsid w:val="006F283E"/>
    <w:rsid w:val="006F2D7B"/>
    <w:rsid w:val="006F3624"/>
    <w:rsid w:val="006F384E"/>
    <w:rsid w:val="006F3C94"/>
    <w:rsid w:val="006F41AD"/>
    <w:rsid w:val="006F43C7"/>
    <w:rsid w:val="006F459C"/>
    <w:rsid w:val="006F4C08"/>
    <w:rsid w:val="006F4F12"/>
    <w:rsid w:val="006F5505"/>
    <w:rsid w:val="006F5E56"/>
    <w:rsid w:val="006F5EDE"/>
    <w:rsid w:val="006F6292"/>
    <w:rsid w:val="006F666F"/>
    <w:rsid w:val="006F7C92"/>
    <w:rsid w:val="00700498"/>
    <w:rsid w:val="0070094D"/>
    <w:rsid w:val="007009EB"/>
    <w:rsid w:val="00700F7C"/>
    <w:rsid w:val="00701260"/>
    <w:rsid w:val="00702390"/>
    <w:rsid w:val="00702719"/>
    <w:rsid w:val="0070327F"/>
    <w:rsid w:val="0070329A"/>
    <w:rsid w:val="00704036"/>
    <w:rsid w:val="00704206"/>
    <w:rsid w:val="00704975"/>
    <w:rsid w:val="007055D2"/>
    <w:rsid w:val="00705943"/>
    <w:rsid w:val="00705CF5"/>
    <w:rsid w:val="0070675D"/>
    <w:rsid w:val="00707288"/>
    <w:rsid w:val="00707342"/>
    <w:rsid w:val="00707916"/>
    <w:rsid w:val="00710999"/>
    <w:rsid w:val="00710F20"/>
    <w:rsid w:val="007113C3"/>
    <w:rsid w:val="007133D9"/>
    <w:rsid w:val="007136DB"/>
    <w:rsid w:val="007139E4"/>
    <w:rsid w:val="00713CA7"/>
    <w:rsid w:val="00714437"/>
    <w:rsid w:val="0071452E"/>
    <w:rsid w:val="00714975"/>
    <w:rsid w:val="00714ABF"/>
    <w:rsid w:val="007155D8"/>
    <w:rsid w:val="0071562E"/>
    <w:rsid w:val="0071578D"/>
    <w:rsid w:val="00716262"/>
    <w:rsid w:val="0071638A"/>
    <w:rsid w:val="00716AD3"/>
    <w:rsid w:val="00716B4E"/>
    <w:rsid w:val="00716ECA"/>
    <w:rsid w:val="0071729F"/>
    <w:rsid w:val="0071747A"/>
    <w:rsid w:val="00720CA1"/>
    <w:rsid w:val="00720EEC"/>
    <w:rsid w:val="00720F99"/>
    <w:rsid w:val="007212C6"/>
    <w:rsid w:val="0072168A"/>
    <w:rsid w:val="00721EB9"/>
    <w:rsid w:val="00721F7F"/>
    <w:rsid w:val="007222BB"/>
    <w:rsid w:val="00722E20"/>
    <w:rsid w:val="00723067"/>
    <w:rsid w:val="00723D6E"/>
    <w:rsid w:val="007244F8"/>
    <w:rsid w:val="00724792"/>
    <w:rsid w:val="00724FE3"/>
    <w:rsid w:val="00725C30"/>
    <w:rsid w:val="00725EDB"/>
    <w:rsid w:val="00726552"/>
    <w:rsid w:val="007273EB"/>
    <w:rsid w:val="00727426"/>
    <w:rsid w:val="0072745E"/>
    <w:rsid w:val="007274E0"/>
    <w:rsid w:val="007326E4"/>
    <w:rsid w:val="007327A8"/>
    <w:rsid w:val="00732C7C"/>
    <w:rsid w:val="00732DF9"/>
    <w:rsid w:val="00733A1E"/>
    <w:rsid w:val="00733A59"/>
    <w:rsid w:val="00733FC7"/>
    <w:rsid w:val="007352D9"/>
    <w:rsid w:val="00735354"/>
    <w:rsid w:val="007353EE"/>
    <w:rsid w:val="007363A5"/>
    <w:rsid w:val="00736C97"/>
    <w:rsid w:val="00737376"/>
    <w:rsid w:val="007401A5"/>
    <w:rsid w:val="007409C1"/>
    <w:rsid w:val="0074113D"/>
    <w:rsid w:val="007413D8"/>
    <w:rsid w:val="0074164E"/>
    <w:rsid w:val="0074173A"/>
    <w:rsid w:val="007423E7"/>
    <w:rsid w:val="00742903"/>
    <w:rsid w:val="00742AC3"/>
    <w:rsid w:val="00742B87"/>
    <w:rsid w:val="00742D9B"/>
    <w:rsid w:val="00742EA1"/>
    <w:rsid w:val="007444D4"/>
    <w:rsid w:val="007446D3"/>
    <w:rsid w:val="007454B4"/>
    <w:rsid w:val="007455B7"/>
    <w:rsid w:val="00745832"/>
    <w:rsid w:val="00745A4D"/>
    <w:rsid w:val="00745BB8"/>
    <w:rsid w:val="00746251"/>
    <w:rsid w:val="007470ED"/>
    <w:rsid w:val="0074729B"/>
    <w:rsid w:val="00747D55"/>
    <w:rsid w:val="007505C8"/>
    <w:rsid w:val="00750639"/>
    <w:rsid w:val="00750B2E"/>
    <w:rsid w:val="00750BCD"/>
    <w:rsid w:val="0075144E"/>
    <w:rsid w:val="00751790"/>
    <w:rsid w:val="00751EE2"/>
    <w:rsid w:val="0075220D"/>
    <w:rsid w:val="00752745"/>
    <w:rsid w:val="00752B91"/>
    <w:rsid w:val="00752E2D"/>
    <w:rsid w:val="0075422C"/>
    <w:rsid w:val="00754238"/>
    <w:rsid w:val="00754C42"/>
    <w:rsid w:val="007551DD"/>
    <w:rsid w:val="007558E9"/>
    <w:rsid w:val="00755E54"/>
    <w:rsid w:val="00756484"/>
    <w:rsid w:val="0075682B"/>
    <w:rsid w:val="007569D2"/>
    <w:rsid w:val="00756AC6"/>
    <w:rsid w:val="00757B00"/>
    <w:rsid w:val="00760738"/>
    <w:rsid w:val="00761502"/>
    <w:rsid w:val="00761580"/>
    <w:rsid w:val="00761962"/>
    <w:rsid w:val="00762157"/>
    <w:rsid w:val="0076219D"/>
    <w:rsid w:val="00763227"/>
    <w:rsid w:val="00764090"/>
    <w:rsid w:val="00764B91"/>
    <w:rsid w:val="00765B34"/>
    <w:rsid w:val="00767155"/>
    <w:rsid w:val="00767669"/>
    <w:rsid w:val="0076782D"/>
    <w:rsid w:val="007715FF"/>
    <w:rsid w:val="0077171A"/>
    <w:rsid w:val="007717DF"/>
    <w:rsid w:val="0077259C"/>
    <w:rsid w:val="00772906"/>
    <w:rsid w:val="00773AD1"/>
    <w:rsid w:val="007747A2"/>
    <w:rsid w:val="007752C7"/>
    <w:rsid w:val="00775A2E"/>
    <w:rsid w:val="007763DF"/>
    <w:rsid w:val="007768DA"/>
    <w:rsid w:val="0077774E"/>
    <w:rsid w:val="00777D4C"/>
    <w:rsid w:val="0078021F"/>
    <w:rsid w:val="00780853"/>
    <w:rsid w:val="00781335"/>
    <w:rsid w:val="007819C1"/>
    <w:rsid w:val="00781C30"/>
    <w:rsid w:val="0078283F"/>
    <w:rsid w:val="00782C53"/>
    <w:rsid w:val="0078322B"/>
    <w:rsid w:val="00783F56"/>
    <w:rsid w:val="00784C39"/>
    <w:rsid w:val="0078540C"/>
    <w:rsid w:val="00785688"/>
    <w:rsid w:val="00786385"/>
    <w:rsid w:val="0078640A"/>
    <w:rsid w:val="007871AA"/>
    <w:rsid w:val="00787217"/>
    <w:rsid w:val="007877CD"/>
    <w:rsid w:val="007908F1"/>
    <w:rsid w:val="00790DAE"/>
    <w:rsid w:val="00790DF5"/>
    <w:rsid w:val="00791E53"/>
    <w:rsid w:val="0079237C"/>
    <w:rsid w:val="0079248E"/>
    <w:rsid w:val="00792502"/>
    <w:rsid w:val="007934B0"/>
    <w:rsid w:val="00793F84"/>
    <w:rsid w:val="0079472D"/>
    <w:rsid w:val="007947CE"/>
    <w:rsid w:val="0079572F"/>
    <w:rsid w:val="007968E2"/>
    <w:rsid w:val="00796EF2"/>
    <w:rsid w:val="0079721D"/>
    <w:rsid w:val="0079799B"/>
    <w:rsid w:val="00797C75"/>
    <w:rsid w:val="007A1F97"/>
    <w:rsid w:val="007A259C"/>
    <w:rsid w:val="007A2A9D"/>
    <w:rsid w:val="007A2D96"/>
    <w:rsid w:val="007A33AB"/>
    <w:rsid w:val="007A48AD"/>
    <w:rsid w:val="007A4D06"/>
    <w:rsid w:val="007A626E"/>
    <w:rsid w:val="007A63D4"/>
    <w:rsid w:val="007A64C3"/>
    <w:rsid w:val="007A6801"/>
    <w:rsid w:val="007A68E6"/>
    <w:rsid w:val="007A7504"/>
    <w:rsid w:val="007A7ADD"/>
    <w:rsid w:val="007A7D4E"/>
    <w:rsid w:val="007B03A5"/>
    <w:rsid w:val="007B1A3A"/>
    <w:rsid w:val="007B1AB5"/>
    <w:rsid w:val="007B1C47"/>
    <w:rsid w:val="007B2031"/>
    <w:rsid w:val="007B204D"/>
    <w:rsid w:val="007B25AD"/>
    <w:rsid w:val="007B2BD1"/>
    <w:rsid w:val="007B491B"/>
    <w:rsid w:val="007B4BD1"/>
    <w:rsid w:val="007B4CBE"/>
    <w:rsid w:val="007B504E"/>
    <w:rsid w:val="007B5054"/>
    <w:rsid w:val="007B50C0"/>
    <w:rsid w:val="007B56B4"/>
    <w:rsid w:val="007B645E"/>
    <w:rsid w:val="007B66B2"/>
    <w:rsid w:val="007B68AC"/>
    <w:rsid w:val="007B6FF0"/>
    <w:rsid w:val="007C0638"/>
    <w:rsid w:val="007C0F9B"/>
    <w:rsid w:val="007C1E14"/>
    <w:rsid w:val="007C1FC9"/>
    <w:rsid w:val="007C2D45"/>
    <w:rsid w:val="007C327E"/>
    <w:rsid w:val="007C34B5"/>
    <w:rsid w:val="007C3C39"/>
    <w:rsid w:val="007C593C"/>
    <w:rsid w:val="007C5A60"/>
    <w:rsid w:val="007C5E91"/>
    <w:rsid w:val="007C6F0D"/>
    <w:rsid w:val="007C6FD7"/>
    <w:rsid w:val="007C7F07"/>
    <w:rsid w:val="007D019D"/>
    <w:rsid w:val="007D0F4A"/>
    <w:rsid w:val="007D138E"/>
    <w:rsid w:val="007D1522"/>
    <w:rsid w:val="007D195F"/>
    <w:rsid w:val="007D1F66"/>
    <w:rsid w:val="007D2046"/>
    <w:rsid w:val="007D32B7"/>
    <w:rsid w:val="007D3B5F"/>
    <w:rsid w:val="007D4A8F"/>
    <w:rsid w:val="007D5A70"/>
    <w:rsid w:val="007D5F15"/>
    <w:rsid w:val="007D6408"/>
    <w:rsid w:val="007D66C6"/>
    <w:rsid w:val="007D68CC"/>
    <w:rsid w:val="007D71EE"/>
    <w:rsid w:val="007E0A1D"/>
    <w:rsid w:val="007E0A38"/>
    <w:rsid w:val="007E1470"/>
    <w:rsid w:val="007E1631"/>
    <w:rsid w:val="007E23C4"/>
    <w:rsid w:val="007E3A68"/>
    <w:rsid w:val="007E41F1"/>
    <w:rsid w:val="007E46F7"/>
    <w:rsid w:val="007E64A8"/>
    <w:rsid w:val="007E651E"/>
    <w:rsid w:val="007E696A"/>
    <w:rsid w:val="007E6AE1"/>
    <w:rsid w:val="007E6F1A"/>
    <w:rsid w:val="007E77A8"/>
    <w:rsid w:val="007E7F51"/>
    <w:rsid w:val="007F0011"/>
    <w:rsid w:val="007F03B4"/>
    <w:rsid w:val="007F0778"/>
    <w:rsid w:val="007F0B96"/>
    <w:rsid w:val="007F1003"/>
    <w:rsid w:val="007F1280"/>
    <w:rsid w:val="007F1ADC"/>
    <w:rsid w:val="007F2603"/>
    <w:rsid w:val="007F2924"/>
    <w:rsid w:val="007F2BC3"/>
    <w:rsid w:val="007F2F7B"/>
    <w:rsid w:val="007F3098"/>
    <w:rsid w:val="007F3753"/>
    <w:rsid w:val="007F3937"/>
    <w:rsid w:val="007F3FF1"/>
    <w:rsid w:val="007F42D2"/>
    <w:rsid w:val="007F4ABD"/>
    <w:rsid w:val="007F5673"/>
    <w:rsid w:val="007F5F6B"/>
    <w:rsid w:val="007F61FD"/>
    <w:rsid w:val="007F64E3"/>
    <w:rsid w:val="007F6D23"/>
    <w:rsid w:val="007F6F44"/>
    <w:rsid w:val="008012BA"/>
    <w:rsid w:val="00802BAF"/>
    <w:rsid w:val="0080344D"/>
    <w:rsid w:val="0080476E"/>
    <w:rsid w:val="008048CF"/>
    <w:rsid w:val="00804D35"/>
    <w:rsid w:val="008056BF"/>
    <w:rsid w:val="00805722"/>
    <w:rsid w:val="00805B06"/>
    <w:rsid w:val="00806624"/>
    <w:rsid w:val="00806685"/>
    <w:rsid w:val="008067BF"/>
    <w:rsid w:val="00806A1A"/>
    <w:rsid w:val="00807454"/>
    <w:rsid w:val="0080773D"/>
    <w:rsid w:val="00807AFE"/>
    <w:rsid w:val="00807EDA"/>
    <w:rsid w:val="008100B6"/>
    <w:rsid w:val="00810C51"/>
    <w:rsid w:val="0081103A"/>
    <w:rsid w:val="0081105B"/>
    <w:rsid w:val="0081177F"/>
    <w:rsid w:val="008120D3"/>
    <w:rsid w:val="00812351"/>
    <w:rsid w:val="00812717"/>
    <w:rsid w:val="00812F40"/>
    <w:rsid w:val="00813CDF"/>
    <w:rsid w:val="00813D51"/>
    <w:rsid w:val="00813E1B"/>
    <w:rsid w:val="00814796"/>
    <w:rsid w:val="00816835"/>
    <w:rsid w:val="008169C6"/>
    <w:rsid w:val="00816FB4"/>
    <w:rsid w:val="00817058"/>
    <w:rsid w:val="0081715F"/>
    <w:rsid w:val="00820118"/>
    <w:rsid w:val="0082026E"/>
    <w:rsid w:val="0082061E"/>
    <w:rsid w:val="008206E1"/>
    <w:rsid w:val="00820B82"/>
    <w:rsid w:val="00822384"/>
    <w:rsid w:val="0082318B"/>
    <w:rsid w:val="008238F5"/>
    <w:rsid w:val="0082390D"/>
    <w:rsid w:val="00823B22"/>
    <w:rsid w:val="0082442D"/>
    <w:rsid w:val="008245A1"/>
    <w:rsid w:val="008247AE"/>
    <w:rsid w:val="008248C5"/>
    <w:rsid w:val="00824C28"/>
    <w:rsid w:val="00825684"/>
    <w:rsid w:val="0082570F"/>
    <w:rsid w:val="00825C33"/>
    <w:rsid w:val="00826249"/>
    <w:rsid w:val="008264D4"/>
    <w:rsid w:val="008265BA"/>
    <w:rsid w:val="00826CDD"/>
    <w:rsid w:val="00826D02"/>
    <w:rsid w:val="00827647"/>
    <w:rsid w:val="00827844"/>
    <w:rsid w:val="00827F80"/>
    <w:rsid w:val="00830414"/>
    <w:rsid w:val="00831021"/>
    <w:rsid w:val="00831C53"/>
    <w:rsid w:val="00831F56"/>
    <w:rsid w:val="00832374"/>
    <w:rsid w:val="00833820"/>
    <w:rsid w:val="00833C7E"/>
    <w:rsid w:val="0083412E"/>
    <w:rsid w:val="00835AF7"/>
    <w:rsid w:val="00835FE5"/>
    <w:rsid w:val="0083625C"/>
    <w:rsid w:val="008379BE"/>
    <w:rsid w:val="008379F0"/>
    <w:rsid w:val="00837C49"/>
    <w:rsid w:val="00840008"/>
    <w:rsid w:val="0084066C"/>
    <w:rsid w:val="0084116B"/>
    <w:rsid w:val="0084196D"/>
    <w:rsid w:val="00841AB4"/>
    <w:rsid w:val="00842030"/>
    <w:rsid w:val="00842130"/>
    <w:rsid w:val="00842644"/>
    <w:rsid w:val="008436E6"/>
    <w:rsid w:val="00843719"/>
    <w:rsid w:val="00844961"/>
    <w:rsid w:val="00844B76"/>
    <w:rsid w:val="00845623"/>
    <w:rsid w:val="008458A2"/>
    <w:rsid w:val="008468D2"/>
    <w:rsid w:val="00846A85"/>
    <w:rsid w:val="00846B1E"/>
    <w:rsid w:val="00846DD8"/>
    <w:rsid w:val="00847BCB"/>
    <w:rsid w:val="00847F9A"/>
    <w:rsid w:val="00851552"/>
    <w:rsid w:val="008519B8"/>
    <w:rsid w:val="00853444"/>
    <w:rsid w:val="00854A0F"/>
    <w:rsid w:val="00854B9D"/>
    <w:rsid w:val="008551A0"/>
    <w:rsid w:val="0085596D"/>
    <w:rsid w:val="008569D4"/>
    <w:rsid w:val="00860741"/>
    <w:rsid w:val="00860908"/>
    <w:rsid w:val="00860CED"/>
    <w:rsid w:val="00861178"/>
    <w:rsid w:val="0086121D"/>
    <w:rsid w:val="00861456"/>
    <w:rsid w:val="008616C1"/>
    <w:rsid w:val="008621AD"/>
    <w:rsid w:val="008624B6"/>
    <w:rsid w:val="008635C2"/>
    <w:rsid w:val="0086360B"/>
    <w:rsid w:val="00863A42"/>
    <w:rsid w:val="00863C1A"/>
    <w:rsid w:val="008640A7"/>
    <w:rsid w:val="00864339"/>
    <w:rsid w:val="0086436A"/>
    <w:rsid w:val="00864470"/>
    <w:rsid w:val="0086464D"/>
    <w:rsid w:val="008647DC"/>
    <w:rsid w:val="00864A6C"/>
    <w:rsid w:val="00864A8B"/>
    <w:rsid w:val="00864CD4"/>
    <w:rsid w:val="00865588"/>
    <w:rsid w:val="008656BA"/>
    <w:rsid w:val="00865873"/>
    <w:rsid w:val="00865A19"/>
    <w:rsid w:val="00865D38"/>
    <w:rsid w:val="00866100"/>
    <w:rsid w:val="008666D5"/>
    <w:rsid w:val="00867D5F"/>
    <w:rsid w:val="00867DCC"/>
    <w:rsid w:val="00867E6A"/>
    <w:rsid w:val="00870870"/>
    <w:rsid w:val="008711BB"/>
    <w:rsid w:val="00871676"/>
    <w:rsid w:val="00871CA8"/>
    <w:rsid w:val="00873A53"/>
    <w:rsid w:val="00873B86"/>
    <w:rsid w:val="00873FC1"/>
    <w:rsid w:val="008753B8"/>
    <w:rsid w:val="0087585C"/>
    <w:rsid w:val="00875D89"/>
    <w:rsid w:val="00876367"/>
    <w:rsid w:val="0087763B"/>
    <w:rsid w:val="00880313"/>
    <w:rsid w:val="0088049A"/>
    <w:rsid w:val="0088089A"/>
    <w:rsid w:val="00880BA0"/>
    <w:rsid w:val="0088121A"/>
    <w:rsid w:val="00881402"/>
    <w:rsid w:val="00882964"/>
    <w:rsid w:val="008835BF"/>
    <w:rsid w:val="00883A6A"/>
    <w:rsid w:val="008840D0"/>
    <w:rsid w:val="008840F0"/>
    <w:rsid w:val="00884516"/>
    <w:rsid w:val="00884731"/>
    <w:rsid w:val="00884A75"/>
    <w:rsid w:val="00884A9B"/>
    <w:rsid w:val="00884B7D"/>
    <w:rsid w:val="00884E32"/>
    <w:rsid w:val="008850CD"/>
    <w:rsid w:val="008853F3"/>
    <w:rsid w:val="00885F63"/>
    <w:rsid w:val="00886028"/>
    <w:rsid w:val="008868B7"/>
    <w:rsid w:val="00886B26"/>
    <w:rsid w:val="00887277"/>
    <w:rsid w:val="00887DEA"/>
    <w:rsid w:val="00890B09"/>
    <w:rsid w:val="00892707"/>
    <w:rsid w:val="008929CB"/>
    <w:rsid w:val="00892FBB"/>
    <w:rsid w:val="008933BD"/>
    <w:rsid w:val="00893721"/>
    <w:rsid w:val="00893B72"/>
    <w:rsid w:val="008942A9"/>
    <w:rsid w:val="00894B54"/>
    <w:rsid w:val="0089505E"/>
    <w:rsid w:val="00895A80"/>
    <w:rsid w:val="008963AC"/>
    <w:rsid w:val="00896B04"/>
    <w:rsid w:val="00897076"/>
    <w:rsid w:val="00897612"/>
    <w:rsid w:val="008979B2"/>
    <w:rsid w:val="00897A00"/>
    <w:rsid w:val="008A06E0"/>
    <w:rsid w:val="008A0FB7"/>
    <w:rsid w:val="008A178A"/>
    <w:rsid w:val="008A1B85"/>
    <w:rsid w:val="008A2F5F"/>
    <w:rsid w:val="008A379F"/>
    <w:rsid w:val="008A5799"/>
    <w:rsid w:val="008A596D"/>
    <w:rsid w:val="008A598B"/>
    <w:rsid w:val="008A5A92"/>
    <w:rsid w:val="008A5DCD"/>
    <w:rsid w:val="008A5FC4"/>
    <w:rsid w:val="008A62AC"/>
    <w:rsid w:val="008A71A9"/>
    <w:rsid w:val="008A741D"/>
    <w:rsid w:val="008A7627"/>
    <w:rsid w:val="008A7FD1"/>
    <w:rsid w:val="008B063B"/>
    <w:rsid w:val="008B0696"/>
    <w:rsid w:val="008B071B"/>
    <w:rsid w:val="008B0B2D"/>
    <w:rsid w:val="008B1959"/>
    <w:rsid w:val="008B199E"/>
    <w:rsid w:val="008B1A39"/>
    <w:rsid w:val="008B26C5"/>
    <w:rsid w:val="008B2AFF"/>
    <w:rsid w:val="008B3F3C"/>
    <w:rsid w:val="008B4750"/>
    <w:rsid w:val="008B4932"/>
    <w:rsid w:val="008B4CBC"/>
    <w:rsid w:val="008B5444"/>
    <w:rsid w:val="008B56CA"/>
    <w:rsid w:val="008B58E7"/>
    <w:rsid w:val="008B636A"/>
    <w:rsid w:val="008B65C8"/>
    <w:rsid w:val="008B6FC0"/>
    <w:rsid w:val="008B7BEF"/>
    <w:rsid w:val="008B7E6E"/>
    <w:rsid w:val="008C0137"/>
    <w:rsid w:val="008C0831"/>
    <w:rsid w:val="008C1660"/>
    <w:rsid w:val="008C1A8D"/>
    <w:rsid w:val="008C23EC"/>
    <w:rsid w:val="008C39BF"/>
    <w:rsid w:val="008C3DE8"/>
    <w:rsid w:val="008C3DFF"/>
    <w:rsid w:val="008C4347"/>
    <w:rsid w:val="008C4444"/>
    <w:rsid w:val="008C4BBD"/>
    <w:rsid w:val="008C5013"/>
    <w:rsid w:val="008C61F8"/>
    <w:rsid w:val="008C6CAD"/>
    <w:rsid w:val="008C7C05"/>
    <w:rsid w:val="008D0281"/>
    <w:rsid w:val="008D0959"/>
    <w:rsid w:val="008D22EF"/>
    <w:rsid w:val="008D2348"/>
    <w:rsid w:val="008D2672"/>
    <w:rsid w:val="008D2A39"/>
    <w:rsid w:val="008D2B1F"/>
    <w:rsid w:val="008D2FCF"/>
    <w:rsid w:val="008D441E"/>
    <w:rsid w:val="008D4A8D"/>
    <w:rsid w:val="008D4BA1"/>
    <w:rsid w:val="008D5576"/>
    <w:rsid w:val="008D57D2"/>
    <w:rsid w:val="008D585F"/>
    <w:rsid w:val="008D616C"/>
    <w:rsid w:val="008D798E"/>
    <w:rsid w:val="008D7CE6"/>
    <w:rsid w:val="008E0557"/>
    <w:rsid w:val="008E150A"/>
    <w:rsid w:val="008E19BB"/>
    <w:rsid w:val="008E1AD9"/>
    <w:rsid w:val="008E22CA"/>
    <w:rsid w:val="008E38B8"/>
    <w:rsid w:val="008E3BBA"/>
    <w:rsid w:val="008E3EF7"/>
    <w:rsid w:val="008E407D"/>
    <w:rsid w:val="008E54AC"/>
    <w:rsid w:val="008E58FF"/>
    <w:rsid w:val="008E62D5"/>
    <w:rsid w:val="008E66E1"/>
    <w:rsid w:val="008E76CA"/>
    <w:rsid w:val="008E7841"/>
    <w:rsid w:val="008E789A"/>
    <w:rsid w:val="008E7C38"/>
    <w:rsid w:val="008F04F4"/>
    <w:rsid w:val="008F05A1"/>
    <w:rsid w:val="008F2DDC"/>
    <w:rsid w:val="008F3361"/>
    <w:rsid w:val="008F3BA8"/>
    <w:rsid w:val="008F3CA5"/>
    <w:rsid w:val="008F42CA"/>
    <w:rsid w:val="008F46DA"/>
    <w:rsid w:val="008F4971"/>
    <w:rsid w:val="008F4FC5"/>
    <w:rsid w:val="008F5B6C"/>
    <w:rsid w:val="008F5BF2"/>
    <w:rsid w:val="008F5C51"/>
    <w:rsid w:val="008F5FA7"/>
    <w:rsid w:val="008F6091"/>
    <w:rsid w:val="008F64BB"/>
    <w:rsid w:val="008F6596"/>
    <w:rsid w:val="008F65AE"/>
    <w:rsid w:val="008F7293"/>
    <w:rsid w:val="008F75BE"/>
    <w:rsid w:val="008F7639"/>
    <w:rsid w:val="008F7779"/>
    <w:rsid w:val="009007D7"/>
    <w:rsid w:val="00900AA9"/>
    <w:rsid w:val="0090119F"/>
    <w:rsid w:val="009015C5"/>
    <w:rsid w:val="0090170A"/>
    <w:rsid w:val="00901DE5"/>
    <w:rsid w:val="0090271F"/>
    <w:rsid w:val="009032DA"/>
    <w:rsid w:val="00903752"/>
    <w:rsid w:val="009053DB"/>
    <w:rsid w:val="00905A34"/>
    <w:rsid w:val="00905FC7"/>
    <w:rsid w:val="00906798"/>
    <w:rsid w:val="0090688B"/>
    <w:rsid w:val="009069FA"/>
    <w:rsid w:val="00906D3A"/>
    <w:rsid w:val="00906E2F"/>
    <w:rsid w:val="00907177"/>
    <w:rsid w:val="009077FC"/>
    <w:rsid w:val="00910B45"/>
    <w:rsid w:val="0091220B"/>
    <w:rsid w:val="009128E9"/>
    <w:rsid w:val="00912EDE"/>
    <w:rsid w:val="0091321B"/>
    <w:rsid w:val="00913921"/>
    <w:rsid w:val="00913AF4"/>
    <w:rsid w:val="00913BAE"/>
    <w:rsid w:val="00913BC4"/>
    <w:rsid w:val="009140A7"/>
    <w:rsid w:val="009140C1"/>
    <w:rsid w:val="009144A0"/>
    <w:rsid w:val="009144AB"/>
    <w:rsid w:val="00914A77"/>
    <w:rsid w:val="00915161"/>
    <w:rsid w:val="009151B8"/>
    <w:rsid w:val="009164BB"/>
    <w:rsid w:val="0091786D"/>
    <w:rsid w:val="00917AE4"/>
    <w:rsid w:val="0092010B"/>
    <w:rsid w:val="00920308"/>
    <w:rsid w:val="00921534"/>
    <w:rsid w:val="009215F5"/>
    <w:rsid w:val="00921E46"/>
    <w:rsid w:val="00921E59"/>
    <w:rsid w:val="00921EEE"/>
    <w:rsid w:val="00921F3F"/>
    <w:rsid w:val="00922214"/>
    <w:rsid w:val="00922D80"/>
    <w:rsid w:val="00923BE4"/>
    <w:rsid w:val="00924030"/>
    <w:rsid w:val="0092494D"/>
    <w:rsid w:val="00924F46"/>
    <w:rsid w:val="009251F3"/>
    <w:rsid w:val="009264A1"/>
    <w:rsid w:val="00926C4E"/>
    <w:rsid w:val="009277C3"/>
    <w:rsid w:val="00927838"/>
    <w:rsid w:val="00927B62"/>
    <w:rsid w:val="00930695"/>
    <w:rsid w:val="00931224"/>
    <w:rsid w:val="00931DFE"/>
    <w:rsid w:val="00932099"/>
    <w:rsid w:val="00932A2F"/>
    <w:rsid w:val="00933714"/>
    <w:rsid w:val="00933E1C"/>
    <w:rsid w:val="00933EC9"/>
    <w:rsid w:val="009345ED"/>
    <w:rsid w:val="00934C5B"/>
    <w:rsid w:val="009358B7"/>
    <w:rsid w:val="009359F0"/>
    <w:rsid w:val="00935CA3"/>
    <w:rsid w:val="009360FC"/>
    <w:rsid w:val="00937681"/>
    <w:rsid w:val="00937CA6"/>
    <w:rsid w:val="00937CAA"/>
    <w:rsid w:val="00940290"/>
    <w:rsid w:val="009403EB"/>
    <w:rsid w:val="009404DF"/>
    <w:rsid w:val="0094052D"/>
    <w:rsid w:val="009406FD"/>
    <w:rsid w:val="00940948"/>
    <w:rsid w:val="009409A1"/>
    <w:rsid w:val="0094123A"/>
    <w:rsid w:val="00941DF7"/>
    <w:rsid w:val="009426DA"/>
    <w:rsid w:val="009444FE"/>
    <w:rsid w:val="009446EF"/>
    <w:rsid w:val="00944D27"/>
    <w:rsid w:val="00945EFF"/>
    <w:rsid w:val="00945F81"/>
    <w:rsid w:val="00946795"/>
    <w:rsid w:val="009469E2"/>
    <w:rsid w:val="00946AA9"/>
    <w:rsid w:val="009474AA"/>
    <w:rsid w:val="009476D2"/>
    <w:rsid w:val="009506AF"/>
    <w:rsid w:val="00951478"/>
    <w:rsid w:val="009516D0"/>
    <w:rsid w:val="00952D35"/>
    <w:rsid w:val="00953B3E"/>
    <w:rsid w:val="00953F28"/>
    <w:rsid w:val="00955ED8"/>
    <w:rsid w:val="00956851"/>
    <w:rsid w:val="00956C99"/>
    <w:rsid w:val="00956D12"/>
    <w:rsid w:val="009574DC"/>
    <w:rsid w:val="009576FC"/>
    <w:rsid w:val="0096013F"/>
    <w:rsid w:val="009601D2"/>
    <w:rsid w:val="00961F1D"/>
    <w:rsid w:val="00962FF5"/>
    <w:rsid w:val="00963383"/>
    <w:rsid w:val="00963503"/>
    <w:rsid w:val="009637ED"/>
    <w:rsid w:val="009637FC"/>
    <w:rsid w:val="00963E66"/>
    <w:rsid w:val="0096415B"/>
    <w:rsid w:val="009643EC"/>
    <w:rsid w:val="009646D4"/>
    <w:rsid w:val="0096494A"/>
    <w:rsid w:val="00964950"/>
    <w:rsid w:val="00964F7A"/>
    <w:rsid w:val="009651F2"/>
    <w:rsid w:val="0096530B"/>
    <w:rsid w:val="0096562E"/>
    <w:rsid w:val="00965871"/>
    <w:rsid w:val="00965D21"/>
    <w:rsid w:val="00966A4B"/>
    <w:rsid w:val="00966A61"/>
    <w:rsid w:val="009676CB"/>
    <w:rsid w:val="009676DD"/>
    <w:rsid w:val="0096780F"/>
    <w:rsid w:val="0097035F"/>
    <w:rsid w:val="009709F9"/>
    <w:rsid w:val="00970C6C"/>
    <w:rsid w:val="00970CCC"/>
    <w:rsid w:val="0097185F"/>
    <w:rsid w:val="009719BC"/>
    <w:rsid w:val="00971F48"/>
    <w:rsid w:val="009723FC"/>
    <w:rsid w:val="009728DE"/>
    <w:rsid w:val="00972ED5"/>
    <w:rsid w:val="00972EDE"/>
    <w:rsid w:val="00972FE0"/>
    <w:rsid w:val="009738DF"/>
    <w:rsid w:val="009741D9"/>
    <w:rsid w:val="009745F3"/>
    <w:rsid w:val="00974903"/>
    <w:rsid w:val="00974D9C"/>
    <w:rsid w:val="0097519B"/>
    <w:rsid w:val="00975235"/>
    <w:rsid w:val="00975473"/>
    <w:rsid w:val="0097607F"/>
    <w:rsid w:val="009768B4"/>
    <w:rsid w:val="00976A1E"/>
    <w:rsid w:val="009772C8"/>
    <w:rsid w:val="009773E1"/>
    <w:rsid w:val="009775A4"/>
    <w:rsid w:val="00977AA0"/>
    <w:rsid w:val="00977B4B"/>
    <w:rsid w:val="00980099"/>
    <w:rsid w:val="00982960"/>
    <w:rsid w:val="009830A2"/>
    <w:rsid w:val="0098349B"/>
    <w:rsid w:val="009837A4"/>
    <w:rsid w:val="00983986"/>
    <w:rsid w:val="00983DE2"/>
    <w:rsid w:val="00984C14"/>
    <w:rsid w:val="00985141"/>
    <w:rsid w:val="0098573D"/>
    <w:rsid w:val="00985EAD"/>
    <w:rsid w:val="00986348"/>
    <w:rsid w:val="0098660E"/>
    <w:rsid w:val="009868DC"/>
    <w:rsid w:val="009872F3"/>
    <w:rsid w:val="00987AD0"/>
    <w:rsid w:val="00987FFB"/>
    <w:rsid w:val="009900A2"/>
    <w:rsid w:val="009908F4"/>
    <w:rsid w:val="00990BE2"/>
    <w:rsid w:val="00990EBD"/>
    <w:rsid w:val="00991295"/>
    <w:rsid w:val="009920D7"/>
    <w:rsid w:val="0099248B"/>
    <w:rsid w:val="00992945"/>
    <w:rsid w:val="00992AA0"/>
    <w:rsid w:val="00992BDF"/>
    <w:rsid w:val="00994365"/>
    <w:rsid w:val="00994F36"/>
    <w:rsid w:val="00995A23"/>
    <w:rsid w:val="00995F2F"/>
    <w:rsid w:val="0099719A"/>
    <w:rsid w:val="00997B60"/>
    <w:rsid w:val="009A10FE"/>
    <w:rsid w:val="009A200E"/>
    <w:rsid w:val="009A2152"/>
    <w:rsid w:val="009A2441"/>
    <w:rsid w:val="009A2974"/>
    <w:rsid w:val="009A2E76"/>
    <w:rsid w:val="009A2EEC"/>
    <w:rsid w:val="009A3902"/>
    <w:rsid w:val="009A4910"/>
    <w:rsid w:val="009A4A1D"/>
    <w:rsid w:val="009A4C70"/>
    <w:rsid w:val="009A56ED"/>
    <w:rsid w:val="009A6145"/>
    <w:rsid w:val="009A628B"/>
    <w:rsid w:val="009A657A"/>
    <w:rsid w:val="009A6694"/>
    <w:rsid w:val="009A69F3"/>
    <w:rsid w:val="009A7209"/>
    <w:rsid w:val="009A75FF"/>
    <w:rsid w:val="009A76C5"/>
    <w:rsid w:val="009B0CA1"/>
    <w:rsid w:val="009B13FD"/>
    <w:rsid w:val="009B15E6"/>
    <w:rsid w:val="009B254E"/>
    <w:rsid w:val="009B27A8"/>
    <w:rsid w:val="009B323B"/>
    <w:rsid w:val="009B4548"/>
    <w:rsid w:val="009B47AD"/>
    <w:rsid w:val="009B4E13"/>
    <w:rsid w:val="009B4EA1"/>
    <w:rsid w:val="009B502D"/>
    <w:rsid w:val="009B50CB"/>
    <w:rsid w:val="009B5110"/>
    <w:rsid w:val="009B51F6"/>
    <w:rsid w:val="009B535E"/>
    <w:rsid w:val="009B5374"/>
    <w:rsid w:val="009B557D"/>
    <w:rsid w:val="009B58A3"/>
    <w:rsid w:val="009B5E71"/>
    <w:rsid w:val="009B62D6"/>
    <w:rsid w:val="009B6643"/>
    <w:rsid w:val="009B70CB"/>
    <w:rsid w:val="009B73B9"/>
    <w:rsid w:val="009B73E1"/>
    <w:rsid w:val="009B75BC"/>
    <w:rsid w:val="009C0B28"/>
    <w:rsid w:val="009C110B"/>
    <w:rsid w:val="009C128E"/>
    <w:rsid w:val="009C144C"/>
    <w:rsid w:val="009C18A5"/>
    <w:rsid w:val="009C18EA"/>
    <w:rsid w:val="009C39B1"/>
    <w:rsid w:val="009C40F0"/>
    <w:rsid w:val="009C4111"/>
    <w:rsid w:val="009C4B6C"/>
    <w:rsid w:val="009C57A6"/>
    <w:rsid w:val="009C605E"/>
    <w:rsid w:val="009C693E"/>
    <w:rsid w:val="009C703D"/>
    <w:rsid w:val="009C7A5A"/>
    <w:rsid w:val="009C7B12"/>
    <w:rsid w:val="009C7E86"/>
    <w:rsid w:val="009D08B7"/>
    <w:rsid w:val="009D096C"/>
    <w:rsid w:val="009D101B"/>
    <w:rsid w:val="009D16D1"/>
    <w:rsid w:val="009D2720"/>
    <w:rsid w:val="009D2908"/>
    <w:rsid w:val="009D2EFD"/>
    <w:rsid w:val="009D37D9"/>
    <w:rsid w:val="009D3828"/>
    <w:rsid w:val="009D393F"/>
    <w:rsid w:val="009D3F1E"/>
    <w:rsid w:val="009D482D"/>
    <w:rsid w:val="009D5796"/>
    <w:rsid w:val="009D5A78"/>
    <w:rsid w:val="009D68C1"/>
    <w:rsid w:val="009D6CF5"/>
    <w:rsid w:val="009D71E9"/>
    <w:rsid w:val="009D76D2"/>
    <w:rsid w:val="009E0584"/>
    <w:rsid w:val="009E0A93"/>
    <w:rsid w:val="009E0E56"/>
    <w:rsid w:val="009E0E6F"/>
    <w:rsid w:val="009E142F"/>
    <w:rsid w:val="009E1543"/>
    <w:rsid w:val="009E3025"/>
    <w:rsid w:val="009E338B"/>
    <w:rsid w:val="009E35FA"/>
    <w:rsid w:val="009E36BE"/>
    <w:rsid w:val="009E400D"/>
    <w:rsid w:val="009E4C5B"/>
    <w:rsid w:val="009E51C3"/>
    <w:rsid w:val="009E6187"/>
    <w:rsid w:val="009E6A73"/>
    <w:rsid w:val="009E71DD"/>
    <w:rsid w:val="009E74C1"/>
    <w:rsid w:val="009F06A7"/>
    <w:rsid w:val="009F0BBF"/>
    <w:rsid w:val="009F191B"/>
    <w:rsid w:val="009F20A7"/>
    <w:rsid w:val="009F257C"/>
    <w:rsid w:val="009F31FD"/>
    <w:rsid w:val="009F33F9"/>
    <w:rsid w:val="009F39B3"/>
    <w:rsid w:val="009F3B35"/>
    <w:rsid w:val="009F3DF9"/>
    <w:rsid w:val="009F4042"/>
    <w:rsid w:val="009F4386"/>
    <w:rsid w:val="009F45E9"/>
    <w:rsid w:val="009F48B7"/>
    <w:rsid w:val="009F497C"/>
    <w:rsid w:val="009F50DD"/>
    <w:rsid w:val="009F5992"/>
    <w:rsid w:val="009F62BC"/>
    <w:rsid w:val="009F637A"/>
    <w:rsid w:val="009F6699"/>
    <w:rsid w:val="009F6AE6"/>
    <w:rsid w:val="009F771F"/>
    <w:rsid w:val="00A001BA"/>
    <w:rsid w:val="00A01339"/>
    <w:rsid w:val="00A0172C"/>
    <w:rsid w:val="00A01B39"/>
    <w:rsid w:val="00A02003"/>
    <w:rsid w:val="00A02418"/>
    <w:rsid w:val="00A027BC"/>
    <w:rsid w:val="00A0298D"/>
    <w:rsid w:val="00A02A0F"/>
    <w:rsid w:val="00A02BAB"/>
    <w:rsid w:val="00A03019"/>
    <w:rsid w:val="00A03105"/>
    <w:rsid w:val="00A031E4"/>
    <w:rsid w:val="00A036A9"/>
    <w:rsid w:val="00A03DE0"/>
    <w:rsid w:val="00A041A8"/>
    <w:rsid w:val="00A047A7"/>
    <w:rsid w:val="00A047D6"/>
    <w:rsid w:val="00A057E0"/>
    <w:rsid w:val="00A058DE"/>
    <w:rsid w:val="00A05DB2"/>
    <w:rsid w:val="00A06257"/>
    <w:rsid w:val="00A0630F"/>
    <w:rsid w:val="00A077AC"/>
    <w:rsid w:val="00A10611"/>
    <w:rsid w:val="00A106D5"/>
    <w:rsid w:val="00A10A91"/>
    <w:rsid w:val="00A10C8A"/>
    <w:rsid w:val="00A1187B"/>
    <w:rsid w:val="00A11D63"/>
    <w:rsid w:val="00A12925"/>
    <w:rsid w:val="00A131FB"/>
    <w:rsid w:val="00A1351A"/>
    <w:rsid w:val="00A147F5"/>
    <w:rsid w:val="00A14BBF"/>
    <w:rsid w:val="00A15545"/>
    <w:rsid w:val="00A15714"/>
    <w:rsid w:val="00A16193"/>
    <w:rsid w:val="00A177FD"/>
    <w:rsid w:val="00A17A31"/>
    <w:rsid w:val="00A217F9"/>
    <w:rsid w:val="00A21F1E"/>
    <w:rsid w:val="00A22064"/>
    <w:rsid w:val="00A22273"/>
    <w:rsid w:val="00A22311"/>
    <w:rsid w:val="00A2277D"/>
    <w:rsid w:val="00A22C67"/>
    <w:rsid w:val="00A231AC"/>
    <w:rsid w:val="00A235F0"/>
    <w:rsid w:val="00A23CBC"/>
    <w:rsid w:val="00A244D4"/>
    <w:rsid w:val="00A24768"/>
    <w:rsid w:val="00A247B0"/>
    <w:rsid w:val="00A24915"/>
    <w:rsid w:val="00A2519C"/>
    <w:rsid w:val="00A25486"/>
    <w:rsid w:val="00A26118"/>
    <w:rsid w:val="00A2727C"/>
    <w:rsid w:val="00A27AE3"/>
    <w:rsid w:val="00A27CD4"/>
    <w:rsid w:val="00A30439"/>
    <w:rsid w:val="00A30CA2"/>
    <w:rsid w:val="00A31064"/>
    <w:rsid w:val="00A3153F"/>
    <w:rsid w:val="00A315D7"/>
    <w:rsid w:val="00A31ACA"/>
    <w:rsid w:val="00A31BA2"/>
    <w:rsid w:val="00A31C88"/>
    <w:rsid w:val="00A32120"/>
    <w:rsid w:val="00A33319"/>
    <w:rsid w:val="00A333A5"/>
    <w:rsid w:val="00A33AFC"/>
    <w:rsid w:val="00A35139"/>
    <w:rsid w:val="00A359A3"/>
    <w:rsid w:val="00A3606A"/>
    <w:rsid w:val="00A362F7"/>
    <w:rsid w:val="00A37286"/>
    <w:rsid w:val="00A375D5"/>
    <w:rsid w:val="00A378EB"/>
    <w:rsid w:val="00A40C3C"/>
    <w:rsid w:val="00A412ED"/>
    <w:rsid w:val="00A4187F"/>
    <w:rsid w:val="00A41D98"/>
    <w:rsid w:val="00A41F05"/>
    <w:rsid w:val="00A423F1"/>
    <w:rsid w:val="00A4274F"/>
    <w:rsid w:val="00A42F01"/>
    <w:rsid w:val="00A42F07"/>
    <w:rsid w:val="00A4354D"/>
    <w:rsid w:val="00A43687"/>
    <w:rsid w:val="00A438A3"/>
    <w:rsid w:val="00A43B60"/>
    <w:rsid w:val="00A442E9"/>
    <w:rsid w:val="00A4436F"/>
    <w:rsid w:val="00A44611"/>
    <w:rsid w:val="00A449AD"/>
    <w:rsid w:val="00A44BBB"/>
    <w:rsid w:val="00A45308"/>
    <w:rsid w:val="00A46247"/>
    <w:rsid w:val="00A466DE"/>
    <w:rsid w:val="00A467A4"/>
    <w:rsid w:val="00A46A80"/>
    <w:rsid w:val="00A46C46"/>
    <w:rsid w:val="00A47093"/>
    <w:rsid w:val="00A5021B"/>
    <w:rsid w:val="00A50C58"/>
    <w:rsid w:val="00A50E0F"/>
    <w:rsid w:val="00A51123"/>
    <w:rsid w:val="00A51344"/>
    <w:rsid w:val="00A513E0"/>
    <w:rsid w:val="00A520CE"/>
    <w:rsid w:val="00A52330"/>
    <w:rsid w:val="00A5282E"/>
    <w:rsid w:val="00A52AB1"/>
    <w:rsid w:val="00A52C08"/>
    <w:rsid w:val="00A532A5"/>
    <w:rsid w:val="00A53593"/>
    <w:rsid w:val="00A54738"/>
    <w:rsid w:val="00A548E7"/>
    <w:rsid w:val="00A54AE3"/>
    <w:rsid w:val="00A54D4D"/>
    <w:rsid w:val="00A5565F"/>
    <w:rsid w:val="00A558FD"/>
    <w:rsid w:val="00A55FD6"/>
    <w:rsid w:val="00A563E5"/>
    <w:rsid w:val="00A57077"/>
    <w:rsid w:val="00A57736"/>
    <w:rsid w:val="00A57856"/>
    <w:rsid w:val="00A60602"/>
    <w:rsid w:val="00A60686"/>
    <w:rsid w:val="00A60A38"/>
    <w:rsid w:val="00A61900"/>
    <w:rsid w:val="00A61C0D"/>
    <w:rsid w:val="00A61D3C"/>
    <w:rsid w:val="00A623B3"/>
    <w:rsid w:val="00A6247E"/>
    <w:rsid w:val="00A63118"/>
    <w:rsid w:val="00A63E52"/>
    <w:rsid w:val="00A643E3"/>
    <w:rsid w:val="00A64D65"/>
    <w:rsid w:val="00A653D2"/>
    <w:rsid w:val="00A65430"/>
    <w:rsid w:val="00A65467"/>
    <w:rsid w:val="00A659C5"/>
    <w:rsid w:val="00A65B7E"/>
    <w:rsid w:val="00A668D1"/>
    <w:rsid w:val="00A669AC"/>
    <w:rsid w:val="00A66B55"/>
    <w:rsid w:val="00A675F3"/>
    <w:rsid w:val="00A6783A"/>
    <w:rsid w:val="00A70573"/>
    <w:rsid w:val="00A71574"/>
    <w:rsid w:val="00A723CD"/>
    <w:rsid w:val="00A72F0A"/>
    <w:rsid w:val="00A73702"/>
    <w:rsid w:val="00A73EA1"/>
    <w:rsid w:val="00A74825"/>
    <w:rsid w:val="00A74F25"/>
    <w:rsid w:val="00A752FC"/>
    <w:rsid w:val="00A757F0"/>
    <w:rsid w:val="00A75A66"/>
    <w:rsid w:val="00A75D45"/>
    <w:rsid w:val="00A76921"/>
    <w:rsid w:val="00A769AD"/>
    <w:rsid w:val="00A76ABE"/>
    <w:rsid w:val="00A76F42"/>
    <w:rsid w:val="00A77819"/>
    <w:rsid w:val="00A77C7A"/>
    <w:rsid w:val="00A804D7"/>
    <w:rsid w:val="00A809B7"/>
    <w:rsid w:val="00A813E4"/>
    <w:rsid w:val="00A819EE"/>
    <w:rsid w:val="00A81F01"/>
    <w:rsid w:val="00A82125"/>
    <w:rsid w:val="00A8220E"/>
    <w:rsid w:val="00A82CB5"/>
    <w:rsid w:val="00A82F9D"/>
    <w:rsid w:val="00A83363"/>
    <w:rsid w:val="00A83499"/>
    <w:rsid w:val="00A837B7"/>
    <w:rsid w:val="00A84209"/>
    <w:rsid w:val="00A84AFB"/>
    <w:rsid w:val="00A850E5"/>
    <w:rsid w:val="00A85591"/>
    <w:rsid w:val="00A85CFA"/>
    <w:rsid w:val="00A8680A"/>
    <w:rsid w:val="00A86C97"/>
    <w:rsid w:val="00A86FAF"/>
    <w:rsid w:val="00A8755A"/>
    <w:rsid w:val="00A879AD"/>
    <w:rsid w:val="00A87C8D"/>
    <w:rsid w:val="00A9088A"/>
    <w:rsid w:val="00A90CEE"/>
    <w:rsid w:val="00A90E93"/>
    <w:rsid w:val="00A9244C"/>
    <w:rsid w:val="00A92477"/>
    <w:rsid w:val="00A93893"/>
    <w:rsid w:val="00A94217"/>
    <w:rsid w:val="00A94805"/>
    <w:rsid w:val="00A9579A"/>
    <w:rsid w:val="00A95C56"/>
    <w:rsid w:val="00A95D65"/>
    <w:rsid w:val="00A966EE"/>
    <w:rsid w:val="00A970C7"/>
    <w:rsid w:val="00A97C4F"/>
    <w:rsid w:val="00AA021A"/>
    <w:rsid w:val="00AA06DB"/>
    <w:rsid w:val="00AA082E"/>
    <w:rsid w:val="00AA11AD"/>
    <w:rsid w:val="00AA160F"/>
    <w:rsid w:val="00AA1F86"/>
    <w:rsid w:val="00AA208E"/>
    <w:rsid w:val="00AA2631"/>
    <w:rsid w:val="00AA3346"/>
    <w:rsid w:val="00AA47FC"/>
    <w:rsid w:val="00AA4865"/>
    <w:rsid w:val="00AA7C86"/>
    <w:rsid w:val="00AB0412"/>
    <w:rsid w:val="00AB0760"/>
    <w:rsid w:val="00AB198F"/>
    <w:rsid w:val="00AB19FF"/>
    <w:rsid w:val="00AB254A"/>
    <w:rsid w:val="00AB266A"/>
    <w:rsid w:val="00AB3023"/>
    <w:rsid w:val="00AB31A1"/>
    <w:rsid w:val="00AB31B2"/>
    <w:rsid w:val="00AB375C"/>
    <w:rsid w:val="00AB45C2"/>
    <w:rsid w:val="00AB4800"/>
    <w:rsid w:val="00AB492C"/>
    <w:rsid w:val="00AB4D47"/>
    <w:rsid w:val="00AB4E60"/>
    <w:rsid w:val="00AB5301"/>
    <w:rsid w:val="00AB5B63"/>
    <w:rsid w:val="00AB5BB0"/>
    <w:rsid w:val="00AB5CF0"/>
    <w:rsid w:val="00AB5D03"/>
    <w:rsid w:val="00AB6614"/>
    <w:rsid w:val="00AB67A6"/>
    <w:rsid w:val="00AB6F69"/>
    <w:rsid w:val="00AB7AC7"/>
    <w:rsid w:val="00AB7B5D"/>
    <w:rsid w:val="00AC0488"/>
    <w:rsid w:val="00AC2E52"/>
    <w:rsid w:val="00AC3126"/>
    <w:rsid w:val="00AC3AB9"/>
    <w:rsid w:val="00AC4661"/>
    <w:rsid w:val="00AC4C17"/>
    <w:rsid w:val="00AC4E7F"/>
    <w:rsid w:val="00AC5B13"/>
    <w:rsid w:val="00AC6A1E"/>
    <w:rsid w:val="00AC6F9B"/>
    <w:rsid w:val="00AC780B"/>
    <w:rsid w:val="00AD0511"/>
    <w:rsid w:val="00AD0ACA"/>
    <w:rsid w:val="00AD10C5"/>
    <w:rsid w:val="00AD197A"/>
    <w:rsid w:val="00AD223E"/>
    <w:rsid w:val="00AD2FC2"/>
    <w:rsid w:val="00AD37A8"/>
    <w:rsid w:val="00AD6100"/>
    <w:rsid w:val="00AD6662"/>
    <w:rsid w:val="00AD6720"/>
    <w:rsid w:val="00AD6C0C"/>
    <w:rsid w:val="00AD6DE1"/>
    <w:rsid w:val="00AD78F7"/>
    <w:rsid w:val="00AE0198"/>
    <w:rsid w:val="00AE06A4"/>
    <w:rsid w:val="00AE0DD9"/>
    <w:rsid w:val="00AE124A"/>
    <w:rsid w:val="00AE13CE"/>
    <w:rsid w:val="00AE15D8"/>
    <w:rsid w:val="00AE1AFF"/>
    <w:rsid w:val="00AE2C40"/>
    <w:rsid w:val="00AE3647"/>
    <w:rsid w:val="00AE3726"/>
    <w:rsid w:val="00AE378A"/>
    <w:rsid w:val="00AE488B"/>
    <w:rsid w:val="00AE5DB8"/>
    <w:rsid w:val="00AE63D0"/>
    <w:rsid w:val="00AE6D36"/>
    <w:rsid w:val="00AE700B"/>
    <w:rsid w:val="00AE747E"/>
    <w:rsid w:val="00AE7C07"/>
    <w:rsid w:val="00AE7C88"/>
    <w:rsid w:val="00AE7E8C"/>
    <w:rsid w:val="00AF0B1D"/>
    <w:rsid w:val="00AF0C54"/>
    <w:rsid w:val="00AF1302"/>
    <w:rsid w:val="00AF2C4B"/>
    <w:rsid w:val="00AF337A"/>
    <w:rsid w:val="00AF3E76"/>
    <w:rsid w:val="00AF49A9"/>
    <w:rsid w:val="00AF4E1E"/>
    <w:rsid w:val="00AF4E81"/>
    <w:rsid w:val="00AF74B9"/>
    <w:rsid w:val="00AF7BFA"/>
    <w:rsid w:val="00B00159"/>
    <w:rsid w:val="00B011D0"/>
    <w:rsid w:val="00B01357"/>
    <w:rsid w:val="00B013FB"/>
    <w:rsid w:val="00B01594"/>
    <w:rsid w:val="00B01D36"/>
    <w:rsid w:val="00B01D4D"/>
    <w:rsid w:val="00B030F7"/>
    <w:rsid w:val="00B04F41"/>
    <w:rsid w:val="00B050D6"/>
    <w:rsid w:val="00B05473"/>
    <w:rsid w:val="00B05745"/>
    <w:rsid w:val="00B05A2A"/>
    <w:rsid w:val="00B05FF1"/>
    <w:rsid w:val="00B065F7"/>
    <w:rsid w:val="00B07F79"/>
    <w:rsid w:val="00B10480"/>
    <w:rsid w:val="00B10738"/>
    <w:rsid w:val="00B1080B"/>
    <w:rsid w:val="00B10913"/>
    <w:rsid w:val="00B10C63"/>
    <w:rsid w:val="00B11244"/>
    <w:rsid w:val="00B12166"/>
    <w:rsid w:val="00B131F9"/>
    <w:rsid w:val="00B14E21"/>
    <w:rsid w:val="00B14FD7"/>
    <w:rsid w:val="00B16308"/>
    <w:rsid w:val="00B16A39"/>
    <w:rsid w:val="00B16EEA"/>
    <w:rsid w:val="00B176BE"/>
    <w:rsid w:val="00B17808"/>
    <w:rsid w:val="00B17B4C"/>
    <w:rsid w:val="00B207A8"/>
    <w:rsid w:val="00B20DB9"/>
    <w:rsid w:val="00B21D18"/>
    <w:rsid w:val="00B21D8A"/>
    <w:rsid w:val="00B221B7"/>
    <w:rsid w:val="00B22E52"/>
    <w:rsid w:val="00B2346D"/>
    <w:rsid w:val="00B2381C"/>
    <w:rsid w:val="00B24092"/>
    <w:rsid w:val="00B2412F"/>
    <w:rsid w:val="00B2414C"/>
    <w:rsid w:val="00B24433"/>
    <w:rsid w:val="00B24917"/>
    <w:rsid w:val="00B24AFB"/>
    <w:rsid w:val="00B24FB8"/>
    <w:rsid w:val="00B24FEB"/>
    <w:rsid w:val="00B254E2"/>
    <w:rsid w:val="00B257B6"/>
    <w:rsid w:val="00B25C8F"/>
    <w:rsid w:val="00B25F69"/>
    <w:rsid w:val="00B26136"/>
    <w:rsid w:val="00B27500"/>
    <w:rsid w:val="00B3056A"/>
    <w:rsid w:val="00B30C19"/>
    <w:rsid w:val="00B30C9A"/>
    <w:rsid w:val="00B30D42"/>
    <w:rsid w:val="00B30DCF"/>
    <w:rsid w:val="00B31115"/>
    <w:rsid w:val="00B312F5"/>
    <w:rsid w:val="00B31731"/>
    <w:rsid w:val="00B32BCA"/>
    <w:rsid w:val="00B33635"/>
    <w:rsid w:val="00B3405A"/>
    <w:rsid w:val="00B34266"/>
    <w:rsid w:val="00B347C8"/>
    <w:rsid w:val="00B34877"/>
    <w:rsid w:val="00B34BFD"/>
    <w:rsid w:val="00B3564E"/>
    <w:rsid w:val="00B367D5"/>
    <w:rsid w:val="00B36AB5"/>
    <w:rsid w:val="00B37019"/>
    <w:rsid w:val="00B37354"/>
    <w:rsid w:val="00B37728"/>
    <w:rsid w:val="00B37F74"/>
    <w:rsid w:val="00B40824"/>
    <w:rsid w:val="00B414BB"/>
    <w:rsid w:val="00B417D1"/>
    <w:rsid w:val="00B41C50"/>
    <w:rsid w:val="00B41ED1"/>
    <w:rsid w:val="00B43D07"/>
    <w:rsid w:val="00B440EE"/>
    <w:rsid w:val="00B450A2"/>
    <w:rsid w:val="00B455AF"/>
    <w:rsid w:val="00B4608D"/>
    <w:rsid w:val="00B4613B"/>
    <w:rsid w:val="00B46165"/>
    <w:rsid w:val="00B468C4"/>
    <w:rsid w:val="00B46DC0"/>
    <w:rsid w:val="00B47A33"/>
    <w:rsid w:val="00B47A9A"/>
    <w:rsid w:val="00B47DC9"/>
    <w:rsid w:val="00B47EF6"/>
    <w:rsid w:val="00B503F5"/>
    <w:rsid w:val="00B5044A"/>
    <w:rsid w:val="00B50D0C"/>
    <w:rsid w:val="00B51961"/>
    <w:rsid w:val="00B51A61"/>
    <w:rsid w:val="00B52676"/>
    <w:rsid w:val="00B529E0"/>
    <w:rsid w:val="00B54132"/>
    <w:rsid w:val="00B5426A"/>
    <w:rsid w:val="00B54D05"/>
    <w:rsid w:val="00B550D4"/>
    <w:rsid w:val="00B5592D"/>
    <w:rsid w:val="00B55EC0"/>
    <w:rsid w:val="00B56434"/>
    <w:rsid w:val="00B571CC"/>
    <w:rsid w:val="00B57867"/>
    <w:rsid w:val="00B60C35"/>
    <w:rsid w:val="00B60E05"/>
    <w:rsid w:val="00B632BC"/>
    <w:rsid w:val="00B6338D"/>
    <w:rsid w:val="00B6352B"/>
    <w:rsid w:val="00B638EB"/>
    <w:rsid w:val="00B63A4F"/>
    <w:rsid w:val="00B63AD4"/>
    <w:rsid w:val="00B63B12"/>
    <w:rsid w:val="00B63B8F"/>
    <w:rsid w:val="00B645D1"/>
    <w:rsid w:val="00B647FA"/>
    <w:rsid w:val="00B64990"/>
    <w:rsid w:val="00B64D0A"/>
    <w:rsid w:val="00B64DA8"/>
    <w:rsid w:val="00B65C19"/>
    <w:rsid w:val="00B65CE4"/>
    <w:rsid w:val="00B65EAE"/>
    <w:rsid w:val="00B668CD"/>
    <w:rsid w:val="00B66D08"/>
    <w:rsid w:val="00B6710A"/>
    <w:rsid w:val="00B67560"/>
    <w:rsid w:val="00B705F7"/>
    <w:rsid w:val="00B70731"/>
    <w:rsid w:val="00B71629"/>
    <w:rsid w:val="00B716C9"/>
    <w:rsid w:val="00B72497"/>
    <w:rsid w:val="00B7257E"/>
    <w:rsid w:val="00B728FE"/>
    <w:rsid w:val="00B730F0"/>
    <w:rsid w:val="00B7369C"/>
    <w:rsid w:val="00B7396B"/>
    <w:rsid w:val="00B74B18"/>
    <w:rsid w:val="00B75CCD"/>
    <w:rsid w:val="00B75D3F"/>
    <w:rsid w:val="00B7609D"/>
    <w:rsid w:val="00B764E0"/>
    <w:rsid w:val="00B77170"/>
    <w:rsid w:val="00B77BBA"/>
    <w:rsid w:val="00B77EE0"/>
    <w:rsid w:val="00B80119"/>
    <w:rsid w:val="00B81229"/>
    <w:rsid w:val="00B81A66"/>
    <w:rsid w:val="00B81CC0"/>
    <w:rsid w:val="00B8272E"/>
    <w:rsid w:val="00B82822"/>
    <w:rsid w:val="00B82ADA"/>
    <w:rsid w:val="00B82B7A"/>
    <w:rsid w:val="00B82CD3"/>
    <w:rsid w:val="00B82E76"/>
    <w:rsid w:val="00B837FB"/>
    <w:rsid w:val="00B83AB2"/>
    <w:rsid w:val="00B84244"/>
    <w:rsid w:val="00B8447F"/>
    <w:rsid w:val="00B8659E"/>
    <w:rsid w:val="00B8683D"/>
    <w:rsid w:val="00B8695F"/>
    <w:rsid w:val="00B86E49"/>
    <w:rsid w:val="00B878C4"/>
    <w:rsid w:val="00B87D1A"/>
    <w:rsid w:val="00B9003A"/>
    <w:rsid w:val="00B900E5"/>
    <w:rsid w:val="00B9014C"/>
    <w:rsid w:val="00B907AE"/>
    <w:rsid w:val="00B90D33"/>
    <w:rsid w:val="00B92085"/>
    <w:rsid w:val="00B932FD"/>
    <w:rsid w:val="00B933B2"/>
    <w:rsid w:val="00B93583"/>
    <w:rsid w:val="00B936AA"/>
    <w:rsid w:val="00B945E9"/>
    <w:rsid w:val="00B949AE"/>
    <w:rsid w:val="00B94D3B"/>
    <w:rsid w:val="00B9558F"/>
    <w:rsid w:val="00B955C3"/>
    <w:rsid w:val="00B958E7"/>
    <w:rsid w:val="00B96021"/>
    <w:rsid w:val="00B9634F"/>
    <w:rsid w:val="00B9718D"/>
    <w:rsid w:val="00BA0439"/>
    <w:rsid w:val="00BA1B25"/>
    <w:rsid w:val="00BA1B91"/>
    <w:rsid w:val="00BA2405"/>
    <w:rsid w:val="00BA293D"/>
    <w:rsid w:val="00BA3353"/>
    <w:rsid w:val="00BA3A5B"/>
    <w:rsid w:val="00BA412A"/>
    <w:rsid w:val="00BA4637"/>
    <w:rsid w:val="00BA48FB"/>
    <w:rsid w:val="00BA5564"/>
    <w:rsid w:val="00BA5661"/>
    <w:rsid w:val="00BA6245"/>
    <w:rsid w:val="00BA722F"/>
    <w:rsid w:val="00BB089F"/>
    <w:rsid w:val="00BB1063"/>
    <w:rsid w:val="00BB125A"/>
    <w:rsid w:val="00BB1377"/>
    <w:rsid w:val="00BB156D"/>
    <w:rsid w:val="00BB1660"/>
    <w:rsid w:val="00BB1B6F"/>
    <w:rsid w:val="00BB1FFB"/>
    <w:rsid w:val="00BB2091"/>
    <w:rsid w:val="00BB23BB"/>
    <w:rsid w:val="00BB2567"/>
    <w:rsid w:val="00BB267D"/>
    <w:rsid w:val="00BB26DE"/>
    <w:rsid w:val="00BB2A4F"/>
    <w:rsid w:val="00BB305B"/>
    <w:rsid w:val="00BB31D7"/>
    <w:rsid w:val="00BB3663"/>
    <w:rsid w:val="00BB40DD"/>
    <w:rsid w:val="00BB4473"/>
    <w:rsid w:val="00BB44BC"/>
    <w:rsid w:val="00BB4EE1"/>
    <w:rsid w:val="00BB5400"/>
    <w:rsid w:val="00BB6998"/>
    <w:rsid w:val="00BB717B"/>
    <w:rsid w:val="00BC1D96"/>
    <w:rsid w:val="00BC2FB5"/>
    <w:rsid w:val="00BC300D"/>
    <w:rsid w:val="00BC322E"/>
    <w:rsid w:val="00BC397C"/>
    <w:rsid w:val="00BC3A5E"/>
    <w:rsid w:val="00BC3B06"/>
    <w:rsid w:val="00BC3D46"/>
    <w:rsid w:val="00BC3E86"/>
    <w:rsid w:val="00BC4635"/>
    <w:rsid w:val="00BC4C94"/>
    <w:rsid w:val="00BC527D"/>
    <w:rsid w:val="00BC5586"/>
    <w:rsid w:val="00BC5FDC"/>
    <w:rsid w:val="00BC67B0"/>
    <w:rsid w:val="00BC6D6D"/>
    <w:rsid w:val="00BC6FAE"/>
    <w:rsid w:val="00BC72B3"/>
    <w:rsid w:val="00BC74A1"/>
    <w:rsid w:val="00BC7B8C"/>
    <w:rsid w:val="00BC7E55"/>
    <w:rsid w:val="00BC7FD5"/>
    <w:rsid w:val="00BD07B5"/>
    <w:rsid w:val="00BD1068"/>
    <w:rsid w:val="00BD10AA"/>
    <w:rsid w:val="00BD1119"/>
    <w:rsid w:val="00BD18B3"/>
    <w:rsid w:val="00BD1901"/>
    <w:rsid w:val="00BD1946"/>
    <w:rsid w:val="00BD1949"/>
    <w:rsid w:val="00BD20FB"/>
    <w:rsid w:val="00BD2714"/>
    <w:rsid w:val="00BD30AD"/>
    <w:rsid w:val="00BD3BA9"/>
    <w:rsid w:val="00BD4000"/>
    <w:rsid w:val="00BD4115"/>
    <w:rsid w:val="00BD4D0F"/>
    <w:rsid w:val="00BD4FEF"/>
    <w:rsid w:val="00BD5193"/>
    <w:rsid w:val="00BD541E"/>
    <w:rsid w:val="00BD586E"/>
    <w:rsid w:val="00BD58A0"/>
    <w:rsid w:val="00BD5E66"/>
    <w:rsid w:val="00BD6E02"/>
    <w:rsid w:val="00BD6E92"/>
    <w:rsid w:val="00BD785C"/>
    <w:rsid w:val="00BD79D5"/>
    <w:rsid w:val="00BE0161"/>
    <w:rsid w:val="00BE0286"/>
    <w:rsid w:val="00BE0429"/>
    <w:rsid w:val="00BE0596"/>
    <w:rsid w:val="00BE070E"/>
    <w:rsid w:val="00BE0854"/>
    <w:rsid w:val="00BE0A7B"/>
    <w:rsid w:val="00BE0B42"/>
    <w:rsid w:val="00BE0FF4"/>
    <w:rsid w:val="00BE150A"/>
    <w:rsid w:val="00BE150B"/>
    <w:rsid w:val="00BE151B"/>
    <w:rsid w:val="00BE200D"/>
    <w:rsid w:val="00BE2203"/>
    <w:rsid w:val="00BE2371"/>
    <w:rsid w:val="00BE239E"/>
    <w:rsid w:val="00BE261A"/>
    <w:rsid w:val="00BE2A03"/>
    <w:rsid w:val="00BE2AF1"/>
    <w:rsid w:val="00BE2B07"/>
    <w:rsid w:val="00BE2C31"/>
    <w:rsid w:val="00BE2C4D"/>
    <w:rsid w:val="00BE400D"/>
    <w:rsid w:val="00BE40EC"/>
    <w:rsid w:val="00BE4528"/>
    <w:rsid w:val="00BE4ABB"/>
    <w:rsid w:val="00BE4F53"/>
    <w:rsid w:val="00BE539C"/>
    <w:rsid w:val="00BE5E78"/>
    <w:rsid w:val="00BE645E"/>
    <w:rsid w:val="00BE6855"/>
    <w:rsid w:val="00BE68FE"/>
    <w:rsid w:val="00BE6B72"/>
    <w:rsid w:val="00BE7341"/>
    <w:rsid w:val="00BE737A"/>
    <w:rsid w:val="00BE741C"/>
    <w:rsid w:val="00BE7D51"/>
    <w:rsid w:val="00BE7DB7"/>
    <w:rsid w:val="00BE7E5C"/>
    <w:rsid w:val="00BF074B"/>
    <w:rsid w:val="00BF09C3"/>
    <w:rsid w:val="00BF0AD1"/>
    <w:rsid w:val="00BF0C77"/>
    <w:rsid w:val="00BF1A74"/>
    <w:rsid w:val="00BF2462"/>
    <w:rsid w:val="00BF2703"/>
    <w:rsid w:val="00BF2A35"/>
    <w:rsid w:val="00BF2C0B"/>
    <w:rsid w:val="00BF2F7C"/>
    <w:rsid w:val="00BF3F36"/>
    <w:rsid w:val="00BF422D"/>
    <w:rsid w:val="00BF4262"/>
    <w:rsid w:val="00BF4BF5"/>
    <w:rsid w:val="00BF4DBC"/>
    <w:rsid w:val="00BF4E08"/>
    <w:rsid w:val="00BF5516"/>
    <w:rsid w:val="00BF5DE2"/>
    <w:rsid w:val="00BF68C7"/>
    <w:rsid w:val="00BF6E5A"/>
    <w:rsid w:val="00BF7784"/>
    <w:rsid w:val="00BF7B1C"/>
    <w:rsid w:val="00BF7F6D"/>
    <w:rsid w:val="00C00D51"/>
    <w:rsid w:val="00C01F27"/>
    <w:rsid w:val="00C02EC3"/>
    <w:rsid w:val="00C03FFF"/>
    <w:rsid w:val="00C044FE"/>
    <w:rsid w:val="00C049E3"/>
    <w:rsid w:val="00C04B54"/>
    <w:rsid w:val="00C04EFB"/>
    <w:rsid w:val="00C05113"/>
    <w:rsid w:val="00C05552"/>
    <w:rsid w:val="00C0672B"/>
    <w:rsid w:val="00C06A77"/>
    <w:rsid w:val="00C074E8"/>
    <w:rsid w:val="00C075BC"/>
    <w:rsid w:val="00C07DB5"/>
    <w:rsid w:val="00C10B2B"/>
    <w:rsid w:val="00C110D9"/>
    <w:rsid w:val="00C11571"/>
    <w:rsid w:val="00C11D55"/>
    <w:rsid w:val="00C12000"/>
    <w:rsid w:val="00C122E9"/>
    <w:rsid w:val="00C12819"/>
    <w:rsid w:val="00C1325F"/>
    <w:rsid w:val="00C13A39"/>
    <w:rsid w:val="00C158F7"/>
    <w:rsid w:val="00C15B5E"/>
    <w:rsid w:val="00C16205"/>
    <w:rsid w:val="00C163F5"/>
    <w:rsid w:val="00C164D4"/>
    <w:rsid w:val="00C16E0B"/>
    <w:rsid w:val="00C175A8"/>
    <w:rsid w:val="00C175E8"/>
    <w:rsid w:val="00C20D77"/>
    <w:rsid w:val="00C21763"/>
    <w:rsid w:val="00C2191E"/>
    <w:rsid w:val="00C22E76"/>
    <w:rsid w:val="00C2401A"/>
    <w:rsid w:val="00C24633"/>
    <w:rsid w:val="00C24E3F"/>
    <w:rsid w:val="00C2628A"/>
    <w:rsid w:val="00C2640E"/>
    <w:rsid w:val="00C26C81"/>
    <w:rsid w:val="00C27BA3"/>
    <w:rsid w:val="00C27E12"/>
    <w:rsid w:val="00C3029B"/>
    <w:rsid w:val="00C30798"/>
    <w:rsid w:val="00C30954"/>
    <w:rsid w:val="00C31526"/>
    <w:rsid w:val="00C317B4"/>
    <w:rsid w:val="00C3246D"/>
    <w:rsid w:val="00C32471"/>
    <w:rsid w:val="00C328A9"/>
    <w:rsid w:val="00C32ABF"/>
    <w:rsid w:val="00C32D37"/>
    <w:rsid w:val="00C32E99"/>
    <w:rsid w:val="00C3373D"/>
    <w:rsid w:val="00C339A5"/>
    <w:rsid w:val="00C339B1"/>
    <w:rsid w:val="00C33E0A"/>
    <w:rsid w:val="00C349AA"/>
    <w:rsid w:val="00C349AD"/>
    <w:rsid w:val="00C351E9"/>
    <w:rsid w:val="00C355D6"/>
    <w:rsid w:val="00C356D1"/>
    <w:rsid w:val="00C3581E"/>
    <w:rsid w:val="00C35979"/>
    <w:rsid w:val="00C35C46"/>
    <w:rsid w:val="00C3605E"/>
    <w:rsid w:val="00C3632B"/>
    <w:rsid w:val="00C36440"/>
    <w:rsid w:val="00C366C1"/>
    <w:rsid w:val="00C36958"/>
    <w:rsid w:val="00C36BD8"/>
    <w:rsid w:val="00C36F7A"/>
    <w:rsid w:val="00C41053"/>
    <w:rsid w:val="00C41253"/>
    <w:rsid w:val="00C416E1"/>
    <w:rsid w:val="00C41903"/>
    <w:rsid w:val="00C42C16"/>
    <w:rsid w:val="00C42CF3"/>
    <w:rsid w:val="00C432A6"/>
    <w:rsid w:val="00C44094"/>
    <w:rsid w:val="00C441B0"/>
    <w:rsid w:val="00C4591A"/>
    <w:rsid w:val="00C46E32"/>
    <w:rsid w:val="00C47805"/>
    <w:rsid w:val="00C47E4A"/>
    <w:rsid w:val="00C51288"/>
    <w:rsid w:val="00C5170F"/>
    <w:rsid w:val="00C51850"/>
    <w:rsid w:val="00C51FFB"/>
    <w:rsid w:val="00C521F1"/>
    <w:rsid w:val="00C52B2B"/>
    <w:rsid w:val="00C533E7"/>
    <w:rsid w:val="00C53505"/>
    <w:rsid w:val="00C541AD"/>
    <w:rsid w:val="00C541ED"/>
    <w:rsid w:val="00C55B52"/>
    <w:rsid w:val="00C56622"/>
    <w:rsid w:val="00C5707A"/>
    <w:rsid w:val="00C576EC"/>
    <w:rsid w:val="00C57C37"/>
    <w:rsid w:val="00C57E13"/>
    <w:rsid w:val="00C60B02"/>
    <w:rsid w:val="00C60C2C"/>
    <w:rsid w:val="00C617C3"/>
    <w:rsid w:val="00C61C6B"/>
    <w:rsid w:val="00C62B16"/>
    <w:rsid w:val="00C62B96"/>
    <w:rsid w:val="00C62D4B"/>
    <w:rsid w:val="00C63223"/>
    <w:rsid w:val="00C63482"/>
    <w:rsid w:val="00C63854"/>
    <w:rsid w:val="00C63F6D"/>
    <w:rsid w:val="00C64F63"/>
    <w:rsid w:val="00C650C2"/>
    <w:rsid w:val="00C651A9"/>
    <w:rsid w:val="00C652A3"/>
    <w:rsid w:val="00C6538C"/>
    <w:rsid w:val="00C659DD"/>
    <w:rsid w:val="00C65E8A"/>
    <w:rsid w:val="00C65F71"/>
    <w:rsid w:val="00C66C1D"/>
    <w:rsid w:val="00C66CC7"/>
    <w:rsid w:val="00C671C1"/>
    <w:rsid w:val="00C67249"/>
    <w:rsid w:val="00C70641"/>
    <w:rsid w:val="00C707B6"/>
    <w:rsid w:val="00C711EA"/>
    <w:rsid w:val="00C71B93"/>
    <w:rsid w:val="00C71C1A"/>
    <w:rsid w:val="00C72FAB"/>
    <w:rsid w:val="00C746BE"/>
    <w:rsid w:val="00C74BD8"/>
    <w:rsid w:val="00C75826"/>
    <w:rsid w:val="00C75A07"/>
    <w:rsid w:val="00C75DF2"/>
    <w:rsid w:val="00C760FA"/>
    <w:rsid w:val="00C76980"/>
    <w:rsid w:val="00C76C57"/>
    <w:rsid w:val="00C778B0"/>
    <w:rsid w:val="00C77C3A"/>
    <w:rsid w:val="00C77ED5"/>
    <w:rsid w:val="00C80844"/>
    <w:rsid w:val="00C80F4C"/>
    <w:rsid w:val="00C81294"/>
    <w:rsid w:val="00C81AAA"/>
    <w:rsid w:val="00C82078"/>
    <w:rsid w:val="00C82E10"/>
    <w:rsid w:val="00C82F4A"/>
    <w:rsid w:val="00C8319D"/>
    <w:rsid w:val="00C8322D"/>
    <w:rsid w:val="00C83368"/>
    <w:rsid w:val="00C84631"/>
    <w:rsid w:val="00C84636"/>
    <w:rsid w:val="00C84CA5"/>
    <w:rsid w:val="00C84CDF"/>
    <w:rsid w:val="00C84F43"/>
    <w:rsid w:val="00C852A9"/>
    <w:rsid w:val="00C85803"/>
    <w:rsid w:val="00C866D9"/>
    <w:rsid w:val="00C8719B"/>
    <w:rsid w:val="00C87567"/>
    <w:rsid w:val="00C87D56"/>
    <w:rsid w:val="00C90580"/>
    <w:rsid w:val="00C9117C"/>
    <w:rsid w:val="00C9272E"/>
    <w:rsid w:val="00C928BB"/>
    <w:rsid w:val="00C93216"/>
    <w:rsid w:val="00C93414"/>
    <w:rsid w:val="00C936E6"/>
    <w:rsid w:val="00C9411D"/>
    <w:rsid w:val="00C9448A"/>
    <w:rsid w:val="00C94F17"/>
    <w:rsid w:val="00C952EA"/>
    <w:rsid w:val="00C95732"/>
    <w:rsid w:val="00C95B82"/>
    <w:rsid w:val="00C965DE"/>
    <w:rsid w:val="00C97005"/>
    <w:rsid w:val="00C9721E"/>
    <w:rsid w:val="00C97325"/>
    <w:rsid w:val="00C97777"/>
    <w:rsid w:val="00C97D32"/>
    <w:rsid w:val="00C97E58"/>
    <w:rsid w:val="00CA07F0"/>
    <w:rsid w:val="00CA0E0C"/>
    <w:rsid w:val="00CA2045"/>
    <w:rsid w:val="00CA24B2"/>
    <w:rsid w:val="00CA2512"/>
    <w:rsid w:val="00CA26FE"/>
    <w:rsid w:val="00CA2706"/>
    <w:rsid w:val="00CA287C"/>
    <w:rsid w:val="00CA2AF1"/>
    <w:rsid w:val="00CA2C7E"/>
    <w:rsid w:val="00CA38DE"/>
    <w:rsid w:val="00CA4003"/>
    <w:rsid w:val="00CA4550"/>
    <w:rsid w:val="00CA480E"/>
    <w:rsid w:val="00CA4A8A"/>
    <w:rsid w:val="00CA69F9"/>
    <w:rsid w:val="00CA75B1"/>
    <w:rsid w:val="00CA767C"/>
    <w:rsid w:val="00CA769F"/>
    <w:rsid w:val="00CA7A02"/>
    <w:rsid w:val="00CA7BCE"/>
    <w:rsid w:val="00CA7E2F"/>
    <w:rsid w:val="00CB00EF"/>
    <w:rsid w:val="00CB0337"/>
    <w:rsid w:val="00CB06E5"/>
    <w:rsid w:val="00CB0910"/>
    <w:rsid w:val="00CB0E2F"/>
    <w:rsid w:val="00CB1016"/>
    <w:rsid w:val="00CB2130"/>
    <w:rsid w:val="00CB3016"/>
    <w:rsid w:val="00CB3136"/>
    <w:rsid w:val="00CB4B2E"/>
    <w:rsid w:val="00CB4CAA"/>
    <w:rsid w:val="00CB59F6"/>
    <w:rsid w:val="00CB6982"/>
    <w:rsid w:val="00CB6CD8"/>
    <w:rsid w:val="00CB6DA5"/>
    <w:rsid w:val="00CB6DD0"/>
    <w:rsid w:val="00CB726E"/>
    <w:rsid w:val="00CB7426"/>
    <w:rsid w:val="00CB7ED1"/>
    <w:rsid w:val="00CC0260"/>
    <w:rsid w:val="00CC0394"/>
    <w:rsid w:val="00CC0480"/>
    <w:rsid w:val="00CC0AA2"/>
    <w:rsid w:val="00CC12A4"/>
    <w:rsid w:val="00CC147B"/>
    <w:rsid w:val="00CC151E"/>
    <w:rsid w:val="00CC1A1E"/>
    <w:rsid w:val="00CC1E82"/>
    <w:rsid w:val="00CC1EAD"/>
    <w:rsid w:val="00CC21D0"/>
    <w:rsid w:val="00CC24E2"/>
    <w:rsid w:val="00CC29D7"/>
    <w:rsid w:val="00CC29E9"/>
    <w:rsid w:val="00CC2A00"/>
    <w:rsid w:val="00CC3056"/>
    <w:rsid w:val="00CC344D"/>
    <w:rsid w:val="00CC34FF"/>
    <w:rsid w:val="00CC37E4"/>
    <w:rsid w:val="00CC398A"/>
    <w:rsid w:val="00CC39A3"/>
    <w:rsid w:val="00CC3B2A"/>
    <w:rsid w:val="00CC3D53"/>
    <w:rsid w:val="00CC3DA0"/>
    <w:rsid w:val="00CC49DB"/>
    <w:rsid w:val="00CC4AB3"/>
    <w:rsid w:val="00CC4CF7"/>
    <w:rsid w:val="00CC4FAD"/>
    <w:rsid w:val="00CC5227"/>
    <w:rsid w:val="00CC54DF"/>
    <w:rsid w:val="00CC5DE8"/>
    <w:rsid w:val="00CC6850"/>
    <w:rsid w:val="00CC6C16"/>
    <w:rsid w:val="00CC6ECC"/>
    <w:rsid w:val="00CC76A3"/>
    <w:rsid w:val="00CC770B"/>
    <w:rsid w:val="00CC7A3E"/>
    <w:rsid w:val="00CD04D3"/>
    <w:rsid w:val="00CD08B1"/>
    <w:rsid w:val="00CD0F59"/>
    <w:rsid w:val="00CD1189"/>
    <w:rsid w:val="00CD2C82"/>
    <w:rsid w:val="00CD3F9A"/>
    <w:rsid w:val="00CD54B8"/>
    <w:rsid w:val="00CD6061"/>
    <w:rsid w:val="00CD6A46"/>
    <w:rsid w:val="00CD7BAA"/>
    <w:rsid w:val="00CE0A81"/>
    <w:rsid w:val="00CE0EE1"/>
    <w:rsid w:val="00CE1067"/>
    <w:rsid w:val="00CE15AA"/>
    <w:rsid w:val="00CE1618"/>
    <w:rsid w:val="00CE2276"/>
    <w:rsid w:val="00CE227A"/>
    <w:rsid w:val="00CE2C4B"/>
    <w:rsid w:val="00CE3351"/>
    <w:rsid w:val="00CE3855"/>
    <w:rsid w:val="00CE3F26"/>
    <w:rsid w:val="00CE46B7"/>
    <w:rsid w:val="00CE4C06"/>
    <w:rsid w:val="00CE504D"/>
    <w:rsid w:val="00CE6224"/>
    <w:rsid w:val="00CE67F9"/>
    <w:rsid w:val="00CF06BF"/>
    <w:rsid w:val="00CF077D"/>
    <w:rsid w:val="00CF07E7"/>
    <w:rsid w:val="00CF18FD"/>
    <w:rsid w:val="00CF19D9"/>
    <w:rsid w:val="00CF2644"/>
    <w:rsid w:val="00CF27BB"/>
    <w:rsid w:val="00CF3370"/>
    <w:rsid w:val="00CF4187"/>
    <w:rsid w:val="00CF41C1"/>
    <w:rsid w:val="00CF4842"/>
    <w:rsid w:val="00CF4C86"/>
    <w:rsid w:val="00CF4D94"/>
    <w:rsid w:val="00CF4DD1"/>
    <w:rsid w:val="00CF4F5B"/>
    <w:rsid w:val="00CF61D5"/>
    <w:rsid w:val="00CF667A"/>
    <w:rsid w:val="00CF68B5"/>
    <w:rsid w:val="00CF7617"/>
    <w:rsid w:val="00CF7907"/>
    <w:rsid w:val="00CF7AB3"/>
    <w:rsid w:val="00CF7FE7"/>
    <w:rsid w:val="00D00229"/>
    <w:rsid w:val="00D008BD"/>
    <w:rsid w:val="00D030C6"/>
    <w:rsid w:val="00D036D3"/>
    <w:rsid w:val="00D03CE0"/>
    <w:rsid w:val="00D04D62"/>
    <w:rsid w:val="00D04F52"/>
    <w:rsid w:val="00D0609F"/>
    <w:rsid w:val="00D06474"/>
    <w:rsid w:val="00D074EA"/>
    <w:rsid w:val="00D079D4"/>
    <w:rsid w:val="00D10A1F"/>
    <w:rsid w:val="00D10FD1"/>
    <w:rsid w:val="00D113C3"/>
    <w:rsid w:val="00D120E1"/>
    <w:rsid w:val="00D12170"/>
    <w:rsid w:val="00D12203"/>
    <w:rsid w:val="00D127C0"/>
    <w:rsid w:val="00D13410"/>
    <w:rsid w:val="00D1398B"/>
    <w:rsid w:val="00D13FCF"/>
    <w:rsid w:val="00D14670"/>
    <w:rsid w:val="00D14883"/>
    <w:rsid w:val="00D14CB6"/>
    <w:rsid w:val="00D14DAB"/>
    <w:rsid w:val="00D14F2F"/>
    <w:rsid w:val="00D153F0"/>
    <w:rsid w:val="00D15686"/>
    <w:rsid w:val="00D15B2D"/>
    <w:rsid w:val="00D1627E"/>
    <w:rsid w:val="00D16896"/>
    <w:rsid w:val="00D21395"/>
    <w:rsid w:val="00D223A0"/>
    <w:rsid w:val="00D223F6"/>
    <w:rsid w:val="00D2402F"/>
    <w:rsid w:val="00D2415D"/>
    <w:rsid w:val="00D24525"/>
    <w:rsid w:val="00D24A17"/>
    <w:rsid w:val="00D24CA6"/>
    <w:rsid w:val="00D24CD0"/>
    <w:rsid w:val="00D2515F"/>
    <w:rsid w:val="00D259AF"/>
    <w:rsid w:val="00D265EA"/>
    <w:rsid w:val="00D26A80"/>
    <w:rsid w:val="00D27B15"/>
    <w:rsid w:val="00D30926"/>
    <w:rsid w:val="00D30C96"/>
    <w:rsid w:val="00D317AC"/>
    <w:rsid w:val="00D319DE"/>
    <w:rsid w:val="00D329E3"/>
    <w:rsid w:val="00D32FCE"/>
    <w:rsid w:val="00D331B3"/>
    <w:rsid w:val="00D3333C"/>
    <w:rsid w:val="00D335D4"/>
    <w:rsid w:val="00D33698"/>
    <w:rsid w:val="00D3446D"/>
    <w:rsid w:val="00D34499"/>
    <w:rsid w:val="00D34B4E"/>
    <w:rsid w:val="00D35313"/>
    <w:rsid w:val="00D35499"/>
    <w:rsid w:val="00D36149"/>
    <w:rsid w:val="00D36162"/>
    <w:rsid w:val="00D365C2"/>
    <w:rsid w:val="00D37CF2"/>
    <w:rsid w:val="00D40376"/>
    <w:rsid w:val="00D40674"/>
    <w:rsid w:val="00D40C10"/>
    <w:rsid w:val="00D41CA1"/>
    <w:rsid w:val="00D41F2D"/>
    <w:rsid w:val="00D422D4"/>
    <w:rsid w:val="00D42B4D"/>
    <w:rsid w:val="00D44195"/>
    <w:rsid w:val="00D4428E"/>
    <w:rsid w:val="00D442F1"/>
    <w:rsid w:val="00D44A3C"/>
    <w:rsid w:val="00D44E24"/>
    <w:rsid w:val="00D44EC2"/>
    <w:rsid w:val="00D45163"/>
    <w:rsid w:val="00D45389"/>
    <w:rsid w:val="00D459CC"/>
    <w:rsid w:val="00D45B1D"/>
    <w:rsid w:val="00D4641E"/>
    <w:rsid w:val="00D4751D"/>
    <w:rsid w:val="00D47AC0"/>
    <w:rsid w:val="00D47AD3"/>
    <w:rsid w:val="00D500F4"/>
    <w:rsid w:val="00D50BC6"/>
    <w:rsid w:val="00D50C75"/>
    <w:rsid w:val="00D5129F"/>
    <w:rsid w:val="00D51C81"/>
    <w:rsid w:val="00D52563"/>
    <w:rsid w:val="00D52BD9"/>
    <w:rsid w:val="00D53132"/>
    <w:rsid w:val="00D53277"/>
    <w:rsid w:val="00D534DE"/>
    <w:rsid w:val="00D53F0A"/>
    <w:rsid w:val="00D543CD"/>
    <w:rsid w:val="00D5443C"/>
    <w:rsid w:val="00D5453F"/>
    <w:rsid w:val="00D54E63"/>
    <w:rsid w:val="00D5507D"/>
    <w:rsid w:val="00D55364"/>
    <w:rsid w:val="00D557E6"/>
    <w:rsid w:val="00D55F4F"/>
    <w:rsid w:val="00D576B8"/>
    <w:rsid w:val="00D57A4C"/>
    <w:rsid w:val="00D614A5"/>
    <w:rsid w:val="00D6159E"/>
    <w:rsid w:val="00D618E1"/>
    <w:rsid w:val="00D62218"/>
    <w:rsid w:val="00D6250F"/>
    <w:rsid w:val="00D630FA"/>
    <w:rsid w:val="00D63396"/>
    <w:rsid w:val="00D63E41"/>
    <w:rsid w:val="00D64C75"/>
    <w:rsid w:val="00D651E0"/>
    <w:rsid w:val="00D65604"/>
    <w:rsid w:val="00D6589A"/>
    <w:rsid w:val="00D65F28"/>
    <w:rsid w:val="00D67A42"/>
    <w:rsid w:val="00D67E95"/>
    <w:rsid w:val="00D67F1F"/>
    <w:rsid w:val="00D70754"/>
    <w:rsid w:val="00D72988"/>
    <w:rsid w:val="00D72B62"/>
    <w:rsid w:val="00D72DC2"/>
    <w:rsid w:val="00D72F27"/>
    <w:rsid w:val="00D73C96"/>
    <w:rsid w:val="00D73E23"/>
    <w:rsid w:val="00D74667"/>
    <w:rsid w:val="00D74A55"/>
    <w:rsid w:val="00D74D33"/>
    <w:rsid w:val="00D74E73"/>
    <w:rsid w:val="00D7524B"/>
    <w:rsid w:val="00D76244"/>
    <w:rsid w:val="00D76F19"/>
    <w:rsid w:val="00D77408"/>
    <w:rsid w:val="00D77650"/>
    <w:rsid w:val="00D778C0"/>
    <w:rsid w:val="00D778FF"/>
    <w:rsid w:val="00D803FB"/>
    <w:rsid w:val="00D8062C"/>
    <w:rsid w:val="00D8096E"/>
    <w:rsid w:val="00D81974"/>
    <w:rsid w:val="00D81D83"/>
    <w:rsid w:val="00D81EB7"/>
    <w:rsid w:val="00D8299B"/>
    <w:rsid w:val="00D82F3E"/>
    <w:rsid w:val="00D83586"/>
    <w:rsid w:val="00D859D9"/>
    <w:rsid w:val="00D85FF6"/>
    <w:rsid w:val="00D86B98"/>
    <w:rsid w:val="00D87571"/>
    <w:rsid w:val="00D877B7"/>
    <w:rsid w:val="00D87AB0"/>
    <w:rsid w:val="00D903A0"/>
    <w:rsid w:val="00D905A6"/>
    <w:rsid w:val="00D9079F"/>
    <w:rsid w:val="00D90AE1"/>
    <w:rsid w:val="00D923E6"/>
    <w:rsid w:val="00D92441"/>
    <w:rsid w:val="00D9264B"/>
    <w:rsid w:val="00D9285E"/>
    <w:rsid w:val="00D93683"/>
    <w:rsid w:val="00D9384B"/>
    <w:rsid w:val="00D93A46"/>
    <w:rsid w:val="00D94D3E"/>
    <w:rsid w:val="00D94F39"/>
    <w:rsid w:val="00D94F9E"/>
    <w:rsid w:val="00D951CD"/>
    <w:rsid w:val="00D9566F"/>
    <w:rsid w:val="00D95ACD"/>
    <w:rsid w:val="00D969F5"/>
    <w:rsid w:val="00D97454"/>
    <w:rsid w:val="00D97C75"/>
    <w:rsid w:val="00DA00F6"/>
    <w:rsid w:val="00DA0377"/>
    <w:rsid w:val="00DA0AFF"/>
    <w:rsid w:val="00DA13FC"/>
    <w:rsid w:val="00DA206D"/>
    <w:rsid w:val="00DA2BFC"/>
    <w:rsid w:val="00DA3E2A"/>
    <w:rsid w:val="00DA42A8"/>
    <w:rsid w:val="00DA446B"/>
    <w:rsid w:val="00DA4A0C"/>
    <w:rsid w:val="00DA57A7"/>
    <w:rsid w:val="00DA59AC"/>
    <w:rsid w:val="00DA5E2F"/>
    <w:rsid w:val="00DA6571"/>
    <w:rsid w:val="00DA66BD"/>
    <w:rsid w:val="00DA6F07"/>
    <w:rsid w:val="00DA7329"/>
    <w:rsid w:val="00DA74B1"/>
    <w:rsid w:val="00DA7527"/>
    <w:rsid w:val="00DA799A"/>
    <w:rsid w:val="00DA7AF3"/>
    <w:rsid w:val="00DA7D48"/>
    <w:rsid w:val="00DB001C"/>
    <w:rsid w:val="00DB06DC"/>
    <w:rsid w:val="00DB1288"/>
    <w:rsid w:val="00DB14B7"/>
    <w:rsid w:val="00DB197C"/>
    <w:rsid w:val="00DB28B6"/>
    <w:rsid w:val="00DB29CC"/>
    <w:rsid w:val="00DB29ED"/>
    <w:rsid w:val="00DB2F06"/>
    <w:rsid w:val="00DB3532"/>
    <w:rsid w:val="00DB58F8"/>
    <w:rsid w:val="00DB5C0D"/>
    <w:rsid w:val="00DB69BB"/>
    <w:rsid w:val="00DB6FF6"/>
    <w:rsid w:val="00DB7486"/>
    <w:rsid w:val="00DB76A2"/>
    <w:rsid w:val="00DB7FD0"/>
    <w:rsid w:val="00DC02A6"/>
    <w:rsid w:val="00DC0C75"/>
    <w:rsid w:val="00DC0F4A"/>
    <w:rsid w:val="00DC1FDD"/>
    <w:rsid w:val="00DC21B2"/>
    <w:rsid w:val="00DC3665"/>
    <w:rsid w:val="00DC3FD7"/>
    <w:rsid w:val="00DC43F5"/>
    <w:rsid w:val="00DC4683"/>
    <w:rsid w:val="00DC521B"/>
    <w:rsid w:val="00DC5784"/>
    <w:rsid w:val="00DC5A11"/>
    <w:rsid w:val="00DC5BDE"/>
    <w:rsid w:val="00DC62FF"/>
    <w:rsid w:val="00DC6F5B"/>
    <w:rsid w:val="00DC7070"/>
    <w:rsid w:val="00DC7D95"/>
    <w:rsid w:val="00DD0A26"/>
    <w:rsid w:val="00DD0C64"/>
    <w:rsid w:val="00DD15FC"/>
    <w:rsid w:val="00DD2A66"/>
    <w:rsid w:val="00DD2C53"/>
    <w:rsid w:val="00DD3498"/>
    <w:rsid w:val="00DD3ABA"/>
    <w:rsid w:val="00DD409D"/>
    <w:rsid w:val="00DD41FE"/>
    <w:rsid w:val="00DD4614"/>
    <w:rsid w:val="00DD58A9"/>
    <w:rsid w:val="00DD5CB1"/>
    <w:rsid w:val="00DD696D"/>
    <w:rsid w:val="00DD71E3"/>
    <w:rsid w:val="00DE0046"/>
    <w:rsid w:val="00DE13B6"/>
    <w:rsid w:val="00DE1A5D"/>
    <w:rsid w:val="00DE1B57"/>
    <w:rsid w:val="00DE1F45"/>
    <w:rsid w:val="00DE1F8C"/>
    <w:rsid w:val="00DE2708"/>
    <w:rsid w:val="00DE28C5"/>
    <w:rsid w:val="00DE3521"/>
    <w:rsid w:val="00DE3B93"/>
    <w:rsid w:val="00DE3EF7"/>
    <w:rsid w:val="00DE5E58"/>
    <w:rsid w:val="00DE6472"/>
    <w:rsid w:val="00DE6CA5"/>
    <w:rsid w:val="00DE6FD5"/>
    <w:rsid w:val="00DE72E1"/>
    <w:rsid w:val="00DE7C3A"/>
    <w:rsid w:val="00DF00E4"/>
    <w:rsid w:val="00DF0BD8"/>
    <w:rsid w:val="00DF138E"/>
    <w:rsid w:val="00DF179D"/>
    <w:rsid w:val="00DF1B10"/>
    <w:rsid w:val="00DF25DA"/>
    <w:rsid w:val="00DF36C0"/>
    <w:rsid w:val="00DF3C82"/>
    <w:rsid w:val="00DF55A1"/>
    <w:rsid w:val="00DF695F"/>
    <w:rsid w:val="00DF728A"/>
    <w:rsid w:val="00DF7386"/>
    <w:rsid w:val="00DF79E0"/>
    <w:rsid w:val="00DF7A5A"/>
    <w:rsid w:val="00DF7D25"/>
    <w:rsid w:val="00DF7EFF"/>
    <w:rsid w:val="00E002CA"/>
    <w:rsid w:val="00E00446"/>
    <w:rsid w:val="00E00AD7"/>
    <w:rsid w:val="00E00C8F"/>
    <w:rsid w:val="00E012DF"/>
    <w:rsid w:val="00E01361"/>
    <w:rsid w:val="00E016A6"/>
    <w:rsid w:val="00E01A54"/>
    <w:rsid w:val="00E0233A"/>
    <w:rsid w:val="00E03320"/>
    <w:rsid w:val="00E04582"/>
    <w:rsid w:val="00E047D5"/>
    <w:rsid w:val="00E04DDC"/>
    <w:rsid w:val="00E050DD"/>
    <w:rsid w:val="00E06099"/>
    <w:rsid w:val="00E06324"/>
    <w:rsid w:val="00E067C5"/>
    <w:rsid w:val="00E07B19"/>
    <w:rsid w:val="00E07E37"/>
    <w:rsid w:val="00E10A7E"/>
    <w:rsid w:val="00E11E9B"/>
    <w:rsid w:val="00E12262"/>
    <w:rsid w:val="00E12DA2"/>
    <w:rsid w:val="00E134E6"/>
    <w:rsid w:val="00E13CC2"/>
    <w:rsid w:val="00E13F6C"/>
    <w:rsid w:val="00E14154"/>
    <w:rsid w:val="00E14A76"/>
    <w:rsid w:val="00E15044"/>
    <w:rsid w:val="00E16AAD"/>
    <w:rsid w:val="00E17A91"/>
    <w:rsid w:val="00E17B1B"/>
    <w:rsid w:val="00E201DB"/>
    <w:rsid w:val="00E2146E"/>
    <w:rsid w:val="00E21635"/>
    <w:rsid w:val="00E2173D"/>
    <w:rsid w:val="00E21925"/>
    <w:rsid w:val="00E21962"/>
    <w:rsid w:val="00E2264D"/>
    <w:rsid w:val="00E233FA"/>
    <w:rsid w:val="00E238C9"/>
    <w:rsid w:val="00E23A41"/>
    <w:rsid w:val="00E24210"/>
    <w:rsid w:val="00E2473E"/>
    <w:rsid w:val="00E25BD1"/>
    <w:rsid w:val="00E25F5D"/>
    <w:rsid w:val="00E2679C"/>
    <w:rsid w:val="00E269F1"/>
    <w:rsid w:val="00E272D5"/>
    <w:rsid w:val="00E273A6"/>
    <w:rsid w:val="00E27714"/>
    <w:rsid w:val="00E2771B"/>
    <w:rsid w:val="00E2777B"/>
    <w:rsid w:val="00E27F63"/>
    <w:rsid w:val="00E307F0"/>
    <w:rsid w:val="00E30874"/>
    <w:rsid w:val="00E308B0"/>
    <w:rsid w:val="00E30D03"/>
    <w:rsid w:val="00E30FE5"/>
    <w:rsid w:val="00E31128"/>
    <w:rsid w:val="00E31BE2"/>
    <w:rsid w:val="00E32442"/>
    <w:rsid w:val="00E3320C"/>
    <w:rsid w:val="00E3321B"/>
    <w:rsid w:val="00E337E6"/>
    <w:rsid w:val="00E33E40"/>
    <w:rsid w:val="00E33FF1"/>
    <w:rsid w:val="00E340A7"/>
    <w:rsid w:val="00E341C3"/>
    <w:rsid w:val="00E34F41"/>
    <w:rsid w:val="00E351E1"/>
    <w:rsid w:val="00E35591"/>
    <w:rsid w:val="00E3589E"/>
    <w:rsid w:val="00E35E71"/>
    <w:rsid w:val="00E35F2B"/>
    <w:rsid w:val="00E366C5"/>
    <w:rsid w:val="00E3699D"/>
    <w:rsid w:val="00E36E2D"/>
    <w:rsid w:val="00E37076"/>
    <w:rsid w:val="00E37518"/>
    <w:rsid w:val="00E37595"/>
    <w:rsid w:val="00E375FA"/>
    <w:rsid w:val="00E40190"/>
    <w:rsid w:val="00E4040E"/>
    <w:rsid w:val="00E407D5"/>
    <w:rsid w:val="00E41C5E"/>
    <w:rsid w:val="00E42556"/>
    <w:rsid w:val="00E42D4B"/>
    <w:rsid w:val="00E42D88"/>
    <w:rsid w:val="00E42FBC"/>
    <w:rsid w:val="00E4339A"/>
    <w:rsid w:val="00E43B3A"/>
    <w:rsid w:val="00E43ECF"/>
    <w:rsid w:val="00E44209"/>
    <w:rsid w:val="00E44A6C"/>
    <w:rsid w:val="00E45E27"/>
    <w:rsid w:val="00E45E85"/>
    <w:rsid w:val="00E47AB8"/>
    <w:rsid w:val="00E5066B"/>
    <w:rsid w:val="00E5087A"/>
    <w:rsid w:val="00E50AE0"/>
    <w:rsid w:val="00E512B0"/>
    <w:rsid w:val="00E51885"/>
    <w:rsid w:val="00E518FD"/>
    <w:rsid w:val="00E5311B"/>
    <w:rsid w:val="00E540D4"/>
    <w:rsid w:val="00E545FC"/>
    <w:rsid w:val="00E548F9"/>
    <w:rsid w:val="00E54A51"/>
    <w:rsid w:val="00E55838"/>
    <w:rsid w:val="00E5648D"/>
    <w:rsid w:val="00E60238"/>
    <w:rsid w:val="00E608C0"/>
    <w:rsid w:val="00E6143A"/>
    <w:rsid w:val="00E61F18"/>
    <w:rsid w:val="00E626ED"/>
    <w:rsid w:val="00E62728"/>
    <w:rsid w:val="00E630A0"/>
    <w:rsid w:val="00E63505"/>
    <w:rsid w:val="00E635D3"/>
    <w:rsid w:val="00E638F1"/>
    <w:rsid w:val="00E63EC1"/>
    <w:rsid w:val="00E64244"/>
    <w:rsid w:val="00E650EC"/>
    <w:rsid w:val="00E654DD"/>
    <w:rsid w:val="00E6562A"/>
    <w:rsid w:val="00E659CC"/>
    <w:rsid w:val="00E65B69"/>
    <w:rsid w:val="00E65E4A"/>
    <w:rsid w:val="00E65F19"/>
    <w:rsid w:val="00E66302"/>
    <w:rsid w:val="00E668B8"/>
    <w:rsid w:val="00E66AFC"/>
    <w:rsid w:val="00E678F6"/>
    <w:rsid w:val="00E706AA"/>
    <w:rsid w:val="00E712DD"/>
    <w:rsid w:val="00E71A3A"/>
    <w:rsid w:val="00E71B89"/>
    <w:rsid w:val="00E71C0B"/>
    <w:rsid w:val="00E71CC8"/>
    <w:rsid w:val="00E721EF"/>
    <w:rsid w:val="00E72A8E"/>
    <w:rsid w:val="00E73242"/>
    <w:rsid w:val="00E7381B"/>
    <w:rsid w:val="00E7436A"/>
    <w:rsid w:val="00E74AA4"/>
    <w:rsid w:val="00E74CBE"/>
    <w:rsid w:val="00E75A83"/>
    <w:rsid w:val="00E767B1"/>
    <w:rsid w:val="00E76F25"/>
    <w:rsid w:val="00E778E1"/>
    <w:rsid w:val="00E77E92"/>
    <w:rsid w:val="00E807E9"/>
    <w:rsid w:val="00E808E9"/>
    <w:rsid w:val="00E80963"/>
    <w:rsid w:val="00E80DFF"/>
    <w:rsid w:val="00E8140A"/>
    <w:rsid w:val="00E81569"/>
    <w:rsid w:val="00E817D1"/>
    <w:rsid w:val="00E81F2E"/>
    <w:rsid w:val="00E81F4C"/>
    <w:rsid w:val="00E82629"/>
    <w:rsid w:val="00E826A8"/>
    <w:rsid w:val="00E82E0F"/>
    <w:rsid w:val="00E83162"/>
    <w:rsid w:val="00E83B61"/>
    <w:rsid w:val="00E83BC3"/>
    <w:rsid w:val="00E83CE2"/>
    <w:rsid w:val="00E84F2C"/>
    <w:rsid w:val="00E85A08"/>
    <w:rsid w:val="00E85CE1"/>
    <w:rsid w:val="00E86509"/>
    <w:rsid w:val="00E86A42"/>
    <w:rsid w:val="00E8728E"/>
    <w:rsid w:val="00E87863"/>
    <w:rsid w:val="00E87FF9"/>
    <w:rsid w:val="00E90295"/>
    <w:rsid w:val="00E903F4"/>
    <w:rsid w:val="00E91D38"/>
    <w:rsid w:val="00E91DCE"/>
    <w:rsid w:val="00E92106"/>
    <w:rsid w:val="00E92254"/>
    <w:rsid w:val="00E9287D"/>
    <w:rsid w:val="00E92B08"/>
    <w:rsid w:val="00E9358E"/>
    <w:rsid w:val="00E94516"/>
    <w:rsid w:val="00E94950"/>
    <w:rsid w:val="00E94A62"/>
    <w:rsid w:val="00E94E8A"/>
    <w:rsid w:val="00E95AE0"/>
    <w:rsid w:val="00E95D9F"/>
    <w:rsid w:val="00E9650C"/>
    <w:rsid w:val="00E96B83"/>
    <w:rsid w:val="00E97B6B"/>
    <w:rsid w:val="00EA0F05"/>
    <w:rsid w:val="00EA1901"/>
    <w:rsid w:val="00EA19E8"/>
    <w:rsid w:val="00EA222A"/>
    <w:rsid w:val="00EA24FA"/>
    <w:rsid w:val="00EA2CFF"/>
    <w:rsid w:val="00EA2EE4"/>
    <w:rsid w:val="00EA32FF"/>
    <w:rsid w:val="00EA42E9"/>
    <w:rsid w:val="00EA45F4"/>
    <w:rsid w:val="00EA53BF"/>
    <w:rsid w:val="00EA555B"/>
    <w:rsid w:val="00EA55FA"/>
    <w:rsid w:val="00EA560A"/>
    <w:rsid w:val="00EA59F2"/>
    <w:rsid w:val="00EA757A"/>
    <w:rsid w:val="00EB0433"/>
    <w:rsid w:val="00EB0C3A"/>
    <w:rsid w:val="00EB1178"/>
    <w:rsid w:val="00EB1379"/>
    <w:rsid w:val="00EB225A"/>
    <w:rsid w:val="00EB2832"/>
    <w:rsid w:val="00EB2D0E"/>
    <w:rsid w:val="00EB3007"/>
    <w:rsid w:val="00EB39F0"/>
    <w:rsid w:val="00EB4163"/>
    <w:rsid w:val="00EB428B"/>
    <w:rsid w:val="00EB438E"/>
    <w:rsid w:val="00EB47BB"/>
    <w:rsid w:val="00EB5429"/>
    <w:rsid w:val="00EB552B"/>
    <w:rsid w:val="00EB58C2"/>
    <w:rsid w:val="00EB5A86"/>
    <w:rsid w:val="00EB5E22"/>
    <w:rsid w:val="00EB5FB8"/>
    <w:rsid w:val="00EB60D9"/>
    <w:rsid w:val="00EB642C"/>
    <w:rsid w:val="00EB6B2E"/>
    <w:rsid w:val="00EB7149"/>
    <w:rsid w:val="00EB768E"/>
    <w:rsid w:val="00EB7736"/>
    <w:rsid w:val="00EB7A4F"/>
    <w:rsid w:val="00EB7D53"/>
    <w:rsid w:val="00EC0599"/>
    <w:rsid w:val="00EC0982"/>
    <w:rsid w:val="00EC1A2A"/>
    <w:rsid w:val="00EC2214"/>
    <w:rsid w:val="00EC2491"/>
    <w:rsid w:val="00EC2711"/>
    <w:rsid w:val="00EC30BF"/>
    <w:rsid w:val="00EC34E4"/>
    <w:rsid w:val="00EC3CD4"/>
    <w:rsid w:val="00EC3F0E"/>
    <w:rsid w:val="00EC44CE"/>
    <w:rsid w:val="00EC5552"/>
    <w:rsid w:val="00EC580E"/>
    <w:rsid w:val="00EC59F2"/>
    <w:rsid w:val="00EC609F"/>
    <w:rsid w:val="00EC6131"/>
    <w:rsid w:val="00EC659C"/>
    <w:rsid w:val="00EC6B6D"/>
    <w:rsid w:val="00EC7F3E"/>
    <w:rsid w:val="00ED0144"/>
    <w:rsid w:val="00ED01F4"/>
    <w:rsid w:val="00ED036B"/>
    <w:rsid w:val="00ED1203"/>
    <w:rsid w:val="00ED176D"/>
    <w:rsid w:val="00ED19AE"/>
    <w:rsid w:val="00ED1AAA"/>
    <w:rsid w:val="00ED1CEC"/>
    <w:rsid w:val="00ED1D43"/>
    <w:rsid w:val="00ED21F7"/>
    <w:rsid w:val="00ED2391"/>
    <w:rsid w:val="00ED30B4"/>
    <w:rsid w:val="00ED32AC"/>
    <w:rsid w:val="00ED3BC7"/>
    <w:rsid w:val="00ED3C32"/>
    <w:rsid w:val="00ED3CF3"/>
    <w:rsid w:val="00ED3DCF"/>
    <w:rsid w:val="00ED41A5"/>
    <w:rsid w:val="00ED41BE"/>
    <w:rsid w:val="00ED436E"/>
    <w:rsid w:val="00ED4631"/>
    <w:rsid w:val="00ED4F5A"/>
    <w:rsid w:val="00ED561B"/>
    <w:rsid w:val="00ED66BB"/>
    <w:rsid w:val="00ED7457"/>
    <w:rsid w:val="00ED7CDF"/>
    <w:rsid w:val="00EE0000"/>
    <w:rsid w:val="00EE0088"/>
    <w:rsid w:val="00EE0688"/>
    <w:rsid w:val="00EE161F"/>
    <w:rsid w:val="00EE18AE"/>
    <w:rsid w:val="00EE2A84"/>
    <w:rsid w:val="00EE2BD0"/>
    <w:rsid w:val="00EE2C34"/>
    <w:rsid w:val="00EE2FAD"/>
    <w:rsid w:val="00EE2FD9"/>
    <w:rsid w:val="00EE3097"/>
    <w:rsid w:val="00EE374D"/>
    <w:rsid w:val="00EE3FBB"/>
    <w:rsid w:val="00EE46B7"/>
    <w:rsid w:val="00EE46BA"/>
    <w:rsid w:val="00EE4811"/>
    <w:rsid w:val="00EE4A87"/>
    <w:rsid w:val="00EE4C51"/>
    <w:rsid w:val="00EE4FEC"/>
    <w:rsid w:val="00EE5155"/>
    <w:rsid w:val="00EE62CB"/>
    <w:rsid w:val="00EE6D75"/>
    <w:rsid w:val="00EE7042"/>
    <w:rsid w:val="00EE7662"/>
    <w:rsid w:val="00EE79D8"/>
    <w:rsid w:val="00EE7B14"/>
    <w:rsid w:val="00EE7B48"/>
    <w:rsid w:val="00EF052A"/>
    <w:rsid w:val="00EF0921"/>
    <w:rsid w:val="00EF145E"/>
    <w:rsid w:val="00EF1BBD"/>
    <w:rsid w:val="00EF214B"/>
    <w:rsid w:val="00EF2365"/>
    <w:rsid w:val="00EF2B23"/>
    <w:rsid w:val="00EF2C68"/>
    <w:rsid w:val="00EF2FFD"/>
    <w:rsid w:val="00EF3124"/>
    <w:rsid w:val="00EF3744"/>
    <w:rsid w:val="00EF590D"/>
    <w:rsid w:val="00EF637E"/>
    <w:rsid w:val="00EF69BD"/>
    <w:rsid w:val="00EF6E3E"/>
    <w:rsid w:val="00EF7106"/>
    <w:rsid w:val="00F0091C"/>
    <w:rsid w:val="00F00E6A"/>
    <w:rsid w:val="00F00EEE"/>
    <w:rsid w:val="00F0214F"/>
    <w:rsid w:val="00F02250"/>
    <w:rsid w:val="00F022AA"/>
    <w:rsid w:val="00F023BA"/>
    <w:rsid w:val="00F0288D"/>
    <w:rsid w:val="00F02A54"/>
    <w:rsid w:val="00F03797"/>
    <w:rsid w:val="00F038CC"/>
    <w:rsid w:val="00F039A3"/>
    <w:rsid w:val="00F04227"/>
    <w:rsid w:val="00F0483B"/>
    <w:rsid w:val="00F04ED5"/>
    <w:rsid w:val="00F05B25"/>
    <w:rsid w:val="00F060B9"/>
    <w:rsid w:val="00F06AAA"/>
    <w:rsid w:val="00F06C05"/>
    <w:rsid w:val="00F109FE"/>
    <w:rsid w:val="00F11E22"/>
    <w:rsid w:val="00F13517"/>
    <w:rsid w:val="00F13959"/>
    <w:rsid w:val="00F13FBF"/>
    <w:rsid w:val="00F14467"/>
    <w:rsid w:val="00F14612"/>
    <w:rsid w:val="00F14A7D"/>
    <w:rsid w:val="00F14C80"/>
    <w:rsid w:val="00F15409"/>
    <w:rsid w:val="00F16330"/>
    <w:rsid w:val="00F20078"/>
    <w:rsid w:val="00F20599"/>
    <w:rsid w:val="00F2074C"/>
    <w:rsid w:val="00F20844"/>
    <w:rsid w:val="00F218B0"/>
    <w:rsid w:val="00F21C67"/>
    <w:rsid w:val="00F24A3E"/>
    <w:rsid w:val="00F24E02"/>
    <w:rsid w:val="00F266B6"/>
    <w:rsid w:val="00F273D8"/>
    <w:rsid w:val="00F27EA0"/>
    <w:rsid w:val="00F27EB3"/>
    <w:rsid w:val="00F30266"/>
    <w:rsid w:val="00F307F7"/>
    <w:rsid w:val="00F3143A"/>
    <w:rsid w:val="00F319E5"/>
    <w:rsid w:val="00F31FD3"/>
    <w:rsid w:val="00F3231D"/>
    <w:rsid w:val="00F32647"/>
    <w:rsid w:val="00F33B53"/>
    <w:rsid w:val="00F3420E"/>
    <w:rsid w:val="00F349B0"/>
    <w:rsid w:val="00F34B34"/>
    <w:rsid w:val="00F34D45"/>
    <w:rsid w:val="00F34D57"/>
    <w:rsid w:val="00F3541B"/>
    <w:rsid w:val="00F362C8"/>
    <w:rsid w:val="00F36780"/>
    <w:rsid w:val="00F36B68"/>
    <w:rsid w:val="00F36C81"/>
    <w:rsid w:val="00F3704B"/>
    <w:rsid w:val="00F37806"/>
    <w:rsid w:val="00F40C59"/>
    <w:rsid w:val="00F40C6A"/>
    <w:rsid w:val="00F4170C"/>
    <w:rsid w:val="00F417F4"/>
    <w:rsid w:val="00F41E14"/>
    <w:rsid w:val="00F42271"/>
    <w:rsid w:val="00F42648"/>
    <w:rsid w:val="00F42AD8"/>
    <w:rsid w:val="00F42E95"/>
    <w:rsid w:val="00F42FA2"/>
    <w:rsid w:val="00F43C6A"/>
    <w:rsid w:val="00F4488B"/>
    <w:rsid w:val="00F4493C"/>
    <w:rsid w:val="00F44C62"/>
    <w:rsid w:val="00F44D19"/>
    <w:rsid w:val="00F44F5D"/>
    <w:rsid w:val="00F478D1"/>
    <w:rsid w:val="00F47DDD"/>
    <w:rsid w:val="00F508CB"/>
    <w:rsid w:val="00F50DF7"/>
    <w:rsid w:val="00F515F9"/>
    <w:rsid w:val="00F5259E"/>
    <w:rsid w:val="00F52812"/>
    <w:rsid w:val="00F52BE4"/>
    <w:rsid w:val="00F52F83"/>
    <w:rsid w:val="00F53DEA"/>
    <w:rsid w:val="00F5421F"/>
    <w:rsid w:val="00F55843"/>
    <w:rsid w:val="00F55DCD"/>
    <w:rsid w:val="00F55F24"/>
    <w:rsid w:val="00F566AC"/>
    <w:rsid w:val="00F5670B"/>
    <w:rsid w:val="00F5686D"/>
    <w:rsid w:val="00F56A58"/>
    <w:rsid w:val="00F57C81"/>
    <w:rsid w:val="00F603C2"/>
    <w:rsid w:val="00F6043B"/>
    <w:rsid w:val="00F61FE7"/>
    <w:rsid w:val="00F630F4"/>
    <w:rsid w:val="00F6338D"/>
    <w:rsid w:val="00F6373A"/>
    <w:rsid w:val="00F63AAD"/>
    <w:rsid w:val="00F63DEE"/>
    <w:rsid w:val="00F6406F"/>
    <w:rsid w:val="00F6465A"/>
    <w:rsid w:val="00F646D8"/>
    <w:rsid w:val="00F65ABD"/>
    <w:rsid w:val="00F666DE"/>
    <w:rsid w:val="00F67403"/>
    <w:rsid w:val="00F70D78"/>
    <w:rsid w:val="00F714F8"/>
    <w:rsid w:val="00F71A64"/>
    <w:rsid w:val="00F71ADB"/>
    <w:rsid w:val="00F71C84"/>
    <w:rsid w:val="00F729C6"/>
    <w:rsid w:val="00F73384"/>
    <w:rsid w:val="00F734A7"/>
    <w:rsid w:val="00F738E0"/>
    <w:rsid w:val="00F73A0E"/>
    <w:rsid w:val="00F73E21"/>
    <w:rsid w:val="00F7410F"/>
    <w:rsid w:val="00F7420E"/>
    <w:rsid w:val="00F7449C"/>
    <w:rsid w:val="00F75787"/>
    <w:rsid w:val="00F75F8C"/>
    <w:rsid w:val="00F76EAF"/>
    <w:rsid w:val="00F7752E"/>
    <w:rsid w:val="00F77BF2"/>
    <w:rsid w:val="00F77F79"/>
    <w:rsid w:val="00F812EE"/>
    <w:rsid w:val="00F81E32"/>
    <w:rsid w:val="00F81F25"/>
    <w:rsid w:val="00F821B0"/>
    <w:rsid w:val="00F82511"/>
    <w:rsid w:val="00F838F5"/>
    <w:rsid w:val="00F84FF4"/>
    <w:rsid w:val="00F85223"/>
    <w:rsid w:val="00F86011"/>
    <w:rsid w:val="00F86BB3"/>
    <w:rsid w:val="00F87A50"/>
    <w:rsid w:val="00F87E12"/>
    <w:rsid w:val="00F9048B"/>
    <w:rsid w:val="00F9101E"/>
    <w:rsid w:val="00F91291"/>
    <w:rsid w:val="00F91788"/>
    <w:rsid w:val="00F9178B"/>
    <w:rsid w:val="00F91CF2"/>
    <w:rsid w:val="00F920E2"/>
    <w:rsid w:val="00F9214D"/>
    <w:rsid w:val="00F9264C"/>
    <w:rsid w:val="00F92A64"/>
    <w:rsid w:val="00F93DD8"/>
    <w:rsid w:val="00F94BF4"/>
    <w:rsid w:val="00F95626"/>
    <w:rsid w:val="00F95C23"/>
    <w:rsid w:val="00F95F8F"/>
    <w:rsid w:val="00F96F77"/>
    <w:rsid w:val="00FA0FA2"/>
    <w:rsid w:val="00FA144B"/>
    <w:rsid w:val="00FA1E12"/>
    <w:rsid w:val="00FA2188"/>
    <w:rsid w:val="00FA2A62"/>
    <w:rsid w:val="00FA2E56"/>
    <w:rsid w:val="00FA39EB"/>
    <w:rsid w:val="00FA449E"/>
    <w:rsid w:val="00FA4815"/>
    <w:rsid w:val="00FA4E8B"/>
    <w:rsid w:val="00FA57B4"/>
    <w:rsid w:val="00FA5D3F"/>
    <w:rsid w:val="00FA5F54"/>
    <w:rsid w:val="00FA63CD"/>
    <w:rsid w:val="00FA6B88"/>
    <w:rsid w:val="00FA730A"/>
    <w:rsid w:val="00FA73AD"/>
    <w:rsid w:val="00FB08EC"/>
    <w:rsid w:val="00FB0CA1"/>
    <w:rsid w:val="00FB14EE"/>
    <w:rsid w:val="00FB1AD7"/>
    <w:rsid w:val="00FB1C13"/>
    <w:rsid w:val="00FB1C6E"/>
    <w:rsid w:val="00FB275B"/>
    <w:rsid w:val="00FB4028"/>
    <w:rsid w:val="00FB4B5A"/>
    <w:rsid w:val="00FB5456"/>
    <w:rsid w:val="00FB5963"/>
    <w:rsid w:val="00FB5B2D"/>
    <w:rsid w:val="00FB5B45"/>
    <w:rsid w:val="00FB63C6"/>
    <w:rsid w:val="00FC00B7"/>
    <w:rsid w:val="00FC02F9"/>
    <w:rsid w:val="00FC050D"/>
    <w:rsid w:val="00FC09B5"/>
    <w:rsid w:val="00FC0CE9"/>
    <w:rsid w:val="00FC0DE0"/>
    <w:rsid w:val="00FC14A8"/>
    <w:rsid w:val="00FC165D"/>
    <w:rsid w:val="00FC16D6"/>
    <w:rsid w:val="00FC1838"/>
    <w:rsid w:val="00FC1DF5"/>
    <w:rsid w:val="00FC21B8"/>
    <w:rsid w:val="00FC220D"/>
    <w:rsid w:val="00FC27CD"/>
    <w:rsid w:val="00FC28FB"/>
    <w:rsid w:val="00FC38BA"/>
    <w:rsid w:val="00FC46A3"/>
    <w:rsid w:val="00FC4B1A"/>
    <w:rsid w:val="00FC4BCB"/>
    <w:rsid w:val="00FC5542"/>
    <w:rsid w:val="00FC5F29"/>
    <w:rsid w:val="00FC6246"/>
    <w:rsid w:val="00FC6876"/>
    <w:rsid w:val="00FC6B72"/>
    <w:rsid w:val="00FC7428"/>
    <w:rsid w:val="00FC771C"/>
    <w:rsid w:val="00FC7955"/>
    <w:rsid w:val="00FD05F9"/>
    <w:rsid w:val="00FD0763"/>
    <w:rsid w:val="00FD0871"/>
    <w:rsid w:val="00FD0EFB"/>
    <w:rsid w:val="00FD10D5"/>
    <w:rsid w:val="00FD13C4"/>
    <w:rsid w:val="00FD19BB"/>
    <w:rsid w:val="00FD21A1"/>
    <w:rsid w:val="00FD2851"/>
    <w:rsid w:val="00FD2EDE"/>
    <w:rsid w:val="00FD31E6"/>
    <w:rsid w:val="00FD3B93"/>
    <w:rsid w:val="00FD3F54"/>
    <w:rsid w:val="00FD41A2"/>
    <w:rsid w:val="00FD4435"/>
    <w:rsid w:val="00FD4665"/>
    <w:rsid w:val="00FD4817"/>
    <w:rsid w:val="00FD528B"/>
    <w:rsid w:val="00FD6084"/>
    <w:rsid w:val="00FD727D"/>
    <w:rsid w:val="00FD7E7E"/>
    <w:rsid w:val="00FE0476"/>
    <w:rsid w:val="00FE151A"/>
    <w:rsid w:val="00FE153B"/>
    <w:rsid w:val="00FE19F7"/>
    <w:rsid w:val="00FE1CA0"/>
    <w:rsid w:val="00FE1E44"/>
    <w:rsid w:val="00FE2290"/>
    <w:rsid w:val="00FE23B7"/>
    <w:rsid w:val="00FE3C1A"/>
    <w:rsid w:val="00FE4691"/>
    <w:rsid w:val="00FE49CD"/>
    <w:rsid w:val="00FE4B45"/>
    <w:rsid w:val="00FE4EC5"/>
    <w:rsid w:val="00FE55EC"/>
    <w:rsid w:val="00FE5FA0"/>
    <w:rsid w:val="00FE61BE"/>
    <w:rsid w:val="00FE6DB5"/>
    <w:rsid w:val="00FE7CED"/>
    <w:rsid w:val="00FF0448"/>
    <w:rsid w:val="00FF1508"/>
    <w:rsid w:val="00FF19A1"/>
    <w:rsid w:val="00FF223C"/>
    <w:rsid w:val="00FF2372"/>
    <w:rsid w:val="00FF2711"/>
    <w:rsid w:val="00FF2985"/>
    <w:rsid w:val="00FF5F6D"/>
    <w:rsid w:val="00FF625E"/>
    <w:rsid w:val="00FF7560"/>
    <w:rsid w:val="00FF75C0"/>
    <w:rsid w:val="00FF77DB"/>
    <w:rsid w:val="01401EBF"/>
    <w:rsid w:val="01676688"/>
    <w:rsid w:val="01BE7338"/>
    <w:rsid w:val="01DD10BA"/>
    <w:rsid w:val="01E73860"/>
    <w:rsid w:val="02AF6C05"/>
    <w:rsid w:val="03352BC9"/>
    <w:rsid w:val="035464FF"/>
    <w:rsid w:val="03B66AA8"/>
    <w:rsid w:val="04AE035A"/>
    <w:rsid w:val="04C80BE4"/>
    <w:rsid w:val="04E85F08"/>
    <w:rsid w:val="05392773"/>
    <w:rsid w:val="05634469"/>
    <w:rsid w:val="056A76A5"/>
    <w:rsid w:val="05B55391"/>
    <w:rsid w:val="05D67331"/>
    <w:rsid w:val="06162E44"/>
    <w:rsid w:val="06E17F2B"/>
    <w:rsid w:val="06E415DA"/>
    <w:rsid w:val="07233BF0"/>
    <w:rsid w:val="072C2A6B"/>
    <w:rsid w:val="07610E7C"/>
    <w:rsid w:val="07E043B2"/>
    <w:rsid w:val="08267EB3"/>
    <w:rsid w:val="086504F8"/>
    <w:rsid w:val="08E937FE"/>
    <w:rsid w:val="09070DD7"/>
    <w:rsid w:val="096C11CD"/>
    <w:rsid w:val="09AD685A"/>
    <w:rsid w:val="09B47989"/>
    <w:rsid w:val="09DF188E"/>
    <w:rsid w:val="09DF2075"/>
    <w:rsid w:val="09E867DE"/>
    <w:rsid w:val="0A99092D"/>
    <w:rsid w:val="0AB42ACE"/>
    <w:rsid w:val="0AF24CF2"/>
    <w:rsid w:val="0BA45473"/>
    <w:rsid w:val="0BD3206B"/>
    <w:rsid w:val="0C1316ED"/>
    <w:rsid w:val="0C1D503A"/>
    <w:rsid w:val="0CA760BE"/>
    <w:rsid w:val="0CB050CF"/>
    <w:rsid w:val="0CC544DD"/>
    <w:rsid w:val="0D027BC5"/>
    <w:rsid w:val="0D0C4024"/>
    <w:rsid w:val="0D411534"/>
    <w:rsid w:val="0D68300E"/>
    <w:rsid w:val="0D7E163B"/>
    <w:rsid w:val="0D7E4CA8"/>
    <w:rsid w:val="0DD37F48"/>
    <w:rsid w:val="0DEB14A0"/>
    <w:rsid w:val="0E26072A"/>
    <w:rsid w:val="0E587282"/>
    <w:rsid w:val="0E686F94"/>
    <w:rsid w:val="0F17083A"/>
    <w:rsid w:val="0F3B1FB3"/>
    <w:rsid w:val="0FDA1211"/>
    <w:rsid w:val="10152222"/>
    <w:rsid w:val="102F4B9C"/>
    <w:rsid w:val="103A1054"/>
    <w:rsid w:val="1083766A"/>
    <w:rsid w:val="10B87883"/>
    <w:rsid w:val="10BE6642"/>
    <w:rsid w:val="11301FEB"/>
    <w:rsid w:val="116F0AB4"/>
    <w:rsid w:val="12AD766B"/>
    <w:rsid w:val="1304689F"/>
    <w:rsid w:val="13123DAE"/>
    <w:rsid w:val="137F3391"/>
    <w:rsid w:val="13F26515"/>
    <w:rsid w:val="144338AE"/>
    <w:rsid w:val="144B4E50"/>
    <w:rsid w:val="14650665"/>
    <w:rsid w:val="14BA328D"/>
    <w:rsid w:val="14DC1B42"/>
    <w:rsid w:val="14F26AFC"/>
    <w:rsid w:val="1540162C"/>
    <w:rsid w:val="15A00DC2"/>
    <w:rsid w:val="15A40E9E"/>
    <w:rsid w:val="15D62B0F"/>
    <w:rsid w:val="15E655FF"/>
    <w:rsid w:val="161F43DC"/>
    <w:rsid w:val="1695469E"/>
    <w:rsid w:val="16BE55A9"/>
    <w:rsid w:val="16C63F11"/>
    <w:rsid w:val="16D36F75"/>
    <w:rsid w:val="16DB47A7"/>
    <w:rsid w:val="17080627"/>
    <w:rsid w:val="170962E4"/>
    <w:rsid w:val="171C0EFE"/>
    <w:rsid w:val="1767603B"/>
    <w:rsid w:val="17832749"/>
    <w:rsid w:val="196F6D3D"/>
    <w:rsid w:val="19A15D66"/>
    <w:rsid w:val="19B117EF"/>
    <w:rsid w:val="1A6A4E00"/>
    <w:rsid w:val="1A8C7004"/>
    <w:rsid w:val="1AA14E8D"/>
    <w:rsid w:val="1AB37560"/>
    <w:rsid w:val="1B0D0CA7"/>
    <w:rsid w:val="1B1E693B"/>
    <w:rsid w:val="1BCB2EDE"/>
    <w:rsid w:val="1BD665E7"/>
    <w:rsid w:val="1C0D37E4"/>
    <w:rsid w:val="1C121358"/>
    <w:rsid w:val="1C27223D"/>
    <w:rsid w:val="1C646D31"/>
    <w:rsid w:val="1CA86708"/>
    <w:rsid w:val="1D1413DA"/>
    <w:rsid w:val="1DBC3DC1"/>
    <w:rsid w:val="1DDA34AC"/>
    <w:rsid w:val="1DE40922"/>
    <w:rsid w:val="1E075E82"/>
    <w:rsid w:val="1E1D18EE"/>
    <w:rsid w:val="1E2214D3"/>
    <w:rsid w:val="1E780B2E"/>
    <w:rsid w:val="1E781117"/>
    <w:rsid w:val="1E7E2701"/>
    <w:rsid w:val="1F067FF4"/>
    <w:rsid w:val="1F134CFA"/>
    <w:rsid w:val="1F1D3483"/>
    <w:rsid w:val="1F626226"/>
    <w:rsid w:val="1F6821C3"/>
    <w:rsid w:val="1FCA088D"/>
    <w:rsid w:val="1FE16C19"/>
    <w:rsid w:val="1FFB7497"/>
    <w:rsid w:val="20174376"/>
    <w:rsid w:val="2032799A"/>
    <w:rsid w:val="20A35D34"/>
    <w:rsid w:val="20BC7A52"/>
    <w:rsid w:val="20BD3FB9"/>
    <w:rsid w:val="213D7E0C"/>
    <w:rsid w:val="214B42D7"/>
    <w:rsid w:val="219F0AC7"/>
    <w:rsid w:val="220D2534"/>
    <w:rsid w:val="22315653"/>
    <w:rsid w:val="225928C2"/>
    <w:rsid w:val="23113827"/>
    <w:rsid w:val="23250551"/>
    <w:rsid w:val="232D6DD2"/>
    <w:rsid w:val="23FF06E6"/>
    <w:rsid w:val="2404388E"/>
    <w:rsid w:val="241237D2"/>
    <w:rsid w:val="243D139D"/>
    <w:rsid w:val="248C3561"/>
    <w:rsid w:val="24A96A20"/>
    <w:rsid w:val="24A97118"/>
    <w:rsid w:val="250E3DBA"/>
    <w:rsid w:val="257262C0"/>
    <w:rsid w:val="25DD2511"/>
    <w:rsid w:val="25F16D06"/>
    <w:rsid w:val="25F86BE3"/>
    <w:rsid w:val="26372B45"/>
    <w:rsid w:val="266C71AC"/>
    <w:rsid w:val="26864C6D"/>
    <w:rsid w:val="26A4073E"/>
    <w:rsid w:val="26CA4C1A"/>
    <w:rsid w:val="26CD39E1"/>
    <w:rsid w:val="26ED4C77"/>
    <w:rsid w:val="274B6F9C"/>
    <w:rsid w:val="277E33E6"/>
    <w:rsid w:val="27A13D5E"/>
    <w:rsid w:val="27DB012C"/>
    <w:rsid w:val="27E46587"/>
    <w:rsid w:val="280F2334"/>
    <w:rsid w:val="281752F4"/>
    <w:rsid w:val="285A2C3A"/>
    <w:rsid w:val="285F6517"/>
    <w:rsid w:val="289A7B6E"/>
    <w:rsid w:val="28CF31F3"/>
    <w:rsid w:val="2916066A"/>
    <w:rsid w:val="293D0EF7"/>
    <w:rsid w:val="29453337"/>
    <w:rsid w:val="29967194"/>
    <w:rsid w:val="29A625C9"/>
    <w:rsid w:val="29B0748C"/>
    <w:rsid w:val="29DB757C"/>
    <w:rsid w:val="29F15C01"/>
    <w:rsid w:val="2A503CE6"/>
    <w:rsid w:val="2A905451"/>
    <w:rsid w:val="2AA01FD2"/>
    <w:rsid w:val="2AC5572F"/>
    <w:rsid w:val="2AC833E3"/>
    <w:rsid w:val="2AD215D6"/>
    <w:rsid w:val="2AD73561"/>
    <w:rsid w:val="2B44335C"/>
    <w:rsid w:val="2B7767A2"/>
    <w:rsid w:val="2B860F7C"/>
    <w:rsid w:val="2BC46845"/>
    <w:rsid w:val="2BEF50B2"/>
    <w:rsid w:val="2C5F3216"/>
    <w:rsid w:val="2C601C99"/>
    <w:rsid w:val="2C821040"/>
    <w:rsid w:val="2CC8505F"/>
    <w:rsid w:val="2CD0540B"/>
    <w:rsid w:val="2D21377F"/>
    <w:rsid w:val="2D30445F"/>
    <w:rsid w:val="2D736739"/>
    <w:rsid w:val="2D7C3A6A"/>
    <w:rsid w:val="2DD03880"/>
    <w:rsid w:val="2DDE0DF3"/>
    <w:rsid w:val="2DEE4968"/>
    <w:rsid w:val="2DF543B0"/>
    <w:rsid w:val="2DFD2DFD"/>
    <w:rsid w:val="2EBA6F40"/>
    <w:rsid w:val="2EC20BC4"/>
    <w:rsid w:val="2EF73CF0"/>
    <w:rsid w:val="2F0C5AF7"/>
    <w:rsid w:val="2F14727C"/>
    <w:rsid w:val="2F594063"/>
    <w:rsid w:val="2FA20693"/>
    <w:rsid w:val="30803453"/>
    <w:rsid w:val="30BF062A"/>
    <w:rsid w:val="317B6326"/>
    <w:rsid w:val="31BE2329"/>
    <w:rsid w:val="31CB2D0C"/>
    <w:rsid w:val="32927303"/>
    <w:rsid w:val="32935ADE"/>
    <w:rsid w:val="3326769E"/>
    <w:rsid w:val="33EB7AB3"/>
    <w:rsid w:val="34336C58"/>
    <w:rsid w:val="346427CB"/>
    <w:rsid w:val="349939F1"/>
    <w:rsid w:val="34B6100D"/>
    <w:rsid w:val="34C719A9"/>
    <w:rsid w:val="34DD74E5"/>
    <w:rsid w:val="34EF12C1"/>
    <w:rsid w:val="35C90CD4"/>
    <w:rsid w:val="35DC59EE"/>
    <w:rsid w:val="36164D61"/>
    <w:rsid w:val="363870C8"/>
    <w:rsid w:val="36AD7066"/>
    <w:rsid w:val="372A5C58"/>
    <w:rsid w:val="379F4F25"/>
    <w:rsid w:val="380D4C15"/>
    <w:rsid w:val="3823184E"/>
    <w:rsid w:val="38234CE9"/>
    <w:rsid w:val="38890D63"/>
    <w:rsid w:val="38BD4FFC"/>
    <w:rsid w:val="38CD2BF7"/>
    <w:rsid w:val="38DC30B6"/>
    <w:rsid w:val="38F26023"/>
    <w:rsid w:val="39033292"/>
    <w:rsid w:val="394F0545"/>
    <w:rsid w:val="397D1645"/>
    <w:rsid w:val="3A050694"/>
    <w:rsid w:val="3A2455E7"/>
    <w:rsid w:val="3A2F780E"/>
    <w:rsid w:val="3A3040A7"/>
    <w:rsid w:val="3A7C649C"/>
    <w:rsid w:val="3ABE2EC8"/>
    <w:rsid w:val="3B3A374F"/>
    <w:rsid w:val="3BDA29D0"/>
    <w:rsid w:val="3BDF7FE6"/>
    <w:rsid w:val="3BE51430"/>
    <w:rsid w:val="3C181174"/>
    <w:rsid w:val="3C4A034C"/>
    <w:rsid w:val="3C7726CA"/>
    <w:rsid w:val="3CA451CB"/>
    <w:rsid w:val="3CAF79B9"/>
    <w:rsid w:val="3CC816C2"/>
    <w:rsid w:val="3D111102"/>
    <w:rsid w:val="3D7D3613"/>
    <w:rsid w:val="3D85696B"/>
    <w:rsid w:val="3DB43F41"/>
    <w:rsid w:val="3DDD1389"/>
    <w:rsid w:val="3E2A4F1B"/>
    <w:rsid w:val="3E377C66"/>
    <w:rsid w:val="3E416FEF"/>
    <w:rsid w:val="3E445308"/>
    <w:rsid w:val="3E797EE6"/>
    <w:rsid w:val="3E7A3D30"/>
    <w:rsid w:val="3E7C1AF4"/>
    <w:rsid w:val="3E7C2049"/>
    <w:rsid w:val="3E9230EE"/>
    <w:rsid w:val="3F032424"/>
    <w:rsid w:val="3F3D74FE"/>
    <w:rsid w:val="3F8D7760"/>
    <w:rsid w:val="40A42D86"/>
    <w:rsid w:val="40B630FB"/>
    <w:rsid w:val="40D6263E"/>
    <w:rsid w:val="412A4703"/>
    <w:rsid w:val="4142470A"/>
    <w:rsid w:val="41601281"/>
    <w:rsid w:val="4167659D"/>
    <w:rsid w:val="41F75237"/>
    <w:rsid w:val="42210A17"/>
    <w:rsid w:val="422D649A"/>
    <w:rsid w:val="42313D7C"/>
    <w:rsid w:val="42342826"/>
    <w:rsid w:val="42516B97"/>
    <w:rsid w:val="42855504"/>
    <w:rsid w:val="42B4566A"/>
    <w:rsid w:val="42B70124"/>
    <w:rsid w:val="42C228F6"/>
    <w:rsid w:val="42E63A08"/>
    <w:rsid w:val="43790A56"/>
    <w:rsid w:val="437C43A5"/>
    <w:rsid w:val="43813550"/>
    <w:rsid w:val="43A51B15"/>
    <w:rsid w:val="43BA23F9"/>
    <w:rsid w:val="44842D8F"/>
    <w:rsid w:val="44913DF1"/>
    <w:rsid w:val="44C133F5"/>
    <w:rsid w:val="44EB17AA"/>
    <w:rsid w:val="44F90A17"/>
    <w:rsid w:val="45026687"/>
    <w:rsid w:val="4536532D"/>
    <w:rsid w:val="45477F74"/>
    <w:rsid w:val="454E1875"/>
    <w:rsid w:val="459C2028"/>
    <w:rsid w:val="459C2AA4"/>
    <w:rsid w:val="460422BE"/>
    <w:rsid w:val="463A4797"/>
    <w:rsid w:val="4722377B"/>
    <w:rsid w:val="485D3B78"/>
    <w:rsid w:val="48690C5D"/>
    <w:rsid w:val="489F2FD7"/>
    <w:rsid w:val="48AA5649"/>
    <w:rsid w:val="48CB5D72"/>
    <w:rsid w:val="48D534CE"/>
    <w:rsid w:val="48FA66C3"/>
    <w:rsid w:val="4955408F"/>
    <w:rsid w:val="49CD07C6"/>
    <w:rsid w:val="49E91751"/>
    <w:rsid w:val="49F46C75"/>
    <w:rsid w:val="4A424639"/>
    <w:rsid w:val="4A84160E"/>
    <w:rsid w:val="4A955A81"/>
    <w:rsid w:val="4ADD3E8C"/>
    <w:rsid w:val="4B0359D7"/>
    <w:rsid w:val="4B413655"/>
    <w:rsid w:val="4B5D4FE9"/>
    <w:rsid w:val="4BB73C70"/>
    <w:rsid w:val="4C2939AC"/>
    <w:rsid w:val="4C5321CA"/>
    <w:rsid w:val="4C83051A"/>
    <w:rsid w:val="4CB14915"/>
    <w:rsid w:val="4CEF2B33"/>
    <w:rsid w:val="4D2D2201"/>
    <w:rsid w:val="4D376220"/>
    <w:rsid w:val="4D6D529A"/>
    <w:rsid w:val="4E1868DA"/>
    <w:rsid w:val="4E6F55D0"/>
    <w:rsid w:val="4EDB5209"/>
    <w:rsid w:val="4F292C38"/>
    <w:rsid w:val="4F7F146C"/>
    <w:rsid w:val="4FE47521"/>
    <w:rsid w:val="504C4452"/>
    <w:rsid w:val="50DD67A4"/>
    <w:rsid w:val="518076D6"/>
    <w:rsid w:val="51907961"/>
    <w:rsid w:val="51C8534D"/>
    <w:rsid w:val="52F21995"/>
    <w:rsid w:val="530969DC"/>
    <w:rsid w:val="53654E1D"/>
    <w:rsid w:val="537A08C9"/>
    <w:rsid w:val="53D61877"/>
    <w:rsid w:val="53EA7C0E"/>
    <w:rsid w:val="540B62BA"/>
    <w:rsid w:val="54B1054E"/>
    <w:rsid w:val="54C65448"/>
    <w:rsid w:val="54CF130E"/>
    <w:rsid w:val="54D10AAE"/>
    <w:rsid w:val="557C1FAA"/>
    <w:rsid w:val="55B00B2E"/>
    <w:rsid w:val="55C7682D"/>
    <w:rsid w:val="564F7095"/>
    <w:rsid w:val="57B36CE8"/>
    <w:rsid w:val="57DD6237"/>
    <w:rsid w:val="587B1537"/>
    <w:rsid w:val="58A73BA5"/>
    <w:rsid w:val="58C65E3A"/>
    <w:rsid w:val="591C2F49"/>
    <w:rsid w:val="591E67EE"/>
    <w:rsid w:val="597B5E90"/>
    <w:rsid w:val="59875B74"/>
    <w:rsid w:val="59AE2310"/>
    <w:rsid w:val="5A040EEC"/>
    <w:rsid w:val="5A382944"/>
    <w:rsid w:val="5A53777D"/>
    <w:rsid w:val="5A584D94"/>
    <w:rsid w:val="5A5F1706"/>
    <w:rsid w:val="5A9C402B"/>
    <w:rsid w:val="5AB20195"/>
    <w:rsid w:val="5AC239DB"/>
    <w:rsid w:val="5AD35BC6"/>
    <w:rsid w:val="5B180520"/>
    <w:rsid w:val="5B98218A"/>
    <w:rsid w:val="5BF31218"/>
    <w:rsid w:val="5C3134C9"/>
    <w:rsid w:val="5C8005D2"/>
    <w:rsid w:val="5D0C43C3"/>
    <w:rsid w:val="5D2B2C34"/>
    <w:rsid w:val="5D37780B"/>
    <w:rsid w:val="5D380EAD"/>
    <w:rsid w:val="5D7E4F37"/>
    <w:rsid w:val="5D8D03F8"/>
    <w:rsid w:val="5DB05192"/>
    <w:rsid w:val="5DBE386F"/>
    <w:rsid w:val="5E14440A"/>
    <w:rsid w:val="5E150134"/>
    <w:rsid w:val="5E9B238B"/>
    <w:rsid w:val="5E9D5C82"/>
    <w:rsid w:val="5EDB4B83"/>
    <w:rsid w:val="5F16167E"/>
    <w:rsid w:val="5F471EB7"/>
    <w:rsid w:val="5F561BEF"/>
    <w:rsid w:val="5F831C3E"/>
    <w:rsid w:val="60765F74"/>
    <w:rsid w:val="60882283"/>
    <w:rsid w:val="60965D54"/>
    <w:rsid w:val="60B719D8"/>
    <w:rsid w:val="60FA510C"/>
    <w:rsid w:val="61567F0E"/>
    <w:rsid w:val="61866A04"/>
    <w:rsid w:val="61B60BE2"/>
    <w:rsid w:val="61C4301C"/>
    <w:rsid w:val="61F427BE"/>
    <w:rsid w:val="62000E52"/>
    <w:rsid w:val="621912AD"/>
    <w:rsid w:val="625D7B84"/>
    <w:rsid w:val="627453FE"/>
    <w:rsid w:val="62C23638"/>
    <w:rsid w:val="62F82F7B"/>
    <w:rsid w:val="63251ED3"/>
    <w:rsid w:val="632E0D88"/>
    <w:rsid w:val="63B3313F"/>
    <w:rsid w:val="63CE4F4E"/>
    <w:rsid w:val="63FD5B1F"/>
    <w:rsid w:val="63FE0704"/>
    <w:rsid w:val="6421071D"/>
    <w:rsid w:val="64435DDF"/>
    <w:rsid w:val="646C240F"/>
    <w:rsid w:val="64AA6B34"/>
    <w:rsid w:val="64CF567C"/>
    <w:rsid w:val="6502023B"/>
    <w:rsid w:val="652D350D"/>
    <w:rsid w:val="65362BC8"/>
    <w:rsid w:val="65662C51"/>
    <w:rsid w:val="65B1376F"/>
    <w:rsid w:val="65B37C6A"/>
    <w:rsid w:val="65C85325"/>
    <w:rsid w:val="65D77D97"/>
    <w:rsid w:val="65DC4633"/>
    <w:rsid w:val="65F6550D"/>
    <w:rsid w:val="66061FEF"/>
    <w:rsid w:val="6622615E"/>
    <w:rsid w:val="662D2FA1"/>
    <w:rsid w:val="663761A5"/>
    <w:rsid w:val="66C342CC"/>
    <w:rsid w:val="66C93079"/>
    <w:rsid w:val="673E71C8"/>
    <w:rsid w:val="675709EE"/>
    <w:rsid w:val="677A0A3F"/>
    <w:rsid w:val="67955DD8"/>
    <w:rsid w:val="67AF7FBD"/>
    <w:rsid w:val="67B74CC9"/>
    <w:rsid w:val="67E03BA2"/>
    <w:rsid w:val="67E96750"/>
    <w:rsid w:val="68022E02"/>
    <w:rsid w:val="68053B0F"/>
    <w:rsid w:val="680E2F36"/>
    <w:rsid w:val="6841482B"/>
    <w:rsid w:val="685E210F"/>
    <w:rsid w:val="68695492"/>
    <w:rsid w:val="68855320"/>
    <w:rsid w:val="68CB6608"/>
    <w:rsid w:val="6916038E"/>
    <w:rsid w:val="694035C3"/>
    <w:rsid w:val="69407A67"/>
    <w:rsid w:val="69A81E4C"/>
    <w:rsid w:val="69FB3446"/>
    <w:rsid w:val="6A0F3C9B"/>
    <w:rsid w:val="6A2A062C"/>
    <w:rsid w:val="6A3F7D1E"/>
    <w:rsid w:val="6A8932E5"/>
    <w:rsid w:val="6A8D0FE2"/>
    <w:rsid w:val="6AB5024B"/>
    <w:rsid w:val="6B1D38FF"/>
    <w:rsid w:val="6B5C0E1D"/>
    <w:rsid w:val="6BDE2B6D"/>
    <w:rsid w:val="6C0D73EF"/>
    <w:rsid w:val="6C186677"/>
    <w:rsid w:val="6C4C04D0"/>
    <w:rsid w:val="6C7452ED"/>
    <w:rsid w:val="6CB14A9B"/>
    <w:rsid w:val="6CCD0B79"/>
    <w:rsid w:val="6CF546C4"/>
    <w:rsid w:val="6D561CDC"/>
    <w:rsid w:val="6D7C39E3"/>
    <w:rsid w:val="6DED47B9"/>
    <w:rsid w:val="6DFA6436"/>
    <w:rsid w:val="6E575C54"/>
    <w:rsid w:val="6EC8690F"/>
    <w:rsid w:val="6F1569D0"/>
    <w:rsid w:val="6F1A73A5"/>
    <w:rsid w:val="6F6525C2"/>
    <w:rsid w:val="6F6B7429"/>
    <w:rsid w:val="6F7C03AE"/>
    <w:rsid w:val="6FA04DBB"/>
    <w:rsid w:val="6FBF20FF"/>
    <w:rsid w:val="6FC3428C"/>
    <w:rsid w:val="6FC36CFC"/>
    <w:rsid w:val="6FE60C9F"/>
    <w:rsid w:val="70275259"/>
    <w:rsid w:val="702E1CE3"/>
    <w:rsid w:val="703B1627"/>
    <w:rsid w:val="703C4E07"/>
    <w:rsid w:val="70553DF8"/>
    <w:rsid w:val="706510B7"/>
    <w:rsid w:val="70DB4448"/>
    <w:rsid w:val="71263826"/>
    <w:rsid w:val="71282E0E"/>
    <w:rsid w:val="71720509"/>
    <w:rsid w:val="71B903B6"/>
    <w:rsid w:val="72225F5B"/>
    <w:rsid w:val="724C124B"/>
    <w:rsid w:val="726F5FDD"/>
    <w:rsid w:val="72A44BC2"/>
    <w:rsid w:val="72A526E9"/>
    <w:rsid w:val="72C526F1"/>
    <w:rsid w:val="72F27CB7"/>
    <w:rsid w:val="730C021F"/>
    <w:rsid w:val="730D7029"/>
    <w:rsid w:val="73353A6C"/>
    <w:rsid w:val="73385580"/>
    <w:rsid w:val="733C48D9"/>
    <w:rsid w:val="744E393E"/>
    <w:rsid w:val="7455788A"/>
    <w:rsid w:val="747D5293"/>
    <w:rsid w:val="74FD0060"/>
    <w:rsid w:val="750D41A2"/>
    <w:rsid w:val="753164B5"/>
    <w:rsid w:val="75605838"/>
    <w:rsid w:val="756B594D"/>
    <w:rsid w:val="75D31666"/>
    <w:rsid w:val="75E63744"/>
    <w:rsid w:val="75ED6880"/>
    <w:rsid w:val="763356B6"/>
    <w:rsid w:val="7675667D"/>
    <w:rsid w:val="76BE754D"/>
    <w:rsid w:val="776D5ECB"/>
    <w:rsid w:val="776E6C5C"/>
    <w:rsid w:val="77BA4E88"/>
    <w:rsid w:val="77C8782C"/>
    <w:rsid w:val="77E93077"/>
    <w:rsid w:val="77F64DA9"/>
    <w:rsid w:val="78472E09"/>
    <w:rsid w:val="784A7FBA"/>
    <w:rsid w:val="784F3822"/>
    <w:rsid w:val="785E4EF1"/>
    <w:rsid w:val="792B4A96"/>
    <w:rsid w:val="79420C91"/>
    <w:rsid w:val="79440EAD"/>
    <w:rsid w:val="79534C4C"/>
    <w:rsid w:val="797B7924"/>
    <w:rsid w:val="7A2B3E1B"/>
    <w:rsid w:val="7A3F6A24"/>
    <w:rsid w:val="7A8F38AA"/>
    <w:rsid w:val="7AFF08AD"/>
    <w:rsid w:val="7B08042F"/>
    <w:rsid w:val="7B4067C7"/>
    <w:rsid w:val="7B5B4DB0"/>
    <w:rsid w:val="7B686303"/>
    <w:rsid w:val="7BA6203D"/>
    <w:rsid w:val="7BAC6101"/>
    <w:rsid w:val="7BBB5F7C"/>
    <w:rsid w:val="7BD92A15"/>
    <w:rsid w:val="7C1E3C37"/>
    <w:rsid w:val="7C297292"/>
    <w:rsid w:val="7C2D4CD4"/>
    <w:rsid w:val="7C34038F"/>
    <w:rsid w:val="7C5F7D69"/>
    <w:rsid w:val="7C790E6E"/>
    <w:rsid w:val="7C86316D"/>
    <w:rsid w:val="7D0C3BC9"/>
    <w:rsid w:val="7D182DAE"/>
    <w:rsid w:val="7D2A660C"/>
    <w:rsid w:val="7D2B458E"/>
    <w:rsid w:val="7D5D42EC"/>
    <w:rsid w:val="7D6733BC"/>
    <w:rsid w:val="7D850E9F"/>
    <w:rsid w:val="7DCF4C14"/>
    <w:rsid w:val="7DD45E60"/>
    <w:rsid w:val="7DE91B49"/>
    <w:rsid w:val="7E0212A8"/>
    <w:rsid w:val="7E1846C0"/>
    <w:rsid w:val="7E327BA3"/>
    <w:rsid w:val="7E4B118D"/>
    <w:rsid w:val="7E504070"/>
    <w:rsid w:val="7E532241"/>
    <w:rsid w:val="7E5C4BFB"/>
    <w:rsid w:val="7EA53546"/>
    <w:rsid w:val="7F025B07"/>
    <w:rsid w:val="7F573E39"/>
    <w:rsid w:val="7F691D2C"/>
    <w:rsid w:val="7F7103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2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99"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qFormat="1" w:unhideWhenUsed="0" w:uiPriority="99" w:semiHidden="0" w:name="Table Grid"/>
    <w:lsdException w:unhideWhenUsed="0" w:uiPriority="0" w:semiHidden="0"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qFormat/>
    <w:uiPriority w:val="0"/>
    <w:pPr>
      <w:keepNext/>
      <w:keepLines/>
      <w:tabs>
        <w:tab w:val="left" w:pos="432"/>
      </w:tabs>
      <w:adjustRightInd w:val="0"/>
      <w:spacing w:before="340" w:after="330" w:line="578" w:lineRule="atLeast"/>
      <w:ind w:left="432" w:hanging="432"/>
      <w:textAlignment w:val="baseline"/>
      <w:outlineLvl w:val="0"/>
    </w:pPr>
    <w:rPr>
      <w:rFonts w:ascii="宋体"/>
      <w:b/>
      <w:bCs/>
      <w:kern w:val="44"/>
      <w:sz w:val="44"/>
      <w:szCs w:val="44"/>
    </w:rPr>
  </w:style>
  <w:style w:type="paragraph" w:styleId="5">
    <w:name w:val="heading 2"/>
    <w:basedOn w:val="1"/>
    <w:next w:val="1"/>
    <w:link w:val="48"/>
    <w:qFormat/>
    <w:uiPriority w:val="0"/>
    <w:pPr>
      <w:keepNext/>
      <w:keepLines/>
      <w:tabs>
        <w:tab w:val="left" w:pos="576"/>
      </w:tabs>
      <w:adjustRightInd w:val="0"/>
      <w:spacing w:before="260" w:after="260" w:line="416" w:lineRule="atLeast"/>
      <w:ind w:left="576" w:hanging="576"/>
      <w:textAlignment w:val="baseline"/>
      <w:outlineLvl w:val="1"/>
    </w:pPr>
    <w:rPr>
      <w:rFonts w:ascii="Arial" w:hAnsi="Arial" w:eastAsia="黑体"/>
      <w:b/>
      <w:bCs/>
      <w:kern w:val="0"/>
      <w:sz w:val="32"/>
      <w:szCs w:val="32"/>
    </w:rPr>
  </w:style>
  <w:style w:type="paragraph" w:styleId="6">
    <w:name w:val="heading 3"/>
    <w:basedOn w:val="1"/>
    <w:next w:val="1"/>
    <w:link w:val="52"/>
    <w:qFormat/>
    <w:uiPriority w:val="0"/>
    <w:pPr>
      <w:keepNext/>
      <w:keepLines/>
      <w:tabs>
        <w:tab w:val="left" w:pos="720"/>
      </w:tabs>
      <w:adjustRightInd w:val="0"/>
      <w:spacing w:before="260" w:after="260" w:line="416" w:lineRule="atLeast"/>
      <w:ind w:left="720" w:hanging="720"/>
      <w:textAlignment w:val="baseline"/>
      <w:outlineLvl w:val="2"/>
    </w:pPr>
    <w:rPr>
      <w:rFonts w:ascii="宋体"/>
      <w:b/>
      <w:bCs/>
      <w:kern w:val="0"/>
      <w:sz w:val="32"/>
      <w:szCs w:val="32"/>
    </w:rPr>
  </w:style>
  <w:style w:type="paragraph" w:styleId="7">
    <w:name w:val="heading 4"/>
    <w:basedOn w:val="1"/>
    <w:next w:val="8"/>
    <w:qFormat/>
    <w:uiPriority w:val="0"/>
    <w:pPr>
      <w:keepNext/>
      <w:keepLines/>
      <w:tabs>
        <w:tab w:val="left" w:pos="864"/>
      </w:tabs>
      <w:adjustRightInd w:val="0"/>
      <w:spacing w:line="360" w:lineRule="auto"/>
      <w:ind w:left="864" w:hanging="864"/>
      <w:jc w:val="left"/>
      <w:textAlignment w:val="baseline"/>
      <w:outlineLvl w:val="3"/>
    </w:pPr>
    <w:rPr>
      <w:rFonts w:ascii="Arial" w:hAnsi="Arial"/>
      <w:b/>
      <w:kern w:val="0"/>
      <w:sz w:val="24"/>
      <w:szCs w:val="20"/>
    </w:rPr>
  </w:style>
  <w:style w:type="paragraph" w:styleId="9">
    <w:name w:val="heading 5"/>
    <w:basedOn w:val="1"/>
    <w:next w:val="1"/>
    <w:link w:val="76"/>
    <w:semiHidden/>
    <w:unhideWhenUsed/>
    <w:qFormat/>
    <w:uiPriority w:val="0"/>
    <w:pPr>
      <w:keepNext/>
      <w:keepLines/>
      <w:spacing w:before="280" w:after="290" w:line="376" w:lineRule="auto"/>
      <w:outlineLvl w:val="4"/>
    </w:pPr>
    <w:rPr>
      <w:b/>
      <w:bCs/>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customStyle="1" w:styleId="2">
    <w:name w:val="Default"/>
    <w:basedOn w:val="3"/>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
    <w:name w:val="批注文字1"/>
    <w:qFormat/>
    <w:uiPriority w:val="0"/>
    <w:pPr>
      <w:widowControl w:val="0"/>
    </w:pPr>
    <w:rPr>
      <w:rFonts w:ascii="Times New Roman" w:hAnsi="Times New Roman" w:eastAsia="宋体" w:cs="Times New Roman"/>
      <w:color w:val="000000"/>
      <w:kern w:val="2"/>
      <w:sz w:val="21"/>
      <w:szCs w:val="24"/>
      <w:lang w:val="en-US" w:eastAsia="zh-CN" w:bidi="ar-SA"/>
    </w:rPr>
  </w:style>
  <w:style w:type="paragraph" w:styleId="8">
    <w:name w:val="Normal Indent"/>
    <w:basedOn w:val="1"/>
    <w:link w:val="50"/>
    <w:qFormat/>
    <w:uiPriority w:val="0"/>
    <w:pPr>
      <w:ind w:firstLine="420" w:firstLineChars="200"/>
    </w:pPr>
  </w:style>
  <w:style w:type="paragraph" w:styleId="10">
    <w:name w:val="toc 7"/>
    <w:basedOn w:val="1"/>
    <w:next w:val="1"/>
    <w:unhideWhenUsed/>
    <w:qFormat/>
    <w:uiPriority w:val="39"/>
    <w:pPr>
      <w:ind w:left="2520" w:leftChars="1200"/>
    </w:pPr>
    <w:rPr>
      <w:rFonts w:ascii="Calibri" w:hAnsi="Calibri"/>
      <w:szCs w:val="22"/>
    </w:rPr>
  </w:style>
  <w:style w:type="paragraph" w:styleId="11">
    <w:name w:val="annotation text"/>
    <w:basedOn w:val="1"/>
    <w:semiHidden/>
    <w:qFormat/>
    <w:uiPriority w:val="0"/>
    <w:pPr>
      <w:jc w:val="left"/>
    </w:pPr>
  </w:style>
  <w:style w:type="paragraph" w:styleId="12">
    <w:name w:val="Body Text"/>
    <w:basedOn w:val="1"/>
    <w:link w:val="42"/>
    <w:qFormat/>
    <w:uiPriority w:val="0"/>
    <w:pPr>
      <w:widowControl/>
      <w:jc w:val="center"/>
      <w:outlineLvl w:val="0"/>
    </w:pPr>
    <w:rPr>
      <w:kern w:val="0"/>
      <w:sz w:val="24"/>
      <w:szCs w:val="20"/>
    </w:rPr>
  </w:style>
  <w:style w:type="paragraph" w:styleId="13">
    <w:name w:val="Body Text Indent"/>
    <w:basedOn w:val="1"/>
    <w:link w:val="72"/>
    <w:qFormat/>
    <w:uiPriority w:val="0"/>
    <w:pPr>
      <w:spacing w:after="120"/>
      <w:ind w:left="420" w:leftChars="200"/>
    </w:pPr>
  </w:style>
  <w:style w:type="paragraph" w:styleId="14">
    <w:name w:val="toc 5"/>
    <w:basedOn w:val="1"/>
    <w:next w:val="1"/>
    <w:unhideWhenUsed/>
    <w:qFormat/>
    <w:uiPriority w:val="39"/>
    <w:pPr>
      <w:ind w:left="1680" w:leftChars="800"/>
    </w:pPr>
    <w:rPr>
      <w:rFonts w:ascii="Calibri" w:hAnsi="Calibri"/>
      <w:szCs w:val="22"/>
    </w:rPr>
  </w:style>
  <w:style w:type="paragraph" w:styleId="15">
    <w:name w:val="toc 3"/>
    <w:basedOn w:val="1"/>
    <w:next w:val="1"/>
    <w:qFormat/>
    <w:uiPriority w:val="39"/>
    <w:pPr>
      <w:ind w:left="840" w:leftChars="400"/>
    </w:pPr>
  </w:style>
  <w:style w:type="paragraph" w:styleId="16">
    <w:name w:val="Plain Text"/>
    <w:basedOn w:val="1"/>
    <w:link w:val="51"/>
    <w:qFormat/>
    <w:uiPriority w:val="0"/>
    <w:rPr>
      <w:rFonts w:ascii="宋体" w:hAnsi="Courier New"/>
      <w:szCs w:val="20"/>
    </w:rPr>
  </w:style>
  <w:style w:type="paragraph" w:styleId="17">
    <w:name w:val="toc 8"/>
    <w:basedOn w:val="1"/>
    <w:next w:val="1"/>
    <w:unhideWhenUsed/>
    <w:qFormat/>
    <w:uiPriority w:val="39"/>
    <w:pPr>
      <w:ind w:left="2940" w:leftChars="1400"/>
    </w:pPr>
    <w:rPr>
      <w:rFonts w:ascii="Calibri" w:hAnsi="Calibri"/>
      <w:szCs w:val="22"/>
    </w:rPr>
  </w:style>
  <w:style w:type="paragraph" w:styleId="18">
    <w:name w:val="Date"/>
    <w:basedOn w:val="1"/>
    <w:next w:val="1"/>
    <w:qFormat/>
    <w:uiPriority w:val="0"/>
    <w:pPr>
      <w:ind w:left="100" w:leftChars="2500"/>
    </w:pPr>
  </w:style>
  <w:style w:type="paragraph" w:styleId="19">
    <w:name w:val="Body Text Indent 2"/>
    <w:basedOn w:val="1"/>
    <w:link w:val="44"/>
    <w:qFormat/>
    <w:uiPriority w:val="0"/>
    <w:pPr>
      <w:spacing w:after="120" w:line="480" w:lineRule="auto"/>
      <w:ind w:left="420" w:leftChars="200"/>
    </w:pPr>
  </w:style>
  <w:style w:type="paragraph" w:styleId="20">
    <w:name w:val="Balloon Text"/>
    <w:basedOn w:val="1"/>
    <w:semiHidden/>
    <w:qFormat/>
    <w:uiPriority w:val="0"/>
    <w:rPr>
      <w:sz w:val="18"/>
      <w:szCs w:val="18"/>
    </w:rPr>
  </w:style>
  <w:style w:type="paragraph" w:styleId="21">
    <w:name w:val="footer"/>
    <w:basedOn w:val="1"/>
    <w:link w:val="45"/>
    <w:qFormat/>
    <w:uiPriority w:val="99"/>
    <w:pPr>
      <w:tabs>
        <w:tab w:val="center" w:pos="4153"/>
        <w:tab w:val="right" w:pos="8306"/>
      </w:tabs>
      <w:snapToGrid w:val="0"/>
      <w:jc w:val="left"/>
    </w:pPr>
    <w:rPr>
      <w:sz w:val="18"/>
      <w:szCs w:val="18"/>
    </w:rPr>
  </w:style>
  <w:style w:type="paragraph" w:styleId="22">
    <w:name w:val="header"/>
    <w:basedOn w:val="1"/>
    <w:link w:val="73"/>
    <w:qFormat/>
    <w:uiPriority w:val="99"/>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tabs>
        <w:tab w:val="left" w:pos="240"/>
        <w:tab w:val="right" w:leader="dot" w:pos="8302"/>
      </w:tabs>
      <w:jc w:val="center"/>
    </w:pPr>
    <w:rPr>
      <w:sz w:val="30"/>
      <w:szCs w:val="30"/>
    </w:rPr>
  </w:style>
  <w:style w:type="paragraph" w:styleId="24">
    <w:name w:val="toc 4"/>
    <w:basedOn w:val="1"/>
    <w:next w:val="1"/>
    <w:unhideWhenUsed/>
    <w:qFormat/>
    <w:uiPriority w:val="39"/>
    <w:pPr>
      <w:ind w:left="1260" w:leftChars="600"/>
    </w:pPr>
    <w:rPr>
      <w:rFonts w:ascii="Calibri" w:hAnsi="Calibri"/>
      <w:szCs w:val="22"/>
    </w:rPr>
  </w:style>
  <w:style w:type="paragraph" w:styleId="25">
    <w:name w:val="toc 6"/>
    <w:basedOn w:val="1"/>
    <w:next w:val="1"/>
    <w:unhideWhenUsed/>
    <w:qFormat/>
    <w:uiPriority w:val="39"/>
    <w:pPr>
      <w:ind w:left="2100" w:leftChars="1000"/>
    </w:pPr>
    <w:rPr>
      <w:rFonts w:ascii="Calibri" w:hAnsi="Calibri"/>
      <w:szCs w:val="22"/>
    </w:rPr>
  </w:style>
  <w:style w:type="paragraph" w:styleId="26">
    <w:name w:val="toc 2"/>
    <w:basedOn w:val="1"/>
    <w:next w:val="1"/>
    <w:qFormat/>
    <w:uiPriority w:val="39"/>
    <w:pPr>
      <w:tabs>
        <w:tab w:val="right" w:leader="dot" w:pos="8302"/>
      </w:tabs>
      <w:spacing w:line="340" w:lineRule="exact"/>
      <w:ind w:left="420" w:leftChars="200"/>
    </w:pPr>
  </w:style>
  <w:style w:type="paragraph" w:styleId="27">
    <w:name w:val="toc 9"/>
    <w:basedOn w:val="1"/>
    <w:next w:val="1"/>
    <w:unhideWhenUsed/>
    <w:qFormat/>
    <w:uiPriority w:val="39"/>
    <w:pPr>
      <w:ind w:left="3360" w:leftChars="1600"/>
    </w:pPr>
    <w:rPr>
      <w:rFonts w:ascii="Calibri" w:hAnsi="Calibri"/>
      <w:szCs w:val="22"/>
    </w:rPr>
  </w:style>
  <w:style w:type="paragraph" w:styleId="28">
    <w:name w:val="HTML Preformatted"/>
    <w:basedOn w:val="1"/>
    <w:link w:val="67"/>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9">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30">
    <w:name w:val="annotation subject"/>
    <w:basedOn w:val="11"/>
    <w:next w:val="11"/>
    <w:link w:val="82"/>
    <w:qFormat/>
    <w:uiPriority w:val="0"/>
    <w:rPr>
      <w:b/>
      <w:bCs/>
    </w:rPr>
  </w:style>
  <w:style w:type="paragraph" w:styleId="31">
    <w:name w:val="Body Text First Indent"/>
    <w:basedOn w:val="12"/>
    <w:link w:val="43"/>
    <w:qFormat/>
    <w:uiPriority w:val="0"/>
    <w:pPr>
      <w:widowControl w:val="0"/>
      <w:spacing w:after="120"/>
      <w:ind w:firstLine="420" w:firstLineChars="100"/>
      <w:jc w:val="both"/>
      <w:outlineLvl w:val="9"/>
    </w:pPr>
    <w:rPr>
      <w:kern w:val="2"/>
      <w:sz w:val="21"/>
      <w:szCs w:val="24"/>
    </w:rPr>
  </w:style>
  <w:style w:type="table" w:styleId="33">
    <w:name w:val="Table Grid"/>
    <w:basedOn w:val="32"/>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5">
    <w:name w:val="Strong"/>
    <w:qFormat/>
    <w:uiPriority w:val="0"/>
    <w:rPr>
      <w:b/>
      <w:bCs/>
    </w:rPr>
  </w:style>
  <w:style w:type="character" w:styleId="36">
    <w:name w:val="page number"/>
    <w:basedOn w:val="34"/>
    <w:qFormat/>
    <w:uiPriority w:val="0"/>
  </w:style>
  <w:style w:type="character" w:styleId="37">
    <w:name w:val="Emphasis"/>
    <w:qFormat/>
    <w:uiPriority w:val="20"/>
    <w:rPr>
      <w:i/>
      <w:iCs/>
    </w:rPr>
  </w:style>
  <w:style w:type="character" w:styleId="38">
    <w:name w:val="Hyperlink"/>
    <w:qFormat/>
    <w:uiPriority w:val="99"/>
    <w:rPr>
      <w:color w:val="0000FF"/>
      <w:u w:val="single"/>
    </w:rPr>
  </w:style>
  <w:style w:type="character" w:styleId="39">
    <w:name w:val="annotation reference"/>
    <w:semiHidden/>
    <w:qFormat/>
    <w:uiPriority w:val="0"/>
    <w:rPr>
      <w:sz w:val="21"/>
      <w:szCs w:val="21"/>
    </w:rPr>
  </w:style>
  <w:style w:type="character" w:customStyle="1" w:styleId="40">
    <w:name w:val="样式1 Char"/>
    <w:link w:val="41"/>
    <w:qFormat/>
    <w:uiPriority w:val="0"/>
    <w:rPr>
      <w:rFonts w:ascii="仿宋_GB2312" w:hAnsi="仿宋_GB2312" w:eastAsia="仿宋_GB2312"/>
      <w:kern w:val="2"/>
      <w:sz w:val="28"/>
      <w:szCs w:val="28"/>
    </w:rPr>
  </w:style>
  <w:style w:type="paragraph" w:customStyle="1" w:styleId="41">
    <w:name w:val="样式1"/>
    <w:basedOn w:val="1"/>
    <w:link w:val="40"/>
    <w:qFormat/>
    <w:uiPriority w:val="0"/>
    <w:pPr>
      <w:spacing w:line="480" w:lineRule="exact"/>
      <w:ind w:firstLine="524" w:firstLineChars="187"/>
    </w:pPr>
    <w:rPr>
      <w:rFonts w:ascii="仿宋_GB2312" w:hAnsi="仿宋_GB2312" w:eastAsia="仿宋_GB2312"/>
      <w:sz w:val="28"/>
      <w:szCs w:val="28"/>
    </w:rPr>
  </w:style>
  <w:style w:type="character" w:customStyle="1" w:styleId="42">
    <w:name w:val="正文文本 Char"/>
    <w:link w:val="12"/>
    <w:qFormat/>
    <w:uiPriority w:val="0"/>
    <w:rPr>
      <w:rFonts w:eastAsia="宋体"/>
      <w:sz w:val="24"/>
      <w:lang w:val="en-US" w:eastAsia="zh-CN" w:bidi="ar-SA"/>
    </w:rPr>
  </w:style>
  <w:style w:type="character" w:customStyle="1" w:styleId="43">
    <w:name w:val="正文首行缩进 Char"/>
    <w:link w:val="31"/>
    <w:qFormat/>
    <w:uiPriority w:val="0"/>
    <w:rPr>
      <w:rFonts w:eastAsia="宋体"/>
      <w:kern w:val="2"/>
      <w:sz w:val="21"/>
      <w:szCs w:val="24"/>
      <w:lang w:val="en-US" w:eastAsia="zh-CN" w:bidi="ar-SA"/>
    </w:rPr>
  </w:style>
  <w:style w:type="character" w:customStyle="1" w:styleId="44">
    <w:name w:val="正文文本缩进 2 Char"/>
    <w:link w:val="19"/>
    <w:qFormat/>
    <w:uiPriority w:val="0"/>
    <w:rPr>
      <w:kern w:val="2"/>
      <w:sz w:val="21"/>
      <w:szCs w:val="24"/>
    </w:rPr>
  </w:style>
  <w:style w:type="character" w:customStyle="1" w:styleId="45">
    <w:name w:val="页脚 Char"/>
    <w:link w:val="21"/>
    <w:qFormat/>
    <w:uiPriority w:val="99"/>
    <w:rPr>
      <w:kern w:val="2"/>
      <w:sz w:val="18"/>
      <w:szCs w:val="18"/>
    </w:rPr>
  </w:style>
  <w:style w:type="character" w:customStyle="1" w:styleId="46">
    <w:name w:val="小标题 Char Char"/>
    <w:link w:val="47"/>
    <w:qFormat/>
    <w:uiPriority w:val="0"/>
    <w:rPr>
      <w:rFonts w:eastAsia="宋体"/>
      <w:b/>
      <w:kern w:val="2"/>
      <w:sz w:val="24"/>
      <w:szCs w:val="24"/>
      <w:lang w:val="en-US" w:eastAsia="zh-CN" w:bidi="ar-SA"/>
    </w:rPr>
  </w:style>
  <w:style w:type="paragraph" w:customStyle="1" w:styleId="47">
    <w:name w:val="小标题"/>
    <w:basedOn w:val="1"/>
    <w:link w:val="46"/>
    <w:qFormat/>
    <w:uiPriority w:val="0"/>
    <w:pPr>
      <w:spacing w:beforeLines="50" w:afterLines="50" w:line="360" w:lineRule="auto"/>
    </w:pPr>
    <w:rPr>
      <w:b/>
      <w:sz w:val="24"/>
    </w:rPr>
  </w:style>
  <w:style w:type="character" w:customStyle="1" w:styleId="48">
    <w:name w:val="标题 2 Char"/>
    <w:link w:val="5"/>
    <w:qFormat/>
    <w:uiPriority w:val="0"/>
    <w:rPr>
      <w:rFonts w:ascii="Arial" w:hAnsi="Arial" w:eastAsia="黑体"/>
      <w:b/>
      <w:bCs/>
      <w:sz w:val="32"/>
      <w:szCs w:val="32"/>
    </w:rPr>
  </w:style>
  <w:style w:type="character" w:customStyle="1" w:styleId="49">
    <w:name w:val="gray"/>
    <w:basedOn w:val="34"/>
    <w:qFormat/>
    <w:uiPriority w:val="0"/>
  </w:style>
  <w:style w:type="character" w:customStyle="1" w:styleId="50">
    <w:name w:val="正文缩进 Char"/>
    <w:link w:val="8"/>
    <w:qFormat/>
    <w:uiPriority w:val="0"/>
    <w:rPr>
      <w:kern w:val="2"/>
      <w:sz w:val="21"/>
      <w:szCs w:val="24"/>
    </w:rPr>
  </w:style>
  <w:style w:type="character" w:customStyle="1" w:styleId="51">
    <w:name w:val="纯文本 Char"/>
    <w:link w:val="16"/>
    <w:qFormat/>
    <w:uiPriority w:val="0"/>
    <w:rPr>
      <w:rFonts w:ascii="宋体" w:hAnsi="Courier New" w:eastAsia="宋体"/>
      <w:kern w:val="2"/>
      <w:sz w:val="21"/>
      <w:lang w:val="en-US" w:eastAsia="zh-CN" w:bidi="ar-SA"/>
    </w:rPr>
  </w:style>
  <w:style w:type="character" w:customStyle="1" w:styleId="52">
    <w:name w:val="标题 3 Char"/>
    <w:link w:val="6"/>
    <w:qFormat/>
    <w:uiPriority w:val="0"/>
    <w:rPr>
      <w:rFonts w:ascii="宋体"/>
      <w:b/>
      <w:bCs/>
      <w:sz w:val="32"/>
      <w:szCs w:val="32"/>
    </w:rPr>
  </w:style>
  <w:style w:type="character" w:customStyle="1" w:styleId="53">
    <w:name w:val="应急预案正文 Char"/>
    <w:link w:val="54"/>
    <w:qFormat/>
    <w:uiPriority w:val="0"/>
    <w:rPr>
      <w:rFonts w:ascii="仿宋" w:hAnsi="仿宋" w:eastAsia="仿宋"/>
      <w:sz w:val="28"/>
      <w:szCs w:val="28"/>
      <w:lang w:val="en-US" w:eastAsia="zh-CN" w:bidi="ar-SA"/>
    </w:rPr>
  </w:style>
  <w:style w:type="paragraph" w:customStyle="1" w:styleId="54">
    <w:name w:val="应急预案正文"/>
    <w:basedOn w:val="1"/>
    <w:link w:val="53"/>
    <w:qFormat/>
    <w:uiPriority w:val="0"/>
    <w:pPr>
      <w:spacing w:beforeLines="50" w:line="360" w:lineRule="auto"/>
      <w:ind w:firstLine="560" w:firstLineChars="200"/>
    </w:pPr>
    <w:rPr>
      <w:rFonts w:ascii="仿宋" w:hAnsi="仿宋" w:eastAsia="仿宋"/>
      <w:kern w:val="0"/>
      <w:sz w:val="28"/>
      <w:szCs w:val="28"/>
    </w:rPr>
  </w:style>
  <w:style w:type="character" w:customStyle="1" w:styleId="55">
    <w:name w:val="apple-converted-space"/>
    <w:basedOn w:val="34"/>
    <w:qFormat/>
    <w:uiPriority w:val="0"/>
  </w:style>
  <w:style w:type="paragraph" w:customStyle="1" w:styleId="56">
    <w:name w:val="修订1"/>
    <w:semiHidden/>
    <w:qFormat/>
    <w:uiPriority w:val="99"/>
    <w:rPr>
      <w:rFonts w:ascii="Times New Roman" w:hAnsi="Times New Roman" w:eastAsia="宋体" w:cs="Times New Roman"/>
      <w:kern w:val="2"/>
      <w:sz w:val="21"/>
      <w:szCs w:val="24"/>
      <w:lang w:val="en-US" w:eastAsia="zh-CN" w:bidi="ar-SA"/>
    </w:rPr>
  </w:style>
  <w:style w:type="paragraph" w:customStyle="1" w:styleId="57">
    <w:name w:val="1"/>
    <w:basedOn w:val="1"/>
    <w:next w:val="16"/>
    <w:qFormat/>
    <w:uiPriority w:val="0"/>
    <w:rPr>
      <w:rFonts w:ascii="宋体" w:hAnsi="Courier New"/>
      <w:szCs w:val="20"/>
    </w:rPr>
  </w:style>
  <w:style w:type="paragraph" w:customStyle="1" w:styleId="58">
    <w:name w:val="样式 首行缩进:  2 字符2"/>
    <w:basedOn w:val="1"/>
    <w:qFormat/>
    <w:uiPriority w:val="0"/>
    <w:pPr>
      <w:spacing w:line="360" w:lineRule="auto"/>
      <w:ind w:firstLine="482" w:firstLineChars="200"/>
    </w:pPr>
    <w:rPr>
      <w:rFonts w:ascii="宋体" w:hAnsi="宋体" w:cs="宋体"/>
      <w:b/>
      <w:sz w:val="24"/>
      <w:szCs w:val="20"/>
    </w:rPr>
  </w:style>
  <w:style w:type="paragraph" w:customStyle="1" w:styleId="59">
    <w:name w:val="wangjunbo.bullet"/>
    <w:basedOn w:val="1"/>
    <w:qFormat/>
    <w:uiPriority w:val="0"/>
    <w:pPr>
      <w:jc w:val="center"/>
    </w:pPr>
    <w:rPr>
      <w:szCs w:val="20"/>
    </w:rPr>
  </w:style>
  <w:style w:type="paragraph" w:customStyle="1" w:styleId="60">
    <w:name w:val="标准"/>
    <w:basedOn w:val="1"/>
    <w:qFormat/>
    <w:uiPriority w:val="0"/>
    <w:pPr>
      <w:adjustRightInd w:val="0"/>
      <w:jc w:val="center"/>
    </w:pPr>
    <w:rPr>
      <w:rFonts w:hint="eastAsia" w:ascii="宋体"/>
      <w:spacing w:val="20"/>
      <w:kern w:val="0"/>
      <w:sz w:val="24"/>
      <w:szCs w:val="20"/>
    </w:rPr>
  </w:style>
  <w:style w:type="paragraph" w:customStyle="1" w:styleId="61">
    <w:name w:val="样式 首行缩进:  2 字符3"/>
    <w:basedOn w:val="1"/>
    <w:qFormat/>
    <w:uiPriority w:val="0"/>
    <w:pPr>
      <w:spacing w:line="360" w:lineRule="auto"/>
      <w:ind w:firstLine="480" w:firstLineChars="200"/>
    </w:pPr>
    <w:rPr>
      <w:rFonts w:ascii="宋体" w:hAnsi="宋体" w:cs="宋体"/>
      <w:sz w:val="24"/>
      <w:szCs w:val="20"/>
    </w:rPr>
  </w:style>
  <w:style w:type="paragraph" w:customStyle="1" w:styleId="62">
    <w:name w:val="样式 样式 标题 3ReHead 3 WSAh3H3B Head条标题1.1.1SectionH31H32H33... + 首行..."/>
    <w:basedOn w:val="1"/>
    <w:qFormat/>
    <w:uiPriority w:val="0"/>
    <w:pPr>
      <w:keepNext/>
      <w:keepLines/>
      <w:widowControl/>
      <w:spacing w:before="120" w:line="360" w:lineRule="auto"/>
      <w:jc w:val="left"/>
      <w:outlineLvl w:val="2"/>
    </w:pPr>
    <w:rPr>
      <w:rFonts w:ascii="Calibri Light" w:hAnsi="Calibri Light" w:cs="宋体"/>
      <w:b/>
      <w:bCs/>
      <w:kern w:val="0"/>
      <w:sz w:val="28"/>
      <w:szCs w:val="20"/>
    </w:rPr>
  </w:style>
  <w:style w:type="paragraph" w:customStyle="1" w:styleId="63">
    <w:name w:val="样式 首行缩进:  2 字符6"/>
    <w:basedOn w:val="1"/>
    <w:qFormat/>
    <w:uiPriority w:val="0"/>
    <w:pPr>
      <w:spacing w:line="360" w:lineRule="auto"/>
      <w:ind w:firstLine="482" w:firstLineChars="200"/>
    </w:pPr>
    <w:rPr>
      <w:rFonts w:ascii="宋体" w:hAnsi="宋体" w:cs="宋体"/>
      <w:b/>
      <w:sz w:val="24"/>
      <w:szCs w:val="20"/>
    </w:rPr>
  </w:style>
  <w:style w:type="paragraph" w:customStyle="1" w:styleId="64">
    <w:name w:val="Char Char Char Char"/>
    <w:basedOn w:val="1"/>
    <w:qFormat/>
    <w:uiPriority w:val="0"/>
  </w:style>
  <w:style w:type="paragraph" w:styleId="65">
    <w:name w:val="List Paragraph"/>
    <w:basedOn w:val="1"/>
    <w:qFormat/>
    <w:uiPriority w:val="34"/>
    <w:pPr>
      <w:ind w:firstLine="420" w:firstLineChars="200"/>
    </w:pPr>
  </w:style>
  <w:style w:type="paragraph" w:customStyle="1" w:styleId="66">
    <w:name w:val="reader-word-layer"/>
    <w:basedOn w:val="1"/>
    <w:qFormat/>
    <w:uiPriority w:val="0"/>
    <w:pPr>
      <w:widowControl/>
      <w:spacing w:before="100" w:beforeAutospacing="1" w:after="100" w:afterAutospacing="1"/>
      <w:jc w:val="left"/>
    </w:pPr>
    <w:rPr>
      <w:rFonts w:ascii="宋体" w:hAnsi="宋体" w:cs="宋体"/>
      <w:kern w:val="0"/>
      <w:sz w:val="24"/>
    </w:rPr>
  </w:style>
  <w:style w:type="character" w:customStyle="1" w:styleId="67">
    <w:name w:val="HTML 预设格式 Char"/>
    <w:basedOn w:val="34"/>
    <w:link w:val="28"/>
    <w:qFormat/>
    <w:uiPriority w:val="99"/>
    <w:rPr>
      <w:rFonts w:ascii="宋体" w:hAnsi="宋体" w:cs="宋体"/>
      <w:sz w:val="24"/>
      <w:szCs w:val="24"/>
    </w:rPr>
  </w:style>
  <w:style w:type="paragraph" w:customStyle="1" w:styleId="68">
    <w:name w:val="表内5S"/>
    <w:basedOn w:val="1"/>
    <w:qFormat/>
    <w:uiPriority w:val="0"/>
    <w:pPr>
      <w:spacing w:line="300" w:lineRule="atLeast"/>
      <w:jc w:val="center"/>
    </w:pPr>
    <w:rPr>
      <w:rFonts w:eastAsia="方正宋三简体"/>
      <w:szCs w:val="20"/>
    </w:rPr>
  </w:style>
  <w:style w:type="paragraph" w:customStyle="1" w:styleId="69">
    <w:name w:val="表格标题"/>
    <w:basedOn w:val="1"/>
    <w:qFormat/>
    <w:uiPriority w:val="0"/>
    <w:pPr>
      <w:spacing w:before="60" w:line="460" w:lineRule="exact"/>
      <w:jc w:val="center"/>
    </w:pPr>
    <w:rPr>
      <w:rFonts w:ascii="Arial" w:hAnsi="Arial"/>
      <w:sz w:val="24"/>
      <w:szCs w:val="20"/>
    </w:rPr>
  </w:style>
  <w:style w:type="paragraph" w:customStyle="1" w:styleId="70">
    <w:name w:val="表格内容"/>
    <w:basedOn w:val="1"/>
    <w:link w:val="71"/>
    <w:qFormat/>
    <w:uiPriority w:val="0"/>
    <w:pPr>
      <w:overflowPunct w:val="0"/>
      <w:adjustRightInd w:val="0"/>
      <w:spacing w:before="40" w:after="60" w:line="200" w:lineRule="atLeast"/>
      <w:textAlignment w:val="baseline"/>
    </w:pPr>
    <w:rPr>
      <w:kern w:val="0"/>
      <w:sz w:val="24"/>
      <w:szCs w:val="20"/>
    </w:rPr>
  </w:style>
  <w:style w:type="character" w:customStyle="1" w:styleId="71">
    <w:name w:val="表格内容 Char"/>
    <w:link w:val="70"/>
    <w:qFormat/>
    <w:uiPriority w:val="0"/>
    <w:rPr>
      <w:sz w:val="24"/>
    </w:rPr>
  </w:style>
  <w:style w:type="character" w:customStyle="1" w:styleId="72">
    <w:name w:val="正文文本缩进 Char"/>
    <w:basedOn w:val="34"/>
    <w:link w:val="13"/>
    <w:qFormat/>
    <w:uiPriority w:val="0"/>
    <w:rPr>
      <w:kern w:val="2"/>
      <w:sz w:val="21"/>
      <w:szCs w:val="24"/>
    </w:rPr>
  </w:style>
  <w:style w:type="character" w:customStyle="1" w:styleId="73">
    <w:name w:val="页眉 Char"/>
    <w:basedOn w:val="34"/>
    <w:link w:val="22"/>
    <w:qFormat/>
    <w:uiPriority w:val="99"/>
    <w:rPr>
      <w:kern w:val="2"/>
      <w:sz w:val="18"/>
      <w:szCs w:val="18"/>
    </w:rPr>
  </w:style>
  <w:style w:type="paragraph" w:customStyle="1" w:styleId="74">
    <w:name w:val="Table Paragraph"/>
    <w:basedOn w:val="1"/>
    <w:qFormat/>
    <w:uiPriority w:val="1"/>
    <w:pPr>
      <w:jc w:val="left"/>
    </w:pPr>
    <w:rPr>
      <w:rFonts w:ascii="Calibri" w:hAnsi="Calibri"/>
      <w:kern w:val="0"/>
      <w:sz w:val="22"/>
      <w:szCs w:val="22"/>
      <w:lang w:eastAsia="en-US"/>
    </w:rPr>
  </w:style>
  <w:style w:type="character" w:styleId="75">
    <w:name w:val="Placeholder Text"/>
    <w:basedOn w:val="34"/>
    <w:unhideWhenUsed/>
    <w:qFormat/>
    <w:uiPriority w:val="99"/>
    <w:rPr>
      <w:color w:val="808080"/>
    </w:rPr>
  </w:style>
  <w:style w:type="character" w:customStyle="1" w:styleId="76">
    <w:name w:val="标题 5 Char"/>
    <w:basedOn w:val="34"/>
    <w:link w:val="9"/>
    <w:semiHidden/>
    <w:qFormat/>
    <w:uiPriority w:val="0"/>
    <w:rPr>
      <w:b/>
      <w:bCs/>
      <w:kern w:val="2"/>
      <w:sz w:val="28"/>
      <w:szCs w:val="28"/>
    </w:rPr>
  </w:style>
  <w:style w:type="paragraph" w:customStyle="1" w:styleId="77">
    <w:name w:val="正文_0"/>
    <w:qFormat/>
    <w:uiPriority w:val="0"/>
    <w:pPr>
      <w:widowControl w:val="0"/>
      <w:jc w:val="both"/>
    </w:pPr>
    <w:rPr>
      <w:rFonts w:ascii="Times New Roman" w:hAnsi="Times New Roman" w:eastAsia="宋体" w:cs="Times New Roman"/>
      <w:kern w:val="2"/>
      <w:sz w:val="21"/>
      <w:szCs w:val="24"/>
      <w:lang w:val="en-US" w:eastAsia="zh-CN" w:bidi="ar-SA"/>
    </w:rPr>
  </w:style>
  <w:style w:type="table" w:customStyle="1" w:styleId="78">
    <w:name w:val="网格型1"/>
    <w:basedOn w:val="32"/>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79">
    <w:name w:val="[正文格式]"/>
    <w:basedOn w:val="1"/>
    <w:qFormat/>
    <w:uiPriority w:val="0"/>
    <w:pPr>
      <w:spacing w:line="440" w:lineRule="exact"/>
      <w:ind w:firstLine="500" w:firstLineChars="200"/>
    </w:pPr>
    <w:rPr>
      <w:rFonts w:cs="宋体"/>
      <w:sz w:val="24"/>
      <w:szCs w:val="20"/>
    </w:rPr>
  </w:style>
  <w:style w:type="paragraph" w:customStyle="1" w:styleId="80">
    <w:name w:val="正文～!"/>
    <w:basedOn w:val="1"/>
    <w:qFormat/>
    <w:uiPriority w:val="0"/>
    <w:pPr>
      <w:adjustRightInd w:val="0"/>
      <w:snapToGrid w:val="0"/>
      <w:spacing w:before="100" w:beforeAutospacing="1" w:after="100" w:afterAutospacing="1" w:line="360" w:lineRule="auto"/>
      <w:ind w:right="-57" w:rightChars="-27" w:firstLine="560" w:firstLineChars="200"/>
    </w:pPr>
    <w:rPr>
      <w:rFonts w:ascii="仿宋_GB2312" w:hAnsi="宋体" w:eastAsia="仿宋_GB2312" w:cs="宋体"/>
      <w:sz w:val="28"/>
      <w:szCs w:val="28"/>
    </w:rPr>
  </w:style>
  <w:style w:type="character" w:customStyle="1" w:styleId="81">
    <w:name w:val="15"/>
    <w:basedOn w:val="34"/>
    <w:qFormat/>
    <w:uiPriority w:val="0"/>
    <w:rPr>
      <w:rFonts w:hint="eastAsia" w:ascii="仿宋_GB2312" w:eastAsia="仿宋_GB2312" w:cs="宋体"/>
      <w:color w:val="FF0000"/>
      <w:kern w:val="2"/>
      <w:sz w:val="28"/>
      <w:szCs w:val="28"/>
    </w:rPr>
  </w:style>
  <w:style w:type="character" w:customStyle="1" w:styleId="82">
    <w:name w:val="批注主题 Char"/>
    <w:basedOn w:val="34"/>
    <w:link w:val="30"/>
    <w:qFormat/>
    <w:uiPriority w:val="0"/>
    <w:rPr>
      <w:rFonts w:ascii="Times New Roman" w:hAnsi="Times New Roman"/>
      <w:b/>
      <w:bCs/>
      <w:kern w:val="2"/>
      <w:sz w:val="21"/>
      <w:szCs w:val="24"/>
    </w:rPr>
  </w:style>
  <w:style w:type="character" w:customStyle="1" w:styleId="83">
    <w:name w:val="批注主题 Char1"/>
    <w:qFormat/>
    <w:uiPriority w:val="0"/>
    <w:rPr>
      <w:rFonts w:eastAsia="宋体"/>
      <w:b/>
      <w:bCs/>
      <w:kern w:val="2"/>
      <w:sz w:val="21"/>
      <w:szCs w:val="24"/>
      <w:lang w:val="en-US" w:eastAsia="zh-CN" w:bidi="ar-SA"/>
    </w:rPr>
  </w:style>
  <w:style w:type="paragraph" w:customStyle="1" w:styleId="84">
    <w:name w:val="Char Char Char"/>
    <w:basedOn w:val="1"/>
    <w:qFormat/>
    <w:uiPriority w:val="0"/>
    <w:rPr>
      <w:szCs w:val="20"/>
    </w:rPr>
  </w:style>
  <w:style w:type="paragraph" w:customStyle="1" w:styleId="85">
    <w:name w:val="表格题名"/>
    <w:basedOn w:val="1"/>
    <w:qFormat/>
    <w:uiPriority w:val="0"/>
    <w:pPr>
      <w:adjustRightInd w:val="0"/>
      <w:snapToGrid w:val="0"/>
      <w:jc w:val="center"/>
      <w:textAlignment w:val="baseline"/>
    </w:pPr>
    <w:rPr>
      <w:b/>
      <w:kern w:val="0"/>
      <w:szCs w:val="20"/>
    </w:rPr>
  </w:style>
  <w:style w:type="paragraph" w:customStyle="1" w:styleId="86">
    <w:name w:val="样式6"/>
    <w:basedOn w:val="19"/>
    <w:qFormat/>
    <w:uiPriority w:val="0"/>
    <w:pPr>
      <w:keepNext/>
      <w:keepLines/>
      <w:tabs>
        <w:tab w:val="left" w:pos="720"/>
        <w:tab w:val="left" w:pos="1080"/>
      </w:tabs>
      <w:spacing w:before="156" w:beforeLines="50" w:after="156" w:afterLines="50" w:line="360" w:lineRule="auto"/>
      <w:ind w:left="708" w:hanging="708"/>
      <w:outlineLvl w:val="3"/>
    </w:pPr>
    <w:rPr>
      <w:rFonts w:eastAsia="Times New Roman"/>
      <w:kern w:val="0"/>
      <w:sz w:val="20"/>
      <w:szCs w:val="28"/>
    </w:rPr>
  </w:style>
  <w:style w:type="paragraph" w:customStyle="1" w:styleId="87">
    <w:name w:val="表 内容"/>
    <w:basedOn w:val="1"/>
    <w:qFormat/>
    <w:uiPriority w:val="0"/>
    <w:pPr>
      <w:adjustRightInd w:val="0"/>
      <w:snapToGrid w:val="0"/>
      <w:spacing w:before="10" w:beforeLines="10" w:after="10" w:afterLines="10"/>
      <w:jc w:val="center"/>
    </w:pPr>
    <w:rPr>
      <w:szCs w:val="21"/>
    </w:rPr>
  </w:style>
  <w:style w:type="paragraph" w:customStyle="1" w:styleId="88">
    <w:name w:val="国寰正文"/>
    <w:basedOn w:val="1"/>
    <w:qFormat/>
    <w:uiPriority w:val="0"/>
    <w:pPr>
      <w:adjustRightInd w:val="0"/>
      <w:snapToGrid w:val="0"/>
    </w:pPr>
    <w:rPr>
      <w:sz w:val="24"/>
    </w:rPr>
  </w:style>
  <w:style w:type="paragraph" w:customStyle="1" w:styleId="89">
    <w:name w:val="表头格式"/>
    <w:basedOn w:val="1"/>
    <w:qFormat/>
    <w:uiPriority w:val="0"/>
    <w:pPr>
      <w:ind w:firstLine="422"/>
      <w:jc w:val="center"/>
    </w:pPr>
    <w:rPr>
      <w:b/>
      <w:szCs w:val="21"/>
    </w:rPr>
  </w:style>
  <w:style w:type="character" w:customStyle="1" w:styleId="90">
    <w:name w:val="fontstyle21"/>
    <w:qFormat/>
    <w:uiPriority w:val="0"/>
    <w:rPr>
      <w:rFonts w:hint="default" w:ascii="Times New Roman" w:hAnsi="Times New Roman" w:cs="Times New Roman"/>
      <w:b/>
      <w:color w:val="000000"/>
      <w:sz w:val="22"/>
      <w:szCs w:val="22"/>
    </w:rPr>
  </w:style>
  <w:style w:type="character" w:customStyle="1" w:styleId="91">
    <w:name w:val="fontstyle11"/>
    <w:qFormat/>
    <w:uiPriority w:val="0"/>
    <w:rPr>
      <w:rFonts w:ascii="TimesNewRomanPSMT" w:hAnsi="TimesNewRomanPSMT" w:eastAsia="TimesNewRomanPSMT" w:cs="TimesNewRomanPSMT"/>
      <w:color w:val="000000"/>
      <w:sz w:val="22"/>
      <w:szCs w:val="22"/>
    </w:rPr>
  </w:style>
  <w:style w:type="character" w:customStyle="1" w:styleId="92">
    <w:name w:val="fontstyle01"/>
    <w:qFormat/>
    <w:uiPriority w:val="0"/>
    <w:rPr>
      <w:rFonts w:hint="eastAsia" w:ascii="宋体" w:hAnsi="宋体" w:eastAsia="宋体" w:cs="宋体"/>
      <w:color w:val="000000"/>
      <w:sz w:val="22"/>
      <w:szCs w:val="22"/>
    </w:rPr>
  </w:style>
  <w:style w:type="paragraph" w:customStyle="1" w:styleId="93">
    <w:name w:val="表内容"/>
    <w:basedOn w:val="94"/>
    <w:qFormat/>
    <w:uiPriority w:val="99"/>
    <w:pPr>
      <w:widowControl w:val="0"/>
      <w:snapToGrid w:val="0"/>
      <w:spacing w:after="0" w:line="240" w:lineRule="auto"/>
      <w:ind w:firstLine="0"/>
    </w:pPr>
    <w:rPr>
      <w:rFonts w:ascii="Calibri" w:hAnsi="Calibri" w:cs="Times New Roman"/>
      <w:szCs w:val="21"/>
    </w:rPr>
  </w:style>
  <w:style w:type="paragraph" w:customStyle="1" w:styleId="94">
    <w:name w:val="表头"/>
    <w:basedOn w:val="1"/>
    <w:next w:val="1"/>
    <w:qFormat/>
    <w:uiPriority w:val="99"/>
    <w:pPr>
      <w:widowControl/>
      <w:spacing w:after="120" w:line="360" w:lineRule="auto"/>
      <w:ind w:firstLine="425"/>
      <w:jc w:val="center"/>
    </w:pPr>
    <w:rPr>
      <w:rFonts w:ascii="宋体" w:hAnsi="宋体" w:cs="宋体"/>
      <w:kern w:val="0"/>
      <w:szCs w:val="20"/>
    </w:rPr>
  </w:style>
  <w:style w:type="table" w:customStyle="1" w:styleId="95">
    <w:name w:val="网格型2"/>
    <w:basedOn w:val="32"/>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96">
    <w:name w:val="BodyText1I"/>
    <w:basedOn w:val="97"/>
    <w:qFormat/>
    <w:uiPriority w:val="0"/>
    <w:pPr>
      <w:spacing w:line="312" w:lineRule="atLeast"/>
      <w:ind w:firstLine="420" w:firstLineChars="100"/>
    </w:pPr>
    <w:rPr>
      <w:kern w:val="0"/>
      <w:sz w:val="24"/>
      <w:szCs w:val="20"/>
    </w:rPr>
  </w:style>
  <w:style w:type="paragraph" w:customStyle="1" w:styleId="97">
    <w:name w:val="BodyText"/>
    <w:basedOn w:val="1"/>
    <w:qFormat/>
    <w:uiPriority w:val="0"/>
    <w:pPr>
      <w:spacing w:after="120"/>
      <w:textAlignment w:val="baseline"/>
    </w:pPr>
    <w:rPr>
      <w:sz w:val="28"/>
    </w:rPr>
  </w:style>
  <w:style w:type="table" w:customStyle="1" w:styleId="98">
    <w:name w:val="Table Normal"/>
    <w:semiHidden/>
    <w:unhideWhenUsed/>
    <w:qFormat/>
    <w:uiPriority w:val="0"/>
    <w:tblPr>
      <w:tblCellMar>
        <w:top w:w="0" w:type="dxa"/>
        <w:left w:w="0" w:type="dxa"/>
        <w:bottom w:w="0" w:type="dxa"/>
        <w:right w:w="0" w:type="dxa"/>
      </w:tblCellMar>
    </w:tblPr>
  </w:style>
  <w:style w:type="character" w:customStyle="1" w:styleId="99">
    <w:name w:val="font11"/>
    <w:basedOn w:val="34"/>
    <w:qFormat/>
    <w:uiPriority w:val="0"/>
    <w:rPr>
      <w:rFonts w:hint="eastAsia" w:ascii="宋体" w:hAnsi="宋体" w:eastAsia="宋体" w:cs="宋体"/>
      <w:color w:val="000000"/>
      <w:sz w:val="21"/>
      <w:szCs w:val="21"/>
      <w:u w:val="none"/>
    </w:rPr>
  </w:style>
  <w:style w:type="paragraph" w:customStyle="1" w:styleId="100">
    <w:name w:val="图文名称"/>
    <w:basedOn w:val="1"/>
    <w:qFormat/>
    <w:uiPriority w:val="0"/>
    <w:pPr>
      <w:spacing w:before="0" w:beforeLines="0"/>
      <w:ind w:firstLine="0" w:firstLineChars="0"/>
      <w:jc w:val="center"/>
    </w:pPr>
    <w:rPr>
      <w:rFonts w:asciiTheme="minorHAnsi" w:hAnsiTheme="minorHAnsi" w:cstheme="minorBidi"/>
      <w:b/>
      <w:bCs/>
      <w:color w:val="000000"/>
      <w:kern w:val="2"/>
      <w:sz w:val="21"/>
      <w:szCs w:val="28"/>
    </w:rPr>
  </w:style>
</w:styles>
</file>

<file path=word/_rels/document.xml.rels><?xml version="1.0" encoding="UTF-8" standalone="yes"?>
<Relationships xmlns="http://schemas.openxmlformats.org/package/2006/relationships"><Relationship Id="rId99" Type="http://schemas.openxmlformats.org/officeDocument/2006/relationships/customXml" Target="../customXml/item2.xml"/><Relationship Id="rId98" Type="http://schemas.openxmlformats.org/officeDocument/2006/relationships/numbering" Target="numbering.xml"/><Relationship Id="rId97" Type="http://schemas.openxmlformats.org/officeDocument/2006/relationships/customXml" Target="../customXml/item1.xml"/><Relationship Id="rId96" Type="http://schemas.openxmlformats.org/officeDocument/2006/relationships/image" Target="media/image81.jpeg"/><Relationship Id="rId95" Type="http://schemas.openxmlformats.org/officeDocument/2006/relationships/image" Target="media/image80.jpeg"/><Relationship Id="rId94" Type="http://schemas.openxmlformats.org/officeDocument/2006/relationships/image" Target="media/image79.jpeg"/><Relationship Id="rId93" Type="http://schemas.openxmlformats.org/officeDocument/2006/relationships/image" Target="media/image78.jpeg"/><Relationship Id="rId92" Type="http://schemas.openxmlformats.org/officeDocument/2006/relationships/image" Target="media/image77.jpeg"/><Relationship Id="rId91" Type="http://schemas.openxmlformats.org/officeDocument/2006/relationships/image" Target="media/image76.jpeg"/><Relationship Id="rId90" Type="http://schemas.openxmlformats.org/officeDocument/2006/relationships/image" Target="media/image75.jpeg"/><Relationship Id="rId9" Type="http://schemas.openxmlformats.org/officeDocument/2006/relationships/footer" Target="footer5.xml"/><Relationship Id="rId89" Type="http://schemas.openxmlformats.org/officeDocument/2006/relationships/image" Target="media/image74.jpeg"/><Relationship Id="rId88" Type="http://schemas.openxmlformats.org/officeDocument/2006/relationships/image" Target="media/image73.jpeg"/><Relationship Id="rId87" Type="http://schemas.openxmlformats.org/officeDocument/2006/relationships/image" Target="media/image72.jpeg"/><Relationship Id="rId86" Type="http://schemas.openxmlformats.org/officeDocument/2006/relationships/image" Target="media/image71.jpeg"/><Relationship Id="rId85" Type="http://schemas.openxmlformats.org/officeDocument/2006/relationships/image" Target="media/image70.jpeg"/><Relationship Id="rId84" Type="http://schemas.openxmlformats.org/officeDocument/2006/relationships/image" Target="media/image69.jpeg"/><Relationship Id="rId83" Type="http://schemas.openxmlformats.org/officeDocument/2006/relationships/image" Target="media/image68.jpeg"/><Relationship Id="rId82" Type="http://schemas.openxmlformats.org/officeDocument/2006/relationships/image" Target="media/image67.jpeg"/><Relationship Id="rId81" Type="http://schemas.openxmlformats.org/officeDocument/2006/relationships/image" Target="media/image66.jpeg"/><Relationship Id="rId80" Type="http://schemas.openxmlformats.org/officeDocument/2006/relationships/image" Target="media/image65.jpeg"/><Relationship Id="rId8" Type="http://schemas.openxmlformats.org/officeDocument/2006/relationships/footer" Target="footer4.xml"/><Relationship Id="rId79" Type="http://schemas.openxmlformats.org/officeDocument/2006/relationships/image" Target="media/image64.jpeg"/><Relationship Id="rId78" Type="http://schemas.openxmlformats.org/officeDocument/2006/relationships/image" Target="media/image63.jpeg"/><Relationship Id="rId77" Type="http://schemas.openxmlformats.org/officeDocument/2006/relationships/image" Target="media/image62.jpeg"/><Relationship Id="rId76" Type="http://schemas.openxmlformats.org/officeDocument/2006/relationships/image" Target="media/image61.jpeg"/><Relationship Id="rId75" Type="http://schemas.openxmlformats.org/officeDocument/2006/relationships/image" Target="media/image60.jpeg"/><Relationship Id="rId74" Type="http://schemas.openxmlformats.org/officeDocument/2006/relationships/image" Target="media/image59.jpeg"/><Relationship Id="rId73" Type="http://schemas.openxmlformats.org/officeDocument/2006/relationships/image" Target="media/image58.jpeg"/><Relationship Id="rId72" Type="http://schemas.openxmlformats.org/officeDocument/2006/relationships/image" Target="media/image57.jpeg"/><Relationship Id="rId71" Type="http://schemas.openxmlformats.org/officeDocument/2006/relationships/image" Target="media/image56.jpeg"/><Relationship Id="rId70" Type="http://schemas.openxmlformats.org/officeDocument/2006/relationships/image" Target="media/image55.jpeg"/><Relationship Id="rId7" Type="http://schemas.openxmlformats.org/officeDocument/2006/relationships/footer" Target="footer3.xml"/><Relationship Id="rId69" Type="http://schemas.openxmlformats.org/officeDocument/2006/relationships/image" Target="media/image54.jpeg"/><Relationship Id="rId68" Type="http://schemas.openxmlformats.org/officeDocument/2006/relationships/image" Target="media/image53.jpeg"/><Relationship Id="rId67" Type="http://schemas.openxmlformats.org/officeDocument/2006/relationships/image" Target="media/image52.jpeg"/><Relationship Id="rId66" Type="http://schemas.openxmlformats.org/officeDocument/2006/relationships/image" Target="media/image51.jpeg"/><Relationship Id="rId65" Type="http://schemas.openxmlformats.org/officeDocument/2006/relationships/image" Target="media/image50.jpeg"/><Relationship Id="rId64" Type="http://schemas.openxmlformats.org/officeDocument/2006/relationships/image" Target="media/image49.jpeg"/><Relationship Id="rId63" Type="http://schemas.openxmlformats.org/officeDocument/2006/relationships/image" Target="media/image48.jpeg"/><Relationship Id="rId62" Type="http://schemas.openxmlformats.org/officeDocument/2006/relationships/image" Target="media/image47.jpeg"/><Relationship Id="rId61" Type="http://schemas.openxmlformats.org/officeDocument/2006/relationships/image" Target="media/image46.jpeg"/><Relationship Id="rId60" Type="http://schemas.openxmlformats.org/officeDocument/2006/relationships/image" Target="media/image45.jpeg"/><Relationship Id="rId6" Type="http://schemas.openxmlformats.org/officeDocument/2006/relationships/header" Target="header2.xml"/><Relationship Id="rId59" Type="http://schemas.openxmlformats.org/officeDocument/2006/relationships/image" Target="media/image44.jpeg"/><Relationship Id="rId58" Type="http://schemas.openxmlformats.org/officeDocument/2006/relationships/image" Target="media/image43.png"/><Relationship Id="rId57" Type="http://schemas.openxmlformats.org/officeDocument/2006/relationships/image" Target="media/image42.jpeg"/><Relationship Id="rId56" Type="http://schemas.openxmlformats.org/officeDocument/2006/relationships/image" Target="media/image41.jpeg"/><Relationship Id="rId55" Type="http://schemas.openxmlformats.org/officeDocument/2006/relationships/image" Target="media/image40.jpeg"/><Relationship Id="rId54" Type="http://schemas.openxmlformats.org/officeDocument/2006/relationships/image" Target="media/image39.jpeg"/><Relationship Id="rId53" Type="http://schemas.openxmlformats.org/officeDocument/2006/relationships/image" Target="media/image38.jpeg"/><Relationship Id="rId52" Type="http://schemas.openxmlformats.org/officeDocument/2006/relationships/image" Target="media/image37.jpeg"/><Relationship Id="rId51" Type="http://schemas.openxmlformats.org/officeDocument/2006/relationships/image" Target="media/image36.jpeg"/><Relationship Id="rId50" Type="http://schemas.openxmlformats.org/officeDocument/2006/relationships/image" Target="media/image35.jpeg"/><Relationship Id="rId5" Type="http://schemas.openxmlformats.org/officeDocument/2006/relationships/footer" Target="footer2.xml"/><Relationship Id="rId49" Type="http://schemas.openxmlformats.org/officeDocument/2006/relationships/image" Target="media/image34.jpeg"/><Relationship Id="rId48" Type="http://schemas.openxmlformats.org/officeDocument/2006/relationships/image" Target="media/image33.jpeg"/><Relationship Id="rId47" Type="http://schemas.openxmlformats.org/officeDocument/2006/relationships/image" Target="media/image32.jpeg"/><Relationship Id="rId46" Type="http://schemas.openxmlformats.org/officeDocument/2006/relationships/image" Target="media/image31.jpeg"/><Relationship Id="rId45" Type="http://schemas.openxmlformats.org/officeDocument/2006/relationships/image" Target="media/image30.jpeg"/><Relationship Id="rId44" Type="http://schemas.openxmlformats.org/officeDocument/2006/relationships/image" Target="media/image29.jpeg"/><Relationship Id="rId43" Type="http://schemas.openxmlformats.org/officeDocument/2006/relationships/image" Target="media/image28.jpeg"/><Relationship Id="rId42" Type="http://schemas.openxmlformats.org/officeDocument/2006/relationships/image" Target="media/image27.jpeg"/><Relationship Id="rId41" Type="http://schemas.openxmlformats.org/officeDocument/2006/relationships/image" Target="media/image26.jpeg"/><Relationship Id="rId40" Type="http://schemas.openxmlformats.org/officeDocument/2006/relationships/image" Target="media/image25.jpeg"/><Relationship Id="rId4" Type="http://schemas.openxmlformats.org/officeDocument/2006/relationships/footer" Target="footer1.xml"/><Relationship Id="rId39" Type="http://schemas.openxmlformats.org/officeDocument/2006/relationships/image" Target="media/image24.jpeg"/><Relationship Id="rId38" Type="http://schemas.openxmlformats.org/officeDocument/2006/relationships/image" Target="media/image23.jpeg"/><Relationship Id="rId37" Type="http://schemas.openxmlformats.org/officeDocument/2006/relationships/image" Target="media/image22.jpeg"/><Relationship Id="rId36" Type="http://schemas.openxmlformats.org/officeDocument/2006/relationships/image" Target="media/image21.jpeg"/><Relationship Id="rId35" Type="http://schemas.openxmlformats.org/officeDocument/2006/relationships/image" Target="media/image20.png"/><Relationship Id="rId34" Type="http://schemas.openxmlformats.org/officeDocument/2006/relationships/image" Target="media/image19.jpeg"/><Relationship Id="rId33" Type="http://schemas.openxmlformats.org/officeDocument/2006/relationships/image" Target="media/image18.jpe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jpe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jpeg"/><Relationship Id="rId24" Type="http://schemas.openxmlformats.org/officeDocument/2006/relationships/image" Target="media/image9.jpe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0" Type="http://schemas.openxmlformats.org/officeDocument/2006/relationships/fontTable" Target="fontTable.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617"/>
    <customShpInfo spid="_x0000_s1618"/>
    <customShpInfo spid="_x0000_s1619"/>
    <customShpInfo spid="_x0000_s1620"/>
    <customShpInfo spid="_x0000_s1621"/>
    <customShpInfo spid="_x0000_s1622"/>
    <customShpInfo spid="_x0000_s1623"/>
    <customShpInfo spid="_x0000_s1624"/>
    <customShpInfo spid="_x0000_s1625"/>
    <customShpInfo spid="_x0000_s1626"/>
    <customShpInfo spid="_x0000_s1627"/>
    <customShpInfo spid="_x0000_s1628"/>
    <customShpInfo spid="_x0000_s1629"/>
    <customShpInfo spid="_x0000_s1630"/>
    <customShpInfo spid="_x0000_s1631"/>
    <customShpInfo spid="_x0000_s161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ADD5D22-2AAA-4019-A6A0-5AD617BCE7EB}">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166</Pages>
  <Words>47614</Words>
  <Characters>52486</Characters>
  <Lines>459</Lines>
  <Paragraphs>129</Paragraphs>
  <TotalTime>29</TotalTime>
  <ScaleCrop>false</ScaleCrop>
  <LinksUpToDate>false</LinksUpToDate>
  <CharactersWithSpaces>54438</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2017-08-05T16:15:00Z</dcterms:created>
  <dc:creator>梁玲</dc:creator>
  <cp:lastModifiedBy>空心菜</cp:lastModifiedBy>
  <cp:lastPrinted>2021-05-25T02:06:00Z</cp:lastPrinted>
  <dcterms:modified xsi:type="dcterms:W3CDTF">2022-03-31T15:16:18Z</dcterms:modified>
  <dc:title>新科农突发环境事件应急预案</dc:title>
  <cp:revision>123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EA45D483F4BA441DBE3F18B986ED3062</vt:lpwstr>
  </property>
</Properties>
</file>