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44"/>
          <w:szCs w:val="44"/>
        </w:rPr>
      </w:pPr>
      <w:r>
        <w:rPr>
          <w:rFonts w:hint="eastAsia" w:ascii="黑体" w:hAnsi="黑体" w:eastAsia="黑体" w:cs="黑体"/>
          <w:b w:val="0"/>
          <w:bCs w:val="0"/>
          <w:sz w:val="44"/>
          <w:szCs w:val="44"/>
        </w:rPr>
        <w:t>2021年韶关市农业机械化示范推广</w:t>
      </w:r>
    </w:p>
    <w:p>
      <w:pPr>
        <w:jc w:val="center"/>
        <w:rPr>
          <w:rFonts w:hint="eastAsia" w:ascii="黑体" w:hAnsi="黑体" w:eastAsia="黑体" w:cs="黑体"/>
          <w:b w:val="0"/>
          <w:bCs w:val="0"/>
          <w:sz w:val="44"/>
          <w:szCs w:val="44"/>
          <w:lang w:val="en-US" w:eastAsia="zh-CN"/>
        </w:rPr>
      </w:pPr>
      <w:r>
        <w:rPr>
          <w:rFonts w:hint="eastAsia" w:ascii="黑体" w:hAnsi="黑体" w:eastAsia="黑体" w:cs="黑体"/>
          <w:b w:val="0"/>
          <w:bCs w:val="0"/>
          <w:sz w:val="44"/>
          <w:szCs w:val="44"/>
        </w:rPr>
        <w:t>项目</w:t>
      </w:r>
      <w:r>
        <w:rPr>
          <w:rFonts w:hint="eastAsia" w:ascii="黑体" w:hAnsi="黑体" w:eastAsia="黑体" w:cs="黑体"/>
          <w:b w:val="0"/>
          <w:bCs w:val="0"/>
          <w:sz w:val="44"/>
          <w:szCs w:val="44"/>
          <w:lang w:val="en-US" w:eastAsia="zh-CN"/>
        </w:rPr>
        <w:t>绩效自评报告</w:t>
      </w:r>
    </w:p>
    <w:p>
      <w:pPr>
        <w:pStyle w:val="3"/>
        <w:rPr>
          <w:rFonts w:hint="eastAsia"/>
          <w:lang w:val="en-US" w:eastAsia="zh-CN"/>
        </w:rPr>
      </w:pPr>
    </w:p>
    <w:p>
      <w:pPr>
        <w:rPr>
          <w:rFonts w:hint="eastAsia"/>
          <w:lang w:val="en-US" w:eastAsia="zh-CN"/>
        </w:rPr>
      </w:pPr>
    </w:p>
    <w:p>
      <w:pPr>
        <w:pageBreakBefore w:val="0"/>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根据《转发市财政局关于开展 2021 年度涉农资金绩效评价工作的通知》、《关于开展2021年度涉农资金绩效评价工作的通知》（韶财农〔2022〕8号）通知要求，现对我中心承担的2021年韶关市农业机械化示范推广项目绩效自评作以下报告。</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w:t>
      </w:r>
    </w:p>
    <w:p>
      <w:pPr>
        <w:pageBreakBefore w:val="0"/>
        <w:widowControl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（一）项目简述</w:t>
      </w:r>
    </w:p>
    <w:p>
      <w:pPr>
        <w:pStyle w:val="2"/>
        <w:pageBreakBefore w:val="0"/>
        <w:widowControl w:val="0"/>
        <w:kinsoku/>
        <w:wordWrap/>
        <w:overflowPunct/>
        <w:topLinePunct w:val="0"/>
        <w:autoSpaceDE/>
        <w:autoSpaceDN/>
        <w:bidi w:val="0"/>
        <w:adjustRightInd w:val="0"/>
        <w:snapToGrid w:val="0"/>
        <w:spacing w:before="0" w:beforeLines="0" w:after="0" w:afterLines="0" w:line="520" w:lineRule="exact"/>
        <w:ind w:firstLine="640"/>
        <w:rPr>
          <w:rStyle w:val="7"/>
          <w:rFonts w:hint="eastAsia" w:ascii="仿宋" w:hAnsi="仿宋" w:eastAsia="仿宋" w:cs="仿宋"/>
          <w:b w:val="0"/>
          <w:bCs w:val="0"/>
          <w:sz w:val="32"/>
          <w:szCs w:val="32"/>
          <w:lang w:val="en-US" w:eastAsia="zh-CN"/>
        </w:rPr>
      </w:pPr>
      <w:r>
        <w:rPr>
          <w:rStyle w:val="7"/>
          <w:rFonts w:hint="eastAsia" w:ascii="仿宋" w:hAnsi="仿宋" w:eastAsia="仿宋" w:cs="仿宋"/>
          <w:b w:val="0"/>
          <w:bCs w:val="0"/>
          <w:sz w:val="32"/>
          <w:szCs w:val="32"/>
          <w:lang w:val="en-US" w:eastAsia="zh-CN"/>
        </w:rPr>
        <w:t>2021年</w:t>
      </w:r>
      <w:r>
        <w:rPr>
          <w:rStyle w:val="7"/>
          <w:rFonts w:hint="eastAsia" w:ascii="仿宋" w:hAnsi="仿宋" w:eastAsia="仿宋" w:cs="仿宋"/>
          <w:b w:val="0"/>
          <w:bCs w:val="0"/>
          <w:sz w:val="32"/>
          <w:szCs w:val="32"/>
          <w:lang w:val="zh-CN" w:eastAsia="zh-CN"/>
        </w:rPr>
        <w:t>韶关市农业机械化示范推广项目</w:t>
      </w:r>
      <w:r>
        <w:rPr>
          <w:rStyle w:val="7"/>
          <w:rFonts w:hint="eastAsia" w:ascii="仿宋" w:hAnsi="仿宋" w:eastAsia="仿宋" w:cs="仿宋"/>
          <w:b w:val="0"/>
          <w:bCs w:val="0"/>
          <w:sz w:val="32"/>
          <w:szCs w:val="32"/>
          <w:lang w:val="en-US" w:eastAsia="zh-CN"/>
        </w:rPr>
        <w:t>，通过举办现场会和技术培训班等多种形式，集中宣传推广适合当地的农业机械种植模式，加速提升主要农作物综合机械化水平；并调动农户和农业企业购置新农机装备的积极性；通过示范推广提高韶关市农业科技推广中心在韶关农业产业发展中的科技支撑作用。</w:t>
      </w:r>
    </w:p>
    <w:p>
      <w:pPr>
        <w:pageBreakBefore w:val="0"/>
        <w:widowControl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（二）项目立项与资金到位情况</w:t>
      </w:r>
    </w:p>
    <w:p>
      <w:pPr>
        <w:pageBreakBefore w:val="0"/>
        <w:kinsoku/>
        <w:wordWrap/>
        <w:overflowPunct/>
        <w:topLinePunct w:val="0"/>
        <w:autoSpaceDE/>
        <w:autoSpaceDN/>
        <w:bidi w:val="0"/>
        <w:adjustRightInd w:val="0"/>
        <w:snapToGrid w:val="0"/>
        <w:spacing w:line="52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韶关市人民政府关于印发韶关市加快推进农业机械化和农机装备产业转型升级实施方案的通知》、《广东省人民政府关于加快推进农业机械化和农机装备产业转型升级的实施意见》文件精神，我中心组织申报《2021年韶关市农业机械化示范推广项目》，制定并批复了《2021年韶关市农业机械化示范推广项目实施方案》。</w:t>
      </w:r>
    </w:p>
    <w:p>
      <w:pPr>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关于下达2021年省级涉农统筹整合转移支付资金的通知（韶财农〔2021〕23 号）、关于下达韶关市本级2021年省级涉农统筹整合转移支付资金的通知（韶财农〔2021〕40 号），安排我单位实施2021年韶关市农业机械化示范推广项目，</w:t>
      </w:r>
      <w:r>
        <w:rPr>
          <w:rFonts w:hint="eastAsia" w:ascii="仿宋" w:hAnsi="仿宋" w:eastAsia="仿宋" w:cs="仿宋"/>
          <w:b w:val="0"/>
          <w:bCs w:val="0"/>
          <w:sz w:val="32"/>
          <w:szCs w:val="32"/>
          <w:lang w:val="en-US" w:eastAsia="zh-CN"/>
        </w:rPr>
        <w:t>资金20万元，</w:t>
      </w:r>
      <w:r>
        <w:rPr>
          <w:rFonts w:hint="eastAsia" w:ascii="仿宋" w:hAnsi="仿宋" w:eastAsia="仿宋" w:cs="仿宋"/>
          <w:sz w:val="32"/>
          <w:szCs w:val="32"/>
          <w:lang w:val="en-US" w:eastAsia="zh-CN"/>
        </w:rPr>
        <w:t>项目资金于2021年5月到位。</w:t>
      </w:r>
    </w:p>
    <w:p>
      <w:pPr>
        <w:pageBreakBefore w:val="0"/>
        <w:numPr>
          <w:ilvl w:val="0"/>
          <w:numId w:val="0"/>
        </w:numPr>
        <w:kinsoku/>
        <w:wordWrap/>
        <w:overflowPunct/>
        <w:topLinePunct w:val="0"/>
        <w:autoSpaceDE/>
        <w:autoSpaceDN/>
        <w:bidi w:val="0"/>
        <w:adjustRightInd w:val="0"/>
        <w:snapToGrid w:val="0"/>
        <w:spacing w:line="520" w:lineRule="exact"/>
        <w:ind w:left="630" w:leftChars="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（三）项目绩效目标下达情况（任务量)</w:t>
      </w:r>
    </w:p>
    <w:p>
      <w:pPr>
        <w:pageBreakBefore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1.项目预期总体目标</w:t>
      </w:r>
    </w:p>
    <w:p>
      <w:pPr>
        <w:pageBreakBefore w:val="0"/>
        <w:numPr>
          <w:ilvl w:val="0"/>
          <w:numId w:val="0"/>
        </w:numPr>
        <w:kinsoku/>
        <w:wordWrap/>
        <w:overflowPunct/>
        <w:topLinePunct w:val="0"/>
        <w:autoSpaceDE/>
        <w:autoSpaceDN/>
        <w:bidi w:val="0"/>
        <w:adjustRightInd w:val="0"/>
        <w:snapToGrid w:val="0"/>
        <w:spacing w:line="520" w:lineRule="exact"/>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通过举办场现场会和技术培训班形式，集中宣传推广适合当地的水稻机械种植模式，加速提升主要农作物综合机械化水平；并调动农户和农业企业购置新农机装备的积极性；通过示范推广，提高韶关市农业科技推广中心在韶关农业产业发展中的科技支撑作用。</w:t>
      </w:r>
    </w:p>
    <w:p>
      <w:pPr>
        <w:pageBreakBefore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2.各项预期绩效指标</w:t>
      </w:r>
    </w:p>
    <w:p>
      <w:pPr>
        <w:pageBreakBefore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（1）产出指标：</w:t>
      </w:r>
    </w:p>
    <w:p>
      <w:pPr>
        <w:pageBreakBefore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①数量指标：举办1期水稻农机装备与机械化技术现场会；举办1期培训人数100人以上。</w:t>
      </w:r>
    </w:p>
    <w:p>
      <w:pPr>
        <w:pageBreakBefore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②质量指标：资金拨付到位率100%；任务完成率100%。</w:t>
      </w:r>
    </w:p>
    <w:p>
      <w:pPr>
        <w:pageBreakBefore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③时效指标：截止到10月31日项目按期完成率为100%。</w:t>
      </w:r>
    </w:p>
    <w:p>
      <w:pPr>
        <w:pageBreakBefore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④成本指标：项目经费支出≦项目预算。</w:t>
      </w:r>
    </w:p>
    <w:p>
      <w:pPr>
        <w:pageBreakBefore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（2）效益指标</w:t>
      </w:r>
    </w:p>
    <w:p>
      <w:pPr>
        <w:pageBreakBefore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①社会效益指标：社会关注度提升韶关市农业科技推广中心在韶关区域的农业科技服务水平、扩大农业科技服务范围；受到广大群众和参会人员的一致好评。</w:t>
      </w:r>
    </w:p>
    <w:p>
      <w:pPr>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②可持续影响指标：项目可持续进行。</w:t>
      </w:r>
    </w:p>
    <w:p>
      <w:pPr>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③服务对象满意度指标：让学员满意。</w:t>
      </w:r>
    </w:p>
    <w:p>
      <w:pPr>
        <w:pageBreakBefore w:val="0"/>
        <w:numPr>
          <w:ilvl w:val="0"/>
          <w:numId w:val="1"/>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满意度指标</w:t>
      </w:r>
    </w:p>
    <w:p>
      <w:pPr>
        <w:pageBreakBefore w:val="0"/>
        <w:numPr>
          <w:ilvl w:val="0"/>
          <w:numId w:val="0"/>
        </w:numPr>
        <w:kinsoku/>
        <w:wordWrap/>
        <w:overflowPunct/>
        <w:topLinePunct w:val="0"/>
        <w:autoSpaceDE/>
        <w:autoSpaceDN/>
        <w:bidi w:val="0"/>
        <w:adjustRightInd w:val="0"/>
        <w:snapToGrid w:val="0"/>
        <w:spacing w:afterAutospacing="0"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①受训学员满意度为满意。</w:t>
      </w:r>
    </w:p>
    <w:p>
      <w:pPr>
        <w:pStyle w:val="2"/>
        <w:pageBreakBefore w:val="0"/>
        <w:widowControl w:val="0"/>
        <w:numPr>
          <w:ilvl w:val="0"/>
          <w:numId w:val="0"/>
        </w:numPr>
        <w:kinsoku/>
        <w:wordWrap/>
        <w:overflowPunct/>
        <w:topLinePunct w:val="0"/>
        <w:autoSpaceDE/>
        <w:autoSpaceDN/>
        <w:bidi w:val="0"/>
        <w:adjustRightInd w:val="0"/>
        <w:snapToGrid w:val="0"/>
        <w:spacing w:before="54" w:beforeLines="17" w:beforeAutospacing="0" w:after="0" w:afterLines="0" w:line="520" w:lineRule="exact"/>
        <w:ind w:firstLine="640" w:firstLineChars="200"/>
        <w:rPr>
          <w:rStyle w:val="7"/>
          <w:rFonts w:hint="eastAsia" w:ascii="仿宋" w:hAnsi="仿宋" w:eastAsia="仿宋" w:cs="仿宋"/>
          <w:b w:val="0"/>
          <w:bCs w:val="0"/>
          <w:sz w:val="32"/>
          <w:szCs w:val="32"/>
          <w:lang w:val="en-US" w:eastAsia="zh-CN"/>
        </w:rPr>
      </w:pPr>
      <w:r>
        <w:rPr>
          <w:rStyle w:val="7"/>
          <w:rFonts w:hint="eastAsia" w:ascii="仿宋" w:hAnsi="仿宋" w:eastAsia="仿宋" w:cs="仿宋"/>
          <w:b w:val="0"/>
          <w:bCs w:val="0"/>
          <w:sz w:val="32"/>
          <w:szCs w:val="32"/>
          <w:lang w:val="en-US" w:eastAsia="zh-CN"/>
        </w:rPr>
        <w:t>二、项目完成情况</w:t>
      </w:r>
    </w:p>
    <w:p>
      <w:pPr>
        <w:pageBreakBefore w:val="0"/>
        <w:widowControl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b w:val="0"/>
          <w:bCs w:val="0"/>
          <w:sz w:val="32"/>
          <w:szCs w:val="32"/>
          <w:lang w:val="en-US" w:eastAsia="zh-CN"/>
        </w:rPr>
      </w:pPr>
      <w:r>
        <w:rPr>
          <w:rStyle w:val="7"/>
          <w:rFonts w:hint="eastAsia" w:ascii="仿宋" w:hAnsi="仿宋" w:eastAsia="仿宋" w:cs="仿宋"/>
          <w:b w:val="0"/>
          <w:bCs w:val="0"/>
          <w:sz w:val="32"/>
          <w:szCs w:val="32"/>
          <w:lang w:val="en-US" w:eastAsia="zh-CN"/>
        </w:rPr>
        <w:t>（一）</w:t>
      </w:r>
      <w:r>
        <w:rPr>
          <w:rFonts w:hint="eastAsia" w:ascii="仿宋" w:hAnsi="仿宋" w:eastAsia="仿宋" w:cs="仿宋"/>
          <w:b w:val="0"/>
          <w:bCs w:val="0"/>
          <w:sz w:val="32"/>
          <w:szCs w:val="32"/>
          <w:lang w:val="en-US" w:eastAsia="zh-CN"/>
        </w:rPr>
        <w:t>项目实施情况</w:t>
      </w:r>
    </w:p>
    <w:p>
      <w:pPr>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 年 7 月 15 日至 16 日，我中心联合始兴县农机总站在始兴县成功举办2021年韶关市农业机械化示范推广暨水稻机械化插播现场会和水稻全程机械化技术培训班。培训班邀请各县（市、区）镇分管农机的管理人员，农机培训机构、农机合作社理事长、农机大户及水稻种植大户，共165人参加，远远超过项目预期绩效目标指标。</w:t>
      </w:r>
    </w:p>
    <w:p>
      <w:pPr>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现场会邀请市有关领导、专家、韶关市县农业农村部门领导和当地农业企业、农民参加，并包括参观农机展示及现场演示，共205人参加。</w:t>
      </w:r>
    </w:p>
    <w:p>
      <w:pPr>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sz w:val="32"/>
          <w:szCs w:val="32"/>
          <w:lang w:val="en-US" w:eastAsia="zh-CN"/>
        </w:rPr>
        <w:t>现场会和技术培训班的成功举办，受到广大群众和参会人员的一致好评。通过举办场现场会和技术培训班形式，集中宣传推广适合当地的农业机械种植模式，加速提升主要农作物综合机械化水平。加快发展设施农业、农产品初加工和其他适用机械化技术，调动农户和农业企业购置新农机装备的积极性；通过在各个县区开展调研和农业技术服务，提高</w:t>
      </w:r>
      <w:r>
        <w:rPr>
          <w:rFonts w:hint="eastAsia" w:ascii="仿宋" w:hAnsi="仿宋" w:eastAsia="仿宋" w:cs="仿宋"/>
          <w:sz w:val="32"/>
          <w:szCs w:val="32"/>
          <w:lang w:val="zh-CN" w:eastAsia="zh-CN"/>
        </w:rPr>
        <w:t>韶关市农业科技推广中心</w:t>
      </w:r>
      <w:r>
        <w:rPr>
          <w:rFonts w:hint="eastAsia" w:ascii="仿宋" w:hAnsi="仿宋" w:eastAsia="仿宋" w:cs="仿宋"/>
          <w:sz w:val="32"/>
          <w:szCs w:val="32"/>
          <w:lang w:val="en-US" w:eastAsia="zh-CN"/>
        </w:rPr>
        <w:t xml:space="preserve">在韶关农业产业发展中的科技支撑作用。   </w:t>
      </w:r>
    </w:p>
    <w:p>
      <w:pPr>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1.绩效目标实现情况</w:t>
      </w:r>
    </w:p>
    <w:p>
      <w:pPr>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项目的顺利实施并完成，得到了上级部门的关心和地方支持，实现了既定绩效目标，总结如下：</w:t>
      </w:r>
    </w:p>
    <w:p>
      <w:pPr>
        <w:pStyle w:val="2"/>
        <w:pageBreakBefore w:val="0"/>
        <w:widowControl w:val="0"/>
        <w:numPr>
          <w:ilvl w:val="0"/>
          <w:numId w:val="0"/>
        </w:numPr>
        <w:kinsoku/>
        <w:wordWrap/>
        <w:overflowPunct/>
        <w:topLinePunct w:val="0"/>
        <w:autoSpaceDE/>
        <w:autoSpaceDN/>
        <w:bidi w:val="0"/>
        <w:adjustRightInd w:val="0"/>
        <w:snapToGrid w:val="0"/>
        <w:spacing w:before="0" w:beforeLines="0" w:after="0" w:afterLines="0" w:line="520" w:lineRule="exact"/>
        <w:ind w:left="481" w:leftChars="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（1）总体目标完成情况</w:t>
      </w:r>
    </w:p>
    <w:p>
      <w:pPr>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完成了举办1场现场会（205人参加）；包括农机展示及现场演示，其中：水稻全程机械化展示：包括新型拖拉机、育秧设备一套、插秧机、飞防设备、收割机（全喂和半喂各一台）及秸秆回收机械等30多台（套）现场展示；水稻机械化插播演示：演示面积约100亩，包括拖拉机打田、有序抛秧、插秧机及无人机直播等4种方式进行现场演示等。</w:t>
      </w:r>
    </w:p>
    <w:p>
      <w:pPr>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②完成了举办1期水稻全程机械化技术培训班，共165人参加，培训课程有：《补齐水稻机械化种植短板》和《水稻全程机械化栽培管理技术》；</w:t>
      </w:r>
    </w:p>
    <w:p>
      <w:pPr>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③制作以“</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"https://baike.baidu.com/item/%E5%86%9C%E4%B8%9A%E6%9C%BA%E6%A2%B0/1292576" \t "https://baike.baidu.com/item/%E5%86%9C%E4%B8%9A%E6%9C%BA%E6%A2%B0%E5%AE%89%E5%85%A8%E7%9B%91%E7%9D%A3%E7%AE%A1%E7%90%86%E6%9D%A1%E4%BE%8B/_blank"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农业机械</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安全”与“水稻全程机械化的技术要点”为主题的宣传资料。。</w:t>
      </w:r>
    </w:p>
    <w:p>
      <w:pPr>
        <w:pageBreakBefore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2.各项绩效指标完成情况</w:t>
      </w:r>
    </w:p>
    <w:p>
      <w:pPr>
        <w:pageBreakBefore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（1）产出指标</w:t>
      </w:r>
    </w:p>
    <w:p>
      <w:pPr>
        <w:pageBreakBefore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①数量指标：举办1期水稻农机装备与机械化技术现场会，共205人参加；举办1期培训班，共165人参加。</w:t>
      </w:r>
    </w:p>
    <w:p>
      <w:pPr>
        <w:pageBreakBefore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②质量指标：资金拨付到位率100%；任务完成率100%。</w:t>
      </w:r>
    </w:p>
    <w:p>
      <w:pPr>
        <w:pageBreakBefore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③时效指标：截止到10月31日项目按期完成率为100%。</w:t>
      </w:r>
    </w:p>
    <w:p>
      <w:pPr>
        <w:pageBreakBefore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④成本指标：项目经费支出≦项目预算。</w:t>
      </w:r>
    </w:p>
    <w:p>
      <w:pPr>
        <w:pageBreakBefore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（2）效益指标</w:t>
      </w:r>
    </w:p>
    <w:p>
      <w:pPr>
        <w:pageBreakBefore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①社会效益指标：社会关注度提升韶关市农业科技推广中心在韶关区域的农业科技服务水平、扩大农业科技服务范围；受到广大群众和参会人员的一致好评。</w:t>
      </w:r>
    </w:p>
    <w:p>
      <w:pPr>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②可持续影响指标：项目可持续进行。</w:t>
      </w:r>
    </w:p>
    <w:p>
      <w:pPr>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③服务对象满意度指标：让学员满意。</w:t>
      </w:r>
    </w:p>
    <w:p>
      <w:pPr>
        <w:pageBreakBefore w:val="0"/>
        <w:widowControl w:val="0"/>
        <w:numPr>
          <w:ilvl w:val="0"/>
          <w:numId w:val="1"/>
        </w:numPr>
        <w:kinsoku/>
        <w:wordWrap/>
        <w:overflowPunct/>
        <w:topLinePunct w:val="0"/>
        <w:autoSpaceDE/>
        <w:autoSpaceDN/>
        <w:bidi w:val="0"/>
        <w:adjustRightInd w:val="0"/>
        <w:snapToGrid w:val="0"/>
        <w:spacing w:line="520" w:lineRule="exact"/>
        <w:ind w:left="0" w:leftChars="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满意度指标</w:t>
      </w:r>
    </w:p>
    <w:p>
      <w:pPr>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rPr>
          <w:rStyle w:val="7"/>
          <w:rFonts w:hint="eastAsia" w:ascii="仿宋" w:hAnsi="仿宋" w:eastAsia="仿宋" w:cs="仿宋"/>
          <w:b w:val="0"/>
          <w:bCs w:val="0"/>
          <w:sz w:val="32"/>
          <w:szCs w:val="32"/>
          <w:lang w:val="en-US" w:eastAsia="zh-CN"/>
        </w:rPr>
      </w:pPr>
      <w:r>
        <w:rPr>
          <w:rFonts w:hint="eastAsia" w:ascii="仿宋" w:hAnsi="仿宋" w:eastAsia="仿宋" w:cs="仿宋"/>
          <w:sz w:val="32"/>
          <w:szCs w:val="32"/>
          <w:lang w:val="en-US" w:eastAsia="zh-CN"/>
        </w:rPr>
        <w:t>①受训学员满意度为满意。</w:t>
      </w:r>
    </w:p>
    <w:p>
      <w:pPr>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rPr>
          <w:rStyle w:val="7"/>
          <w:rFonts w:hint="eastAsia" w:ascii="仿宋" w:hAnsi="仿宋" w:eastAsia="仿宋" w:cs="仿宋"/>
          <w:b w:val="0"/>
          <w:bCs w:val="0"/>
          <w:sz w:val="32"/>
          <w:szCs w:val="32"/>
          <w:lang w:val="en-US" w:eastAsia="zh-CN"/>
        </w:rPr>
      </w:pPr>
      <w:r>
        <w:rPr>
          <w:rStyle w:val="7"/>
          <w:rFonts w:hint="eastAsia" w:ascii="仿宋" w:hAnsi="仿宋" w:eastAsia="仿宋" w:cs="仿宋"/>
          <w:b w:val="0"/>
          <w:bCs w:val="0"/>
          <w:sz w:val="32"/>
          <w:szCs w:val="32"/>
          <w:lang w:val="en-US" w:eastAsia="zh-CN"/>
        </w:rPr>
        <w:t>（二）项目资金使用情况</w:t>
      </w:r>
    </w:p>
    <w:p>
      <w:pPr>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我中心在资金使用和管理过程中严格执行专项资金管理办法，严格执行财务规章制度和会计核算办法，严格执行财政资金报账要求，按项目实施方案专款专用。</w:t>
      </w:r>
    </w:p>
    <w:p>
      <w:pPr>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项目资金共20万元，在2021年7月启动，资金按照韶关市农业农村局、</w:t>
      </w:r>
      <w:r>
        <w:rPr>
          <w:rFonts w:hint="eastAsia" w:ascii="仿宋" w:hAnsi="仿宋" w:eastAsia="仿宋" w:cs="仿宋"/>
          <w:b w:val="0"/>
          <w:bCs w:val="0"/>
          <w:color w:val="auto"/>
          <w:sz w:val="32"/>
          <w:szCs w:val="32"/>
          <w:lang w:val="en-US" w:eastAsia="zh-CN"/>
        </w:rPr>
        <w:t>韶关市财政局</w:t>
      </w:r>
      <w:r>
        <w:rPr>
          <w:rFonts w:hint="eastAsia" w:ascii="仿宋" w:hAnsi="仿宋" w:eastAsia="仿宋" w:cs="仿宋"/>
          <w:b w:val="0"/>
          <w:bCs w:val="0"/>
          <w:sz w:val="32"/>
          <w:szCs w:val="32"/>
          <w:lang w:val="en-US" w:eastAsia="zh-CN"/>
        </w:rPr>
        <w:t>批复的实施方案的资金使用计划安排支出。截至2021年10月底，专项资金20万元全部支出完成，支出进度为100%，详见资金使用情况表。</w:t>
      </w:r>
    </w:p>
    <w:p>
      <w:pPr>
        <w:pageBreakBefore w:val="0"/>
        <w:kinsoku/>
        <w:wordWrap/>
        <w:overflowPunct/>
        <w:topLinePunct w:val="0"/>
        <w:autoSpaceDE/>
        <w:autoSpaceDN/>
        <w:bidi w:val="0"/>
        <w:adjustRightInd w:val="0"/>
        <w:snapToGrid w:val="0"/>
        <w:spacing w:line="520" w:lineRule="exact"/>
        <w:jc w:val="center"/>
        <w:rPr>
          <w:rFonts w:hint="eastAsia" w:ascii="仿宋" w:hAnsi="仿宋" w:eastAsia="仿宋" w:cs="仿宋"/>
          <w:sz w:val="32"/>
          <w:szCs w:val="32"/>
          <w:lang w:val="en-US" w:eastAsia="zh-CN"/>
        </w:rPr>
      </w:pPr>
    </w:p>
    <w:p>
      <w:pPr>
        <w:pageBreakBefore w:val="0"/>
        <w:kinsoku/>
        <w:wordWrap/>
        <w:overflowPunct/>
        <w:topLinePunct w:val="0"/>
        <w:autoSpaceDE/>
        <w:autoSpaceDN/>
        <w:bidi w:val="0"/>
        <w:adjustRightInd w:val="0"/>
        <w:snapToGrid w:val="0"/>
        <w:spacing w:line="520" w:lineRule="exact"/>
        <w:jc w:val="center"/>
        <w:rPr>
          <w:rFonts w:hint="eastAsia" w:ascii="仿宋" w:hAnsi="仿宋" w:eastAsia="仿宋" w:cs="仿宋"/>
          <w:sz w:val="32"/>
          <w:szCs w:val="32"/>
          <w:lang w:val="en-US" w:eastAsia="zh-CN"/>
        </w:rPr>
      </w:pPr>
    </w:p>
    <w:p>
      <w:pPr>
        <w:pageBreakBefore w:val="0"/>
        <w:kinsoku/>
        <w:wordWrap/>
        <w:overflowPunct/>
        <w:topLinePunct w:val="0"/>
        <w:autoSpaceDE/>
        <w:autoSpaceDN/>
        <w:bidi w:val="0"/>
        <w:adjustRightInd w:val="0"/>
        <w:snapToGrid w:val="0"/>
        <w:spacing w:line="520" w:lineRule="exact"/>
        <w:jc w:val="center"/>
        <w:rPr>
          <w:rFonts w:hint="eastAsia" w:ascii="仿宋" w:hAnsi="仿宋" w:eastAsia="仿宋" w:cs="仿宋"/>
          <w:b w:val="0"/>
          <w:bCs w:val="0"/>
          <w:sz w:val="32"/>
          <w:szCs w:val="32"/>
          <w:lang w:val="en-US" w:eastAsia="zh-CN"/>
        </w:rPr>
      </w:pPr>
      <w:r>
        <w:rPr>
          <w:rFonts w:hint="eastAsia" w:ascii="仿宋" w:hAnsi="仿宋" w:eastAsia="仿宋" w:cs="仿宋"/>
          <w:sz w:val="32"/>
          <w:szCs w:val="32"/>
          <w:lang w:val="en-US" w:eastAsia="zh-CN"/>
        </w:rPr>
        <w:t>项目</w:t>
      </w:r>
      <w:r>
        <w:rPr>
          <w:rFonts w:hint="eastAsia" w:ascii="仿宋" w:hAnsi="仿宋" w:eastAsia="仿宋" w:cs="仿宋"/>
          <w:b w:val="0"/>
          <w:bCs w:val="0"/>
          <w:sz w:val="32"/>
          <w:szCs w:val="32"/>
          <w:lang w:val="en-US" w:eastAsia="zh-CN"/>
        </w:rPr>
        <w:t>资金使用情况表</w:t>
      </w:r>
    </w:p>
    <w:p>
      <w:pPr>
        <w:rPr>
          <w:rFonts w:hint="eastAsia" w:ascii="仿宋" w:hAnsi="仿宋" w:eastAsia="仿宋" w:cs="仿宋"/>
          <w:sz w:val="32"/>
          <w:szCs w:val="32"/>
          <w:lang w:val="en-US" w:eastAsia="zh-CN"/>
        </w:rPr>
      </w:pPr>
    </w:p>
    <w:tbl>
      <w:tblPr>
        <w:tblStyle w:val="6"/>
        <w:tblW w:w="9669" w:type="dxa"/>
        <w:tblInd w:w="0" w:type="dxa"/>
        <w:shd w:val="clear" w:color="auto" w:fill="auto"/>
        <w:tblLayout w:type="fixed"/>
        <w:tblCellMar>
          <w:top w:w="0" w:type="dxa"/>
          <w:left w:w="0" w:type="dxa"/>
          <w:bottom w:w="0" w:type="dxa"/>
          <w:right w:w="0" w:type="dxa"/>
        </w:tblCellMar>
      </w:tblPr>
      <w:tblGrid>
        <w:gridCol w:w="741"/>
        <w:gridCol w:w="5716"/>
        <w:gridCol w:w="1412"/>
        <w:gridCol w:w="1800"/>
      </w:tblGrid>
      <w:tr>
        <w:tblPrEx>
          <w:shd w:val="clear" w:color="auto" w:fill="auto"/>
          <w:tblCellMar>
            <w:top w:w="0" w:type="dxa"/>
            <w:left w:w="0" w:type="dxa"/>
            <w:bottom w:w="0" w:type="dxa"/>
            <w:right w:w="0" w:type="dxa"/>
          </w:tblCellMar>
        </w:tblPrEx>
        <w:trPr>
          <w:trHeight w:val="825"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b/>
                <w:bCs/>
                <w:i w:val="0"/>
                <w:color w:val="auto"/>
                <w:sz w:val="32"/>
                <w:szCs w:val="32"/>
                <w:u w:val="none"/>
              </w:rPr>
            </w:pPr>
            <w:r>
              <w:rPr>
                <w:rFonts w:hint="eastAsia" w:ascii="仿宋" w:hAnsi="仿宋" w:eastAsia="仿宋" w:cs="仿宋"/>
                <w:i w:val="0"/>
                <w:iCs w:val="0"/>
                <w:color w:val="000000"/>
                <w:kern w:val="0"/>
                <w:sz w:val="32"/>
                <w:szCs w:val="32"/>
                <w:u w:val="none"/>
                <w:lang w:val="en-US" w:eastAsia="zh-CN" w:bidi="ar"/>
              </w:rPr>
              <w:t>序号</w:t>
            </w:r>
          </w:p>
        </w:tc>
        <w:tc>
          <w:tcPr>
            <w:tcW w:w="5716"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b/>
                <w:bCs/>
                <w:i w:val="0"/>
                <w:color w:val="auto"/>
                <w:sz w:val="32"/>
                <w:szCs w:val="32"/>
                <w:u w:val="none"/>
              </w:rPr>
            </w:pPr>
            <w:r>
              <w:rPr>
                <w:rFonts w:hint="eastAsia" w:ascii="仿宋" w:hAnsi="仿宋" w:eastAsia="仿宋" w:cs="仿宋"/>
                <w:i w:val="0"/>
                <w:iCs w:val="0"/>
                <w:color w:val="000000"/>
                <w:kern w:val="0"/>
                <w:sz w:val="32"/>
                <w:szCs w:val="32"/>
                <w:u w:val="none"/>
                <w:lang w:val="en-US" w:eastAsia="zh-CN" w:bidi="ar"/>
              </w:rPr>
              <w:t>支出内容摘要</w:t>
            </w:r>
          </w:p>
        </w:tc>
        <w:tc>
          <w:tcPr>
            <w:tcW w:w="1412"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支付金额</w:t>
            </w:r>
          </w:p>
          <w:p>
            <w:pPr>
              <w:pStyle w:val="3"/>
              <w:keepNext w:val="0"/>
              <w:keepLines w:val="0"/>
              <w:pageBreakBefore w:val="0"/>
              <w:kinsoku/>
              <w:wordWrap/>
              <w:overflowPunct/>
              <w:topLinePunct w:val="0"/>
              <w:autoSpaceDE/>
              <w:autoSpaceDN/>
              <w:bidi w:val="0"/>
              <w:adjustRightInd w:val="0"/>
              <w:snapToGrid w:val="0"/>
              <w:spacing w:line="520" w:lineRule="exact"/>
              <w:ind w:firstLine="320" w:firstLineChars="100"/>
              <w:rPr>
                <w:rFonts w:hint="eastAsia" w:ascii="仿宋" w:hAnsi="仿宋" w:eastAsia="仿宋" w:cs="仿宋"/>
                <w:sz w:val="32"/>
                <w:szCs w:val="32"/>
              </w:rPr>
            </w:pPr>
            <w:r>
              <w:rPr>
                <w:rFonts w:hint="eastAsia" w:ascii="仿宋" w:hAnsi="仿宋" w:eastAsia="仿宋" w:cs="仿宋"/>
                <w:i w:val="0"/>
                <w:iCs w:val="0"/>
                <w:color w:val="000000"/>
                <w:kern w:val="0"/>
                <w:sz w:val="32"/>
                <w:szCs w:val="32"/>
                <w:u w:val="none"/>
                <w:lang w:val="en-US" w:eastAsia="zh-CN" w:bidi="ar"/>
              </w:rPr>
              <w:t>（元）</w:t>
            </w:r>
          </w:p>
        </w:tc>
        <w:tc>
          <w:tcPr>
            <w:tcW w:w="180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b/>
                <w:bCs/>
                <w:i w:val="0"/>
                <w:color w:val="auto"/>
                <w:sz w:val="32"/>
                <w:szCs w:val="32"/>
                <w:u w:val="none"/>
              </w:rPr>
            </w:pPr>
            <w:r>
              <w:rPr>
                <w:rFonts w:hint="eastAsia" w:ascii="仿宋" w:hAnsi="仿宋" w:eastAsia="仿宋" w:cs="仿宋"/>
                <w:i w:val="0"/>
                <w:iCs w:val="0"/>
                <w:color w:val="000000"/>
                <w:kern w:val="0"/>
                <w:sz w:val="32"/>
                <w:szCs w:val="32"/>
                <w:u w:val="none"/>
                <w:lang w:val="en-US" w:eastAsia="zh-CN" w:bidi="ar"/>
              </w:rPr>
              <w:t>备注</w:t>
            </w:r>
          </w:p>
        </w:tc>
      </w:tr>
      <w:tr>
        <w:tblPrEx>
          <w:shd w:val="clear" w:color="auto" w:fill="auto"/>
          <w:tblCellMar>
            <w:top w:w="0" w:type="dxa"/>
            <w:left w:w="0" w:type="dxa"/>
            <w:bottom w:w="0" w:type="dxa"/>
            <w:right w:w="0" w:type="dxa"/>
          </w:tblCellMar>
        </w:tblPrEx>
        <w:trPr>
          <w:trHeight w:val="1120" w:hRule="atLeast"/>
        </w:trPr>
        <w:tc>
          <w:tcPr>
            <w:tcW w:w="741" w:type="dxa"/>
            <w:tcBorders>
              <w:top w:val="nil"/>
              <w:left w:val="single" w:color="000000" w:sz="8" w:space="0"/>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color w:val="auto"/>
                <w:sz w:val="32"/>
                <w:szCs w:val="32"/>
                <w:u w:val="none"/>
              </w:rPr>
            </w:pPr>
            <w:r>
              <w:rPr>
                <w:rFonts w:hint="eastAsia" w:ascii="仿宋" w:hAnsi="仿宋" w:eastAsia="仿宋" w:cs="仿宋"/>
                <w:i w:val="0"/>
                <w:iCs w:val="0"/>
                <w:color w:val="000000"/>
                <w:kern w:val="0"/>
                <w:sz w:val="32"/>
                <w:szCs w:val="32"/>
                <w:u w:val="none"/>
                <w:lang w:val="en-US" w:eastAsia="zh-CN" w:bidi="ar"/>
              </w:rPr>
              <w:t>1</w:t>
            </w:r>
          </w:p>
        </w:tc>
        <w:tc>
          <w:tcPr>
            <w:tcW w:w="5716" w:type="dxa"/>
            <w:tcBorders>
              <w:top w:val="nil"/>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left"/>
              <w:textAlignment w:val="center"/>
              <w:rPr>
                <w:rFonts w:hint="eastAsia" w:ascii="仿宋" w:hAnsi="仿宋" w:eastAsia="仿宋" w:cs="仿宋"/>
                <w:sz w:val="32"/>
                <w:szCs w:val="32"/>
              </w:rPr>
            </w:pPr>
            <w:r>
              <w:rPr>
                <w:rFonts w:hint="eastAsia" w:ascii="仿宋" w:hAnsi="仿宋" w:eastAsia="仿宋" w:cs="仿宋"/>
                <w:i w:val="0"/>
                <w:iCs w:val="0"/>
                <w:color w:val="000000"/>
                <w:kern w:val="0"/>
                <w:sz w:val="32"/>
                <w:szCs w:val="32"/>
                <w:u w:val="none"/>
                <w:lang w:val="en-US" w:eastAsia="zh-CN" w:bidi="ar"/>
              </w:rPr>
              <w:t>2021年韶关市农业机械化示范推广暨水稻机械化插播现场会：农机展示、演示及午餐</w:t>
            </w:r>
          </w:p>
        </w:tc>
        <w:tc>
          <w:tcPr>
            <w:tcW w:w="1412" w:type="dxa"/>
            <w:tcBorders>
              <w:top w:val="nil"/>
              <w:left w:val="nil"/>
              <w:bottom w:val="nil"/>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148900</w:t>
            </w:r>
          </w:p>
        </w:tc>
        <w:tc>
          <w:tcPr>
            <w:tcW w:w="180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7月16日开支</w:t>
            </w:r>
          </w:p>
        </w:tc>
      </w:tr>
      <w:tr>
        <w:tblPrEx>
          <w:tblCellMar>
            <w:top w:w="0" w:type="dxa"/>
            <w:left w:w="0" w:type="dxa"/>
            <w:bottom w:w="0" w:type="dxa"/>
            <w:right w:w="0" w:type="dxa"/>
          </w:tblCellMar>
        </w:tblPrEx>
        <w:trPr>
          <w:trHeight w:val="735" w:hRule="atLeast"/>
        </w:trPr>
        <w:tc>
          <w:tcPr>
            <w:tcW w:w="74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color w:val="auto"/>
                <w:sz w:val="32"/>
                <w:szCs w:val="32"/>
                <w:u w:val="none"/>
              </w:rPr>
            </w:pPr>
            <w:r>
              <w:rPr>
                <w:rFonts w:hint="eastAsia" w:ascii="仿宋" w:hAnsi="仿宋" w:eastAsia="仿宋" w:cs="仿宋"/>
                <w:i w:val="0"/>
                <w:iCs w:val="0"/>
                <w:color w:val="000000"/>
                <w:kern w:val="0"/>
                <w:sz w:val="32"/>
                <w:szCs w:val="32"/>
                <w:u w:val="none"/>
                <w:lang w:val="en-US" w:eastAsia="zh-CN" w:bidi="ar"/>
              </w:rPr>
              <w:t>2</w:t>
            </w:r>
          </w:p>
        </w:tc>
        <w:tc>
          <w:tcPr>
            <w:tcW w:w="5716"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left"/>
              <w:textAlignment w:val="center"/>
              <w:rPr>
                <w:rFonts w:hint="eastAsia" w:ascii="仿宋" w:hAnsi="仿宋" w:eastAsia="仿宋" w:cs="仿宋"/>
                <w:sz w:val="32"/>
                <w:szCs w:val="32"/>
              </w:rPr>
            </w:pPr>
            <w:r>
              <w:rPr>
                <w:rFonts w:hint="eastAsia" w:ascii="仿宋" w:hAnsi="仿宋" w:eastAsia="仿宋" w:cs="仿宋"/>
                <w:i w:val="0"/>
                <w:iCs w:val="0"/>
                <w:color w:val="000000"/>
                <w:kern w:val="0"/>
                <w:sz w:val="32"/>
                <w:szCs w:val="32"/>
                <w:u w:val="none"/>
                <w:lang w:val="en-US" w:eastAsia="zh-CN" w:bidi="ar"/>
              </w:rPr>
              <w:t>2021 年韶关市农业机械化示范推广暨水稻机械化插播培训：餐费、课室租赁费</w:t>
            </w:r>
          </w:p>
        </w:tc>
        <w:tc>
          <w:tcPr>
            <w:tcW w:w="1412"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22700</w:t>
            </w:r>
          </w:p>
        </w:tc>
        <w:tc>
          <w:tcPr>
            <w:tcW w:w="180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7月15日开支</w:t>
            </w:r>
          </w:p>
        </w:tc>
      </w:tr>
      <w:tr>
        <w:tblPrEx>
          <w:tblCellMar>
            <w:top w:w="0" w:type="dxa"/>
            <w:left w:w="0" w:type="dxa"/>
            <w:bottom w:w="0" w:type="dxa"/>
            <w:right w:w="0" w:type="dxa"/>
          </w:tblCellMar>
        </w:tblPrEx>
        <w:trPr>
          <w:trHeight w:val="709" w:hRule="atLeast"/>
        </w:trPr>
        <w:tc>
          <w:tcPr>
            <w:tcW w:w="74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color w:val="auto"/>
                <w:sz w:val="32"/>
                <w:szCs w:val="32"/>
                <w:u w:val="none"/>
              </w:rPr>
            </w:pPr>
            <w:r>
              <w:rPr>
                <w:rFonts w:hint="eastAsia" w:ascii="仿宋" w:hAnsi="仿宋" w:eastAsia="仿宋" w:cs="仿宋"/>
                <w:i w:val="0"/>
                <w:iCs w:val="0"/>
                <w:color w:val="000000"/>
                <w:kern w:val="0"/>
                <w:sz w:val="32"/>
                <w:szCs w:val="32"/>
                <w:u w:val="none"/>
                <w:lang w:val="en-US" w:eastAsia="zh-CN" w:bidi="ar"/>
              </w:rPr>
              <w:t>3</w:t>
            </w:r>
          </w:p>
        </w:tc>
        <w:tc>
          <w:tcPr>
            <w:tcW w:w="571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left"/>
              <w:textAlignment w:val="center"/>
              <w:rPr>
                <w:rFonts w:hint="eastAsia" w:ascii="仿宋" w:hAnsi="仿宋" w:eastAsia="仿宋" w:cs="仿宋"/>
                <w:sz w:val="32"/>
                <w:szCs w:val="32"/>
              </w:rPr>
            </w:pPr>
            <w:r>
              <w:rPr>
                <w:rFonts w:hint="eastAsia" w:ascii="仿宋" w:hAnsi="仿宋" w:eastAsia="仿宋" w:cs="仿宋"/>
                <w:i w:val="0"/>
                <w:iCs w:val="0"/>
                <w:color w:val="000000"/>
                <w:kern w:val="0"/>
                <w:sz w:val="32"/>
                <w:szCs w:val="32"/>
                <w:u w:val="none"/>
                <w:lang w:val="en-US" w:eastAsia="zh-CN" w:bidi="ar"/>
              </w:rPr>
              <w:t>2021 年韶关市农业机械化示范推广暨水稻机械化插播现场会：住宿费</w:t>
            </w:r>
          </w:p>
        </w:tc>
        <w:tc>
          <w:tcPr>
            <w:tcW w:w="14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15184</w:t>
            </w:r>
          </w:p>
        </w:tc>
        <w:tc>
          <w:tcPr>
            <w:tcW w:w="180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7月15日开支</w:t>
            </w:r>
          </w:p>
        </w:tc>
      </w:tr>
      <w:tr>
        <w:tblPrEx>
          <w:tblCellMar>
            <w:top w:w="0" w:type="dxa"/>
            <w:left w:w="0" w:type="dxa"/>
            <w:bottom w:w="0" w:type="dxa"/>
            <w:right w:w="0" w:type="dxa"/>
          </w:tblCellMar>
        </w:tblPrEx>
        <w:trPr>
          <w:trHeight w:val="1138" w:hRule="atLeast"/>
        </w:trPr>
        <w:tc>
          <w:tcPr>
            <w:tcW w:w="74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color w:val="auto"/>
                <w:sz w:val="32"/>
                <w:szCs w:val="32"/>
                <w:u w:val="none"/>
              </w:rPr>
            </w:pPr>
            <w:r>
              <w:rPr>
                <w:rFonts w:hint="eastAsia" w:ascii="仿宋" w:hAnsi="仿宋" w:eastAsia="仿宋" w:cs="仿宋"/>
                <w:i w:val="0"/>
                <w:iCs w:val="0"/>
                <w:color w:val="000000"/>
                <w:kern w:val="0"/>
                <w:sz w:val="32"/>
                <w:szCs w:val="32"/>
                <w:u w:val="none"/>
                <w:lang w:val="en-US" w:eastAsia="zh-CN" w:bidi="ar"/>
              </w:rPr>
              <w:t>4</w:t>
            </w:r>
          </w:p>
        </w:tc>
        <w:tc>
          <w:tcPr>
            <w:tcW w:w="571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left"/>
              <w:textAlignment w:val="center"/>
              <w:rPr>
                <w:rFonts w:hint="eastAsia" w:ascii="仿宋" w:hAnsi="仿宋" w:eastAsia="仿宋" w:cs="仿宋"/>
                <w:sz w:val="32"/>
                <w:szCs w:val="32"/>
              </w:rPr>
            </w:pPr>
            <w:r>
              <w:rPr>
                <w:rFonts w:hint="eastAsia" w:ascii="仿宋" w:hAnsi="仿宋" w:eastAsia="仿宋" w:cs="仿宋"/>
                <w:i w:val="0"/>
                <w:iCs w:val="0"/>
                <w:color w:val="000000"/>
                <w:kern w:val="0"/>
                <w:sz w:val="32"/>
                <w:szCs w:val="32"/>
                <w:u w:val="none"/>
                <w:lang w:val="en-US" w:eastAsia="zh-CN" w:bidi="ar"/>
              </w:rPr>
              <w:t>2021 年韶关市农业机械化示范推广暨水稻机械化插播培训资料制作费</w:t>
            </w:r>
          </w:p>
        </w:tc>
        <w:tc>
          <w:tcPr>
            <w:tcW w:w="14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4230</w:t>
            </w:r>
          </w:p>
        </w:tc>
        <w:tc>
          <w:tcPr>
            <w:tcW w:w="180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7月15日开支</w:t>
            </w:r>
          </w:p>
        </w:tc>
      </w:tr>
      <w:tr>
        <w:tblPrEx>
          <w:tblCellMar>
            <w:top w:w="0" w:type="dxa"/>
            <w:left w:w="0" w:type="dxa"/>
            <w:bottom w:w="0" w:type="dxa"/>
            <w:right w:w="0" w:type="dxa"/>
          </w:tblCellMar>
        </w:tblPrEx>
        <w:trPr>
          <w:trHeight w:val="495" w:hRule="atLeast"/>
        </w:trPr>
        <w:tc>
          <w:tcPr>
            <w:tcW w:w="74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color w:val="auto"/>
                <w:sz w:val="32"/>
                <w:szCs w:val="32"/>
                <w:u w:val="none"/>
              </w:rPr>
            </w:pPr>
            <w:r>
              <w:rPr>
                <w:rFonts w:hint="eastAsia" w:ascii="仿宋" w:hAnsi="仿宋" w:eastAsia="仿宋" w:cs="仿宋"/>
                <w:i w:val="0"/>
                <w:iCs w:val="0"/>
                <w:color w:val="000000"/>
                <w:kern w:val="0"/>
                <w:sz w:val="32"/>
                <w:szCs w:val="32"/>
                <w:u w:val="none"/>
                <w:lang w:val="en-US" w:eastAsia="zh-CN" w:bidi="ar"/>
              </w:rPr>
              <w:t>5</w:t>
            </w:r>
          </w:p>
        </w:tc>
        <w:tc>
          <w:tcPr>
            <w:tcW w:w="571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left"/>
              <w:textAlignment w:val="center"/>
              <w:rPr>
                <w:rFonts w:hint="eastAsia" w:ascii="仿宋" w:hAnsi="仿宋" w:eastAsia="仿宋" w:cs="仿宋"/>
                <w:sz w:val="32"/>
                <w:szCs w:val="32"/>
              </w:rPr>
            </w:pPr>
            <w:r>
              <w:rPr>
                <w:rFonts w:hint="eastAsia" w:ascii="仿宋" w:hAnsi="仿宋" w:eastAsia="仿宋" w:cs="仿宋"/>
                <w:i w:val="0"/>
                <w:iCs w:val="0"/>
                <w:color w:val="000000"/>
                <w:kern w:val="0"/>
                <w:sz w:val="32"/>
                <w:szCs w:val="32"/>
                <w:u w:val="none"/>
                <w:lang w:val="en-US" w:eastAsia="zh-CN" w:bidi="ar"/>
              </w:rPr>
              <w:t>2021年韶关市农业机械化示范推广项目宣传资料制作费</w:t>
            </w:r>
          </w:p>
        </w:tc>
        <w:tc>
          <w:tcPr>
            <w:tcW w:w="14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8986</w:t>
            </w:r>
          </w:p>
        </w:tc>
        <w:tc>
          <w:tcPr>
            <w:tcW w:w="180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10月15日开支</w:t>
            </w:r>
          </w:p>
        </w:tc>
      </w:tr>
      <w:tr>
        <w:tblPrEx>
          <w:tblCellMar>
            <w:top w:w="0" w:type="dxa"/>
            <w:left w:w="0" w:type="dxa"/>
            <w:bottom w:w="0" w:type="dxa"/>
            <w:right w:w="0" w:type="dxa"/>
          </w:tblCellMar>
        </w:tblPrEx>
        <w:trPr>
          <w:trHeight w:val="674" w:hRule="atLeast"/>
        </w:trPr>
        <w:tc>
          <w:tcPr>
            <w:tcW w:w="74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color w:val="auto"/>
                <w:sz w:val="32"/>
                <w:szCs w:val="32"/>
                <w:u w:val="none"/>
              </w:rPr>
            </w:pPr>
            <w:r>
              <w:rPr>
                <w:rFonts w:hint="eastAsia" w:ascii="仿宋" w:hAnsi="仿宋" w:eastAsia="仿宋" w:cs="仿宋"/>
                <w:i w:val="0"/>
                <w:iCs w:val="0"/>
                <w:color w:val="000000"/>
                <w:kern w:val="0"/>
                <w:sz w:val="32"/>
                <w:szCs w:val="32"/>
                <w:u w:val="none"/>
                <w:lang w:val="en-US" w:eastAsia="zh-CN" w:bidi="ar"/>
              </w:rPr>
              <w:t>合计</w:t>
            </w:r>
          </w:p>
        </w:tc>
        <w:tc>
          <w:tcPr>
            <w:tcW w:w="5716"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val="0"/>
              <w:spacing w:line="520" w:lineRule="exact"/>
              <w:jc w:val="center"/>
              <w:rPr>
                <w:rFonts w:hint="eastAsia" w:ascii="仿宋" w:hAnsi="仿宋" w:eastAsia="仿宋" w:cs="仿宋"/>
                <w:sz w:val="32"/>
                <w:szCs w:val="32"/>
              </w:rPr>
            </w:pPr>
          </w:p>
        </w:tc>
        <w:tc>
          <w:tcPr>
            <w:tcW w:w="14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200000</w:t>
            </w:r>
          </w:p>
        </w:tc>
        <w:tc>
          <w:tcPr>
            <w:tcW w:w="180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iCs w:val="0"/>
                <w:color w:val="000000"/>
                <w:kern w:val="0"/>
                <w:sz w:val="32"/>
                <w:szCs w:val="32"/>
                <w:u w:val="none"/>
                <w:lang w:val="en-US" w:eastAsia="zh-CN" w:bidi="ar"/>
              </w:rPr>
            </w:pPr>
          </w:p>
        </w:tc>
      </w:tr>
      <w:tr>
        <w:tblPrEx>
          <w:tblCellMar>
            <w:top w:w="0" w:type="dxa"/>
            <w:left w:w="0" w:type="dxa"/>
            <w:bottom w:w="0" w:type="dxa"/>
            <w:right w:w="0" w:type="dxa"/>
          </w:tblCellMar>
        </w:tblPrEx>
        <w:trPr>
          <w:trHeight w:val="702" w:hRule="atLeast"/>
        </w:trPr>
        <w:tc>
          <w:tcPr>
            <w:tcW w:w="6457" w:type="dxa"/>
            <w:gridSpan w:val="2"/>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color w:val="auto"/>
                <w:sz w:val="32"/>
                <w:szCs w:val="32"/>
                <w:u w:val="none"/>
              </w:rPr>
            </w:pPr>
            <w:r>
              <w:rPr>
                <w:rFonts w:hint="eastAsia" w:ascii="仿宋" w:hAnsi="仿宋" w:eastAsia="仿宋" w:cs="仿宋"/>
                <w:i w:val="0"/>
                <w:iCs w:val="0"/>
                <w:color w:val="000000"/>
                <w:kern w:val="0"/>
                <w:sz w:val="32"/>
                <w:szCs w:val="32"/>
                <w:u w:val="none"/>
                <w:lang w:val="en-US" w:eastAsia="zh-CN" w:bidi="ar"/>
              </w:rPr>
              <w:t>项目结余</w:t>
            </w:r>
          </w:p>
        </w:tc>
        <w:tc>
          <w:tcPr>
            <w:tcW w:w="14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0</w:t>
            </w:r>
          </w:p>
        </w:tc>
        <w:tc>
          <w:tcPr>
            <w:tcW w:w="180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520" w:lineRule="exact"/>
              <w:jc w:val="center"/>
              <w:textAlignment w:val="center"/>
              <w:rPr>
                <w:rFonts w:hint="eastAsia" w:ascii="仿宋" w:hAnsi="仿宋" w:eastAsia="仿宋" w:cs="仿宋"/>
                <w:i w:val="0"/>
                <w:iCs w:val="0"/>
                <w:color w:val="000000"/>
                <w:kern w:val="0"/>
                <w:sz w:val="32"/>
                <w:szCs w:val="32"/>
                <w:u w:val="none"/>
                <w:lang w:val="en-US" w:eastAsia="zh-CN" w:bidi="ar"/>
              </w:rPr>
            </w:pPr>
          </w:p>
        </w:tc>
      </w:tr>
    </w:tbl>
    <w:p>
      <w:pPr>
        <w:pageBreakBefore w:val="0"/>
        <w:widowControl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sz w:val="32"/>
          <w:szCs w:val="32"/>
          <w:lang w:val="en-US" w:eastAsia="zh-CN"/>
        </w:rPr>
        <w:t xml:space="preserve"> </w:t>
      </w:r>
    </w:p>
    <w:p>
      <w:pPr>
        <w:pageBreakBefore w:val="0"/>
        <w:widowControl w:val="0"/>
        <w:kinsoku/>
        <w:wordWrap/>
        <w:overflowPunct/>
        <w:topLinePunct w:val="0"/>
        <w:autoSpaceDE/>
        <w:autoSpaceDN/>
        <w:bidi w:val="0"/>
        <w:adjustRightInd w:val="0"/>
        <w:snapToGrid w:val="0"/>
        <w:spacing w:line="520" w:lineRule="exact"/>
        <w:ind w:firstLine="64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三、总体绩效目标完成情况总结</w:t>
      </w:r>
    </w:p>
    <w:p>
      <w:pPr>
        <w:pageBreakBefore w:val="0"/>
        <w:widowControl w:val="0"/>
        <w:kinsoku/>
        <w:wordWrap/>
        <w:overflowPunct/>
        <w:topLinePunct w:val="0"/>
        <w:autoSpaceDE/>
        <w:autoSpaceDN/>
        <w:bidi w:val="0"/>
        <w:adjustRightInd w:val="0"/>
        <w:snapToGrid w:val="0"/>
        <w:spacing w:line="520" w:lineRule="exact"/>
        <w:ind w:firstLine="64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加速提升主要农作物综合机械化水平。通过</w:t>
      </w:r>
      <w:r>
        <w:rPr>
          <w:rFonts w:hint="eastAsia" w:ascii="仿宋" w:hAnsi="仿宋" w:eastAsia="仿宋" w:cs="仿宋"/>
          <w:sz w:val="32"/>
          <w:szCs w:val="32"/>
          <w:lang w:val="en-US" w:eastAsia="zh-CN"/>
        </w:rPr>
        <w:t>举办1期水稻农机装备与机械化技术现场会，共205人参加；举办1期培训班，共165人参加；</w:t>
      </w:r>
      <w:r>
        <w:rPr>
          <w:rFonts w:hint="eastAsia" w:ascii="仿宋" w:hAnsi="仿宋" w:eastAsia="仿宋" w:cs="仿宋"/>
          <w:b w:val="0"/>
          <w:bCs w:val="0"/>
          <w:sz w:val="32"/>
          <w:szCs w:val="32"/>
          <w:lang w:val="en-US" w:eastAsia="zh-CN"/>
        </w:rPr>
        <w:t>集中宣传推广适合当地的水稻机械种植模式，并调动农户和农业企业购置新农机装备的积极性。</w:t>
      </w:r>
    </w:p>
    <w:p>
      <w:pPr>
        <w:pageBreakBefore w:val="0"/>
        <w:widowControl w:val="0"/>
        <w:kinsoku/>
        <w:wordWrap/>
        <w:overflowPunct/>
        <w:topLinePunct w:val="0"/>
        <w:autoSpaceDE/>
        <w:autoSpaceDN/>
        <w:bidi w:val="0"/>
        <w:adjustRightInd w:val="0"/>
        <w:snapToGrid w:val="0"/>
        <w:spacing w:line="520" w:lineRule="exact"/>
        <w:ind w:firstLine="64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解决新产品研发和生产中的难题，切实提升农业机械化技术推广效果。通过农机展示及现场演示。其中水稻全程机械化机械等30多台（套）现场展示，拖拉机打田、有序抛秧、插秧机及无人机直播等4种方式进行现场演示等，加快推进我市农业机械化和农机装备产业转型升级。</w:t>
      </w:r>
    </w:p>
    <w:p>
      <w:pPr>
        <w:pageBreakBefore w:val="0"/>
        <w:widowControl w:val="0"/>
        <w:kinsoku/>
        <w:wordWrap/>
        <w:overflowPunct/>
        <w:topLinePunct w:val="0"/>
        <w:autoSpaceDE/>
        <w:autoSpaceDN/>
        <w:bidi w:val="0"/>
        <w:adjustRightInd w:val="0"/>
        <w:snapToGrid w:val="0"/>
        <w:spacing w:line="520" w:lineRule="exact"/>
        <w:ind w:firstLine="64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提升了我市农机装备技术创新能力。项目顺利完成，加快我市农机科研成果、产业化农机产品研发、生产、推广新模式，持续提升我市农机装备技术创新能力，和提高韶关市农业科技推广中心在韶关农业产业发展中的科技支撑作用。</w:t>
      </w:r>
    </w:p>
    <w:p>
      <w:pPr>
        <w:pageBreakBefore w:val="0"/>
        <w:widowControl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四、下一步措施</w:t>
      </w:r>
    </w:p>
    <w:p>
      <w:pPr>
        <w:pageBreakBefore w:val="0"/>
        <w:widowControl w:val="0"/>
        <w:kinsoku/>
        <w:wordWrap/>
        <w:overflowPunct/>
        <w:topLinePunct w:val="0"/>
        <w:autoSpaceDE/>
        <w:autoSpaceDN/>
        <w:bidi w:val="0"/>
        <w:adjustRightInd w:val="0"/>
        <w:snapToGrid w:val="0"/>
        <w:spacing w:line="520" w:lineRule="exact"/>
        <w:ind w:firstLine="64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进行深入学习农机与农艺相结合的先进实用技术，更好宣传和推广适合韶关当地的农业机械种植模式，以提升韶关主要农作物综合机械化水平；</w:t>
      </w:r>
    </w:p>
    <w:p>
      <w:pPr>
        <w:pageBreakBefore w:val="0"/>
        <w:widowControl w:val="0"/>
        <w:kinsoku/>
        <w:wordWrap/>
        <w:overflowPunct/>
        <w:topLinePunct w:val="0"/>
        <w:autoSpaceDE/>
        <w:autoSpaceDN/>
        <w:bidi w:val="0"/>
        <w:adjustRightInd w:val="0"/>
        <w:snapToGrid w:val="0"/>
        <w:spacing w:line="520" w:lineRule="exact"/>
        <w:ind w:firstLine="640"/>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在今后</w:t>
      </w:r>
      <w:bookmarkStart w:id="0" w:name="_GoBack"/>
      <w:bookmarkEnd w:id="0"/>
      <w:r>
        <w:rPr>
          <w:rFonts w:hint="eastAsia" w:ascii="仿宋" w:hAnsi="仿宋" w:eastAsia="仿宋" w:cs="仿宋"/>
          <w:b w:val="0"/>
          <w:bCs w:val="0"/>
          <w:sz w:val="32"/>
          <w:szCs w:val="32"/>
          <w:lang w:val="en-US" w:eastAsia="zh-CN"/>
        </w:rPr>
        <w:t xml:space="preserve">的工作中，申报项目制定绩效目标时，应当加强相关项目绩效指标定义的学习和了解。  </w:t>
      </w:r>
    </w:p>
    <w:p>
      <w:pPr>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sz w:val="32"/>
          <w:szCs w:val="32"/>
        </w:rPr>
      </w:pPr>
      <w:r>
        <w:rPr>
          <w:rFonts w:hint="eastAsia" w:ascii="仿宋" w:hAnsi="仿宋" w:eastAsia="仿宋" w:cs="仿宋"/>
          <w:b w:val="0"/>
          <w:bCs w:val="0"/>
          <w:sz w:val="32"/>
          <w:szCs w:val="32"/>
          <w:lang w:val="en-US" w:eastAsia="zh-CN"/>
        </w:rPr>
        <w:t>五、</w:t>
      </w:r>
      <w:r>
        <w:rPr>
          <w:rFonts w:hint="eastAsia" w:ascii="仿宋" w:hAnsi="仿宋" w:eastAsia="仿宋" w:cs="仿宋"/>
          <w:sz w:val="32"/>
          <w:szCs w:val="32"/>
        </w:rPr>
        <w:t>自评结论</w:t>
      </w:r>
      <w:r>
        <w:rPr>
          <w:rFonts w:hint="eastAsia" w:ascii="仿宋" w:hAnsi="仿宋" w:eastAsia="仿宋" w:cs="仿宋"/>
          <w:sz w:val="32"/>
          <w:szCs w:val="32"/>
          <w:lang w:eastAsia="zh-CN"/>
        </w:rPr>
        <w:t>：</w:t>
      </w:r>
      <w:r>
        <w:rPr>
          <w:rFonts w:hint="eastAsia" w:ascii="仿宋" w:hAnsi="仿宋" w:eastAsia="仿宋" w:cs="仿宋"/>
          <w:sz w:val="32"/>
          <w:szCs w:val="32"/>
        </w:rPr>
        <w:t>绩效自评得分9</w:t>
      </w:r>
      <w:r>
        <w:rPr>
          <w:rFonts w:hint="eastAsia" w:ascii="仿宋" w:hAnsi="仿宋" w:eastAsia="仿宋" w:cs="仿宋"/>
          <w:sz w:val="32"/>
          <w:szCs w:val="32"/>
          <w:lang w:val="en-US" w:eastAsia="zh-CN"/>
        </w:rPr>
        <w:t>3</w:t>
      </w:r>
      <w:r>
        <w:rPr>
          <w:rFonts w:hint="eastAsia" w:ascii="仿宋" w:hAnsi="仿宋" w:eastAsia="仿宋" w:cs="仿宋"/>
          <w:sz w:val="32"/>
          <w:szCs w:val="32"/>
        </w:rPr>
        <w:t>分，结论为优。</w:t>
      </w:r>
    </w:p>
    <w:p>
      <w:pPr>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cs="仿宋"/>
          <w:b w:val="0"/>
          <w:bCs w:val="0"/>
          <w:sz w:val="32"/>
          <w:szCs w:val="32"/>
          <w:lang w:val="en-US" w:eastAsia="zh-CN"/>
        </w:rPr>
      </w:pPr>
    </w:p>
    <w:p>
      <w:pPr>
        <w:pStyle w:val="2"/>
        <w:pageBreakBefore w:val="0"/>
        <w:kinsoku/>
        <w:wordWrap/>
        <w:overflowPunct/>
        <w:topLinePunct w:val="0"/>
        <w:autoSpaceDE/>
        <w:autoSpaceDN/>
        <w:bidi w:val="0"/>
        <w:adjustRightInd w:val="0"/>
        <w:snapToGrid w:val="0"/>
        <w:spacing w:line="520" w:lineRule="exact"/>
        <w:ind w:firstLine="6080" w:firstLineChars="1900"/>
        <w:rPr>
          <w:rFonts w:hint="eastAsia" w:ascii="仿宋" w:hAnsi="仿宋" w:eastAsia="仿宋" w:cs="仿宋"/>
          <w:b w:val="0"/>
          <w:bCs w:val="0"/>
          <w:sz w:val="32"/>
          <w:szCs w:val="32"/>
          <w:lang w:val="en-US" w:eastAsia="zh-CN"/>
        </w:rPr>
      </w:pPr>
    </w:p>
    <w:p>
      <w:pPr>
        <w:pStyle w:val="2"/>
        <w:pageBreakBefore w:val="0"/>
        <w:kinsoku/>
        <w:wordWrap/>
        <w:overflowPunct/>
        <w:topLinePunct w:val="0"/>
        <w:autoSpaceDE/>
        <w:autoSpaceDN/>
        <w:bidi w:val="0"/>
        <w:adjustRightInd w:val="0"/>
        <w:snapToGrid w:val="0"/>
        <w:spacing w:line="520" w:lineRule="exact"/>
        <w:ind w:firstLine="6080" w:firstLineChars="1900"/>
        <w:rPr>
          <w:rFonts w:hint="eastAsia" w:ascii="仿宋" w:hAnsi="仿宋" w:eastAsia="仿宋" w:cs="仿宋"/>
          <w:b w:val="0"/>
          <w:bCs w:val="0"/>
          <w:sz w:val="32"/>
          <w:szCs w:val="32"/>
          <w:lang w:val="en-US" w:eastAsia="zh-CN"/>
        </w:rPr>
      </w:pPr>
    </w:p>
    <w:p>
      <w:pPr>
        <w:pageBreakBefore w:val="0"/>
        <w:kinsoku/>
        <w:wordWrap/>
        <w:overflowPunct/>
        <w:topLinePunct w:val="0"/>
        <w:autoSpaceDE/>
        <w:autoSpaceDN/>
        <w:bidi w:val="0"/>
        <w:adjustRightInd w:val="0"/>
        <w:snapToGrid w:val="0"/>
        <w:spacing w:line="520" w:lineRule="exact"/>
        <w:rPr>
          <w:rFonts w:hint="eastAsia" w:ascii="仿宋" w:hAnsi="仿宋" w:eastAsia="仿宋" w:cs="仿宋"/>
          <w:sz w:val="32"/>
          <w:szCs w:val="32"/>
          <w:lang w:val="en-US" w:eastAsia="zh-CN"/>
        </w:rPr>
      </w:pPr>
    </w:p>
    <w:p>
      <w:pPr>
        <w:pageBreakBefore w:val="0"/>
        <w:kinsoku/>
        <w:wordWrap/>
        <w:overflowPunct/>
        <w:topLinePunct w:val="0"/>
        <w:autoSpaceDE/>
        <w:autoSpaceDN/>
        <w:bidi w:val="0"/>
        <w:adjustRightInd w:val="0"/>
        <w:snapToGrid w:val="0"/>
        <w:spacing w:line="520" w:lineRule="exact"/>
        <w:rPr>
          <w:rFonts w:hint="eastAsia" w:ascii="仿宋" w:hAnsi="仿宋" w:eastAsia="仿宋" w:cs="仿宋"/>
          <w:sz w:val="32"/>
          <w:szCs w:val="32"/>
          <w:lang w:val="en-US" w:eastAsia="zh-CN"/>
        </w:rPr>
      </w:pPr>
    </w:p>
    <w:p>
      <w:pPr>
        <w:pStyle w:val="2"/>
        <w:pageBreakBefore w:val="0"/>
        <w:kinsoku/>
        <w:wordWrap/>
        <w:overflowPunct/>
        <w:topLinePunct w:val="0"/>
        <w:autoSpaceDE/>
        <w:autoSpaceDN/>
        <w:bidi w:val="0"/>
        <w:adjustRightInd w:val="0"/>
        <w:snapToGrid w:val="0"/>
        <w:spacing w:line="520" w:lineRule="exact"/>
        <w:ind w:firstLine="4800" w:firstLineChars="15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韶关市农业科技推广中心</w:t>
      </w:r>
    </w:p>
    <w:p>
      <w:pPr>
        <w:pageBreakBefore w:val="0"/>
        <w:kinsoku/>
        <w:wordWrap/>
        <w:overflowPunct/>
        <w:topLinePunct w:val="0"/>
        <w:autoSpaceDE/>
        <w:autoSpaceDN/>
        <w:bidi w:val="0"/>
        <w:adjustRightInd w:val="0"/>
        <w:snapToGrid w:val="0"/>
        <w:spacing w:line="520" w:lineRule="exact"/>
        <w:ind w:firstLine="5120" w:firstLineChars="16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2022年2月10日</w:t>
      </w:r>
    </w:p>
    <w:p>
      <w:pPr>
        <w:pageBreakBefore w:val="0"/>
        <w:kinsoku/>
        <w:wordWrap/>
        <w:overflowPunct/>
        <w:topLinePunct w:val="0"/>
        <w:autoSpaceDE/>
        <w:autoSpaceDN/>
        <w:bidi w:val="0"/>
        <w:adjustRightInd w:val="0"/>
        <w:snapToGrid w:val="0"/>
        <w:spacing w:line="500" w:lineRule="exact"/>
        <w:jc w:val="center"/>
        <w:rPr>
          <w:rFonts w:hint="eastAsia" w:ascii="仿宋" w:hAnsi="仿宋" w:eastAsia="仿宋" w:cs="仿宋"/>
          <w:sz w:val="32"/>
          <w:szCs w:val="32"/>
          <w:lang w:val="en-US" w:eastAsia="zh-CN"/>
        </w:rPr>
      </w:pP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70B992"/>
    <w:multiLevelType w:val="singleLevel"/>
    <w:tmpl w:val="AC70B992"/>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4MDFiMGZiZWU5M2EwNDhmZjYzMWMyY2QwM2ZjMDkifQ=="/>
  </w:docVars>
  <w:rsids>
    <w:rsidRoot w:val="221B283D"/>
    <w:rsid w:val="001F5205"/>
    <w:rsid w:val="00583D67"/>
    <w:rsid w:val="00856D3C"/>
    <w:rsid w:val="01F3712C"/>
    <w:rsid w:val="02A92E54"/>
    <w:rsid w:val="045B5EFF"/>
    <w:rsid w:val="05100088"/>
    <w:rsid w:val="055174F9"/>
    <w:rsid w:val="05971557"/>
    <w:rsid w:val="078A1230"/>
    <w:rsid w:val="08464731"/>
    <w:rsid w:val="0B2A0922"/>
    <w:rsid w:val="0DBF14FC"/>
    <w:rsid w:val="0DC14A06"/>
    <w:rsid w:val="0E600C57"/>
    <w:rsid w:val="0E9706D8"/>
    <w:rsid w:val="0EAB33DE"/>
    <w:rsid w:val="0FEC5D88"/>
    <w:rsid w:val="12C65D75"/>
    <w:rsid w:val="131E00CD"/>
    <w:rsid w:val="13BC773D"/>
    <w:rsid w:val="15966195"/>
    <w:rsid w:val="16912E7E"/>
    <w:rsid w:val="16E11692"/>
    <w:rsid w:val="175E789C"/>
    <w:rsid w:val="18E628C3"/>
    <w:rsid w:val="19EE497C"/>
    <w:rsid w:val="1B633151"/>
    <w:rsid w:val="1D2B1028"/>
    <w:rsid w:val="1E0B4FD2"/>
    <w:rsid w:val="1E2A6578"/>
    <w:rsid w:val="1E574E26"/>
    <w:rsid w:val="1E9D4EE0"/>
    <w:rsid w:val="1F1B7957"/>
    <w:rsid w:val="1F472D5E"/>
    <w:rsid w:val="20190246"/>
    <w:rsid w:val="20304EDC"/>
    <w:rsid w:val="211738F4"/>
    <w:rsid w:val="21C7068E"/>
    <w:rsid w:val="21CD2978"/>
    <w:rsid w:val="21FD6C0D"/>
    <w:rsid w:val="221B283D"/>
    <w:rsid w:val="24B2222B"/>
    <w:rsid w:val="2887159D"/>
    <w:rsid w:val="290813F5"/>
    <w:rsid w:val="297202EA"/>
    <w:rsid w:val="2ABE3D6C"/>
    <w:rsid w:val="2B6B009D"/>
    <w:rsid w:val="2CDE0AEC"/>
    <w:rsid w:val="2DFB7E63"/>
    <w:rsid w:val="2E1766C0"/>
    <w:rsid w:val="2E583680"/>
    <w:rsid w:val="2EC7408C"/>
    <w:rsid w:val="2F507AF1"/>
    <w:rsid w:val="2FD026BE"/>
    <w:rsid w:val="30234671"/>
    <w:rsid w:val="310E5321"/>
    <w:rsid w:val="312D69E2"/>
    <w:rsid w:val="315F22B1"/>
    <w:rsid w:val="35BB45F5"/>
    <w:rsid w:val="379D31A5"/>
    <w:rsid w:val="3AAF5B18"/>
    <w:rsid w:val="3AB6117B"/>
    <w:rsid w:val="3B8E1552"/>
    <w:rsid w:val="3CBE4F06"/>
    <w:rsid w:val="3E232DB0"/>
    <w:rsid w:val="3E482584"/>
    <w:rsid w:val="416E043F"/>
    <w:rsid w:val="42DC084D"/>
    <w:rsid w:val="49781A56"/>
    <w:rsid w:val="4B924632"/>
    <w:rsid w:val="4C925A2B"/>
    <w:rsid w:val="4D1D7124"/>
    <w:rsid w:val="4F202E8A"/>
    <w:rsid w:val="4FD971A8"/>
    <w:rsid w:val="50320CD5"/>
    <w:rsid w:val="513057C9"/>
    <w:rsid w:val="51B01B35"/>
    <w:rsid w:val="52BA0C1F"/>
    <w:rsid w:val="52F64EC0"/>
    <w:rsid w:val="5342371F"/>
    <w:rsid w:val="537E01D5"/>
    <w:rsid w:val="547D1112"/>
    <w:rsid w:val="54813524"/>
    <w:rsid w:val="54910690"/>
    <w:rsid w:val="54FC3049"/>
    <w:rsid w:val="56244B1C"/>
    <w:rsid w:val="56C65BD3"/>
    <w:rsid w:val="5877231F"/>
    <w:rsid w:val="59CB44BE"/>
    <w:rsid w:val="5A9F064E"/>
    <w:rsid w:val="5F3F0397"/>
    <w:rsid w:val="602B0B17"/>
    <w:rsid w:val="611C72F7"/>
    <w:rsid w:val="61B60C3D"/>
    <w:rsid w:val="62514EEA"/>
    <w:rsid w:val="63183DE8"/>
    <w:rsid w:val="65CB657B"/>
    <w:rsid w:val="661D5DA5"/>
    <w:rsid w:val="665D113B"/>
    <w:rsid w:val="66766057"/>
    <w:rsid w:val="66F650B0"/>
    <w:rsid w:val="68287B36"/>
    <w:rsid w:val="6ECA7CB1"/>
    <w:rsid w:val="70BD5EA1"/>
    <w:rsid w:val="73DD6A2C"/>
    <w:rsid w:val="74473EE9"/>
    <w:rsid w:val="756A59EF"/>
    <w:rsid w:val="75926DA4"/>
    <w:rsid w:val="767F69B6"/>
    <w:rsid w:val="77687A1D"/>
    <w:rsid w:val="79750CC5"/>
    <w:rsid w:val="7DFE2A87"/>
    <w:rsid w:val="7E2D0162"/>
    <w:rsid w:val="7ED27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before="260" w:beforeLines="0" w:after="260" w:afterLines="0" w:line="416" w:lineRule="auto"/>
      <w:jc w:val="both"/>
      <w:textAlignment w:val="baseline"/>
    </w:pPr>
    <w:rPr>
      <w:rFonts w:cs="Times New Roman"/>
      <w:b/>
      <w:bCs/>
      <w:kern w:val="2"/>
      <w:sz w:val="32"/>
      <w:szCs w:val="32"/>
      <w:lang w:val="en-US" w:eastAsia="zh-CN"/>
    </w:rPr>
  </w:style>
  <w:style w:type="paragraph" w:styleId="3">
    <w:name w:val="Body Text"/>
    <w:next w:val="1"/>
    <w:qFormat/>
    <w:uiPriority w:val="0"/>
    <w:pPr>
      <w:widowControl w:val="0"/>
      <w:spacing w:line="360" w:lineRule="auto"/>
      <w:jc w:val="both"/>
    </w:pPr>
    <w:rPr>
      <w:rFonts w:ascii="黑体" w:hAnsi="Times New Roman" w:eastAsia="宋体" w:cs="Times New Roman"/>
      <w:kern w:val="2"/>
      <w:sz w:val="24"/>
      <w:szCs w:val="20"/>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List Paragraph"/>
    <w:basedOn w:val="1"/>
    <w:qFormat/>
    <w:uiPriority w:val="0"/>
    <w:pPr>
      <w:ind w:firstLine="420" w:firstLineChars="200"/>
    </w:pPr>
  </w:style>
  <w:style w:type="character" w:customStyle="1" w:styleId="9">
    <w:name w:val="font11"/>
    <w:basedOn w:val="7"/>
    <w:qFormat/>
    <w:uiPriority w:val="0"/>
    <w:rPr>
      <w:rFonts w:hint="eastAsia" w:ascii="宋体" w:hAnsi="宋体" w:eastAsia="宋体" w:cs="宋体"/>
      <w:color w:val="000000"/>
      <w:sz w:val="20"/>
      <w:szCs w:val="20"/>
      <w:u w:val="none"/>
    </w:r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2800</Words>
  <Characters>2963</Characters>
  <Lines>0</Lines>
  <Paragraphs>0</Paragraphs>
  <TotalTime>18</TotalTime>
  <ScaleCrop>false</ScaleCrop>
  <LinksUpToDate>false</LinksUpToDate>
  <CharactersWithSpaces>2987</CharactersWithSpaces>
  <Application>WPS Office_11.1.0.12587_F1E327BC-269C-435d-A152-05C5408002CA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2021-03-09T02:40:00Z</dcterms:created>
  <dc:creator>红红</dc:creator>
  <cp:lastModifiedBy>芝麻是麻瓜</cp:lastModifiedBy>
  <dcterms:modified xsi:type="dcterms:W3CDTF">2022-09-21T09:08:30Z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2052-11.1.0.12587</vt:lpwstr>
  </property>
  <property fmtid="{D5CDD505-2E9C-101B-9397-08002B2CF9AE}" pid="3" name="ICV">
    <vt:lpwstr>18A4EE085D3A4357BC73DA269B6AB4DE</vt:lpwstr>
  </property>
</Properties>
</file>