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52"/>
          <w:szCs w:val="52"/>
        </w:rPr>
      </w:pPr>
      <w:r>
        <w:rPr>
          <w:rFonts w:hint="eastAsia" w:ascii="方正小标宋简体" w:eastAsia="方正小标宋简体"/>
          <w:sz w:val="52"/>
          <w:szCs w:val="52"/>
        </w:rPr>
        <w:t>2019年省级专项资金（部门）</w:t>
      </w:r>
    </w:p>
    <w:p>
      <w:pPr>
        <w:jc w:val="center"/>
        <w:rPr>
          <w:rFonts w:ascii="方正小标宋简体" w:eastAsia="方正小标宋简体"/>
          <w:sz w:val="52"/>
          <w:szCs w:val="52"/>
        </w:rPr>
      </w:pPr>
      <w:r>
        <w:rPr>
          <w:rFonts w:hint="eastAsia" w:ascii="方正小标宋简体" w:eastAsia="方正小标宋简体"/>
          <w:sz w:val="52"/>
          <w:szCs w:val="52"/>
        </w:rPr>
        <w:t>绩效评价报告</w:t>
      </w:r>
    </w:p>
    <w:p>
      <w:pPr>
        <w:rPr>
          <w:lang w:val="zh-CN"/>
        </w:rPr>
      </w:pPr>
    </w:p>
    <w:p>
      <w:pPr>
        <w:rPr>
          <w:lang w:val="zh-CN"/>
        </w:rPr>
      </w:pPr>
    </w:p>
    <w:p>
      <w:pPr>
        <w:rPr>
          <w:lang w:val="zh-CN"/>
        </w:rPr>
      </w:pPr>
    </w:p>
    <w:p>
      <w:pPr>
        <w:ind w:left="2100" w:firstLine="1059" w:firstLineChars="331"/>
        <w:rPr>
          <w:rFonts w:ascii="仿宋_GB2312" w:hAnsi="仿宋_GB2312" w:cs="仿宋_GB2312"/>
          <w:sz w:val="32"/>
          <w:szCs w:val="32"/>
          <w:lang w:val="zh-CN"/>
        </w:rPr>
      </w:pPr>
    </w:p>
    <w:p>
      <w:pPr>
        <w:ind w:left="2100" w:firstLine="1059" w:firstLineChars="331"/>
        <w:rPr>
          <w:rFonts w:ascii="仿宋_GB2312" w:hAnsi="仿宋_GB2312" w:cs="仿宋_GB2312"/>
          <w:sz w:val="32"/>
          <w:szCs w:val="32"/>
          <w:lang w:val="zh-CN"/>
        </w:rPr>
      </w:pPr>
    </w:p>
    <w:p>
      <w:pPr>
        <w:ind w:left="2100" w:firstLine="1059" w:firstLineChars="331"/>
        <w:rPr>
          <w:rFonts w:ascii="仿宋_GB2312" w:hAnsi="仿宋_GB2312" w:cs="仿宋_GB2312"/>
          <w:sz w:val="32"/>
          <w:szCs w:val="32"/>
        </w:rPr>
      </w:pPr>
      <w:r>
        <w:rPr>
          <w:rFonts w:hint="eastAsia" w:ascii="仿宋_GB2312" w:hAnsi="仿宋_GB2312" w:cs="仿宋_GB2312"/>
          <w:sz w:val="32"/>
          <w:szCs w:val="32"/>
          <w:lang w:val="zh-CN"/>
        </w:rPr>
        <w:t>主管部门：韶关市曲江区教育局</w:t>
      </w:r>
    </w:p>
    <w:p>
      <w:pPr>
        <w:ind w:firstLine="3200" w:firstLineChars="1000"/>
        <w:rPr>
          <w:rFonts w:ascii="仿宋_GB2312" w:hAnsi="仿宋_GB2312" w:cs="仿宋_GB2312"/>
          <w:sz w:val="32"/>
          <w:szCs w:val="32"/>
        </w:rPr>
      </w:pPr>
      <w:r>
        <w:rPr>
          <w:rFonts w:hint="eastAsia" w:ascii="仿宋_GB2312" w:hAnsi="仿宋_GB2312" w:cs="仿宋_GB2312"/>
          <w:sz w:val="32"/>
          <w:szCs w:val="32"/>
          <w:lang w:val="zh-CN"/>
        </w:rPr>
        <w:t>填报人：夏洪华</w:t>
      </w:r>
    </w:p>
    <w:p>
      <w:pPr>
        <w:pStyle w:val="5"/>
        <w:rPr>
          <w:bCs/>
          <w:sz w:val="36"/>
          <w:szCs w:val="36"/>
          <w:lang w:val="zh-CN"/>
        </w:rPr>
      </w:pPr>
      <w:bookmarkStart w:id="2" w:name="_GoBack"/>
      <w:bookmarkEnd w:id="2"/>
      <w:bookmarkStart w:id="0" w:name="_Toc12783"/>
      <w:bookmarkStart w:id="1" w:name="_Toc521089181"/>
    </w:p>
    <w:p>
      <w:pPr>
        <w:rPr>
          <w:bCs/>
          <w:sz w:val="36"/>
          <w:szCs w:val="36"/>
          <w:lang w:val="zh-CN"/>
        </w:rPr>
      </w:pPr>
    </w:p>
    <w:p>
      <w:pPr>
        <w:rPr>
          <w:bCs/>
          <w:sz w:val="36"/>
          <w:szCs w:val="36"/>
          <w:lang w:val="zh-CN"/>
        </w:rPr>
      </w:pPr>
    </w:p>
    <w:p>
      <w:pPr>
        <w:pStyle w:val="5"/>
        <w:rPr>
          <w:bCs/>
          <w:sz w:val="36"/>
          <w:szCs w:val="36"/>
          <w:lang w:val="zh-CN"/>
        </w:rPr>
      </w:pPr>
    </w:p>
    <w:p>
      <w:pPr>
        <w:pStyle w:val="5"/>
        <w:rPr>
          <w:bCs/>
          <w:sz w:val="36"/>
          <w:szCs w:val="36"/>
          <w:lang w:val="zh-CN"/>
        </w:rPr>
      </w:pPr>
    </w:p>
    <w:p>
      <w:pPr>
        <w:pStyle w:val="5"/>
        <w:rPr>
          <w:bCs/>
          <w:sz w:val="36"/>
          <w:szCs w:val="36"/>
          <w:lang w:val="zh-CN"/>
        </w:rPr>
      </w:pPr>
    </w:p>
    <w:p>
      <w:pPr>
        <w:rPr>
          <w:bCs/>
          <w:sz w:val="36"/>
          <w:szCs w:val="36"/>
          <w:lang w:val="zh-CN"/>
        </w:rPr>
      </w:pPr>
    </w:p>
    <w:p>
      <w:pPr>
        <w:pStyle w:val="5"/>
        <w:rPr>
          <w:b w:val="0"/>
          <w:sz w:val="36"/>
          <w:szCs w:val="36"/>
          <w:lang w:val="zh-CN"/>
        </w:rPr>
      </w:pPr>
      <w:r>
        <w:rPr>
          <w:rFonts w:hint="eastAsia"/>
          <w:bCs/>
          <w:sz w:val="36"/>
          <w:szCs w:val="36"/>
          <w:lang w:val="zh-CN"/>
        </w:rPr>
        <w:t>目 录</w:t>
      </w:r>
      <w:bookmarkEnd w:id="0"/>
      <w:bookmarkEnd w:id="1"/>
    </w:p>
    <w:p>
      <w:pPr>
        <w:rPr>
          <w:lang w:val="zh-CN"/>
        </w:rPr>
      </w:pPr>
    </w:p>
    <w:p>
      <w:pPr>
        <w:pStyle w:val="4"/>
        <w:tabs>
          <w:tab w:val="right" w:leader="dot" w:pos="8948"/>
        </w:tabs>
        <w:ind w:firstLine="560" w:firstLineChars="200"/>
        <w:rPr>
          <w:rFonts w:ascii="仿宋_GB2312" w:hAnsi="仿宋_GB2312" w:eastAsia="仿宋_GB2312" w:cs="仿宋_GB2312"/>
          <w:b w:val="0"/>
          <w:bCs w:val="0"/>
          <w:caps w:val="0"/>
          <w:sz w:val="32"/>
          <w:szCs w:val="32"/>
        </w:rPr>
      </w:pPr>
      <w:r>
        <w:rPr>
          <w:rFonts w:hint="eastAsia" w:ascii="仿宋_GB2312" w:hAnsi="Cambria"/>
          <w:b w:val="0"/>
          <w:caps w:val="0"/>
          <w:sz w:val="28"/>
          <w:szCs w:val="28"/>
        </w:rPr>
        <w:fldChar w:fldCharType="begin"/>
      </w:r>
      <w:r>
        <w:rPr>
          <w:rFonts w:hint="eastAsia" w:ascii="仿宋_GB2312" w:hAnsi="Cambria"/>
          <w:b w:val="0"/>
          <w:caps w:val="0"/>
          <w:sz w:val="28"/>
          <w:szCs w:val="28"/>
        </w:rPr>
        <w:instrText xml:space="preserve"> TOC \o "1-3" \h \z \u </w:instrText>
      </w:r>
      <w:r>
        <w:rPr>
          <w:rFonts w:hint="eastAsia" w:ascii="仿宋_GB2312" w:hAnsi="Cambria"/>
          <w:b w:val="0"/>
          <w:caps w:val="0"/>
          <w:sz w:val="28"/>
          <w:szCs w:val="28"/>
        </w:rPr>
        <w:fldChar w:fldCharType="separate"/>
      </w:r>
      <w:r>
        <w:fldChar w:fldCharType="begin"/>
      </w:r>
      <w:r>
        <w:instrText xml:space="preserve"> HYPERLINK \l "_Toc521089182" </w:instrText>
      </w:r>
      <w:r>
        <w:fldChar w:fldCharType="separate"/>
      </w:r>
      <w:r>
        <w:rPr>
          <w:rFonts w:hint="eastAsia" w:ascii="仿宋_GB2312" w:hAnsi="仿宋_GB2312" w:eastAsia="仿宋_GB2312" w:cs="仿宋_GB2312"/>
          <w:b w:val="0"/>
          <w:sz w:val="32"/>
          <w:szCs w:val="32"/>
        </w:rPr>
        <w:t>一、基本情况</w:t>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fldChar w:fldCharType="end"/>
      </w:r>
      <w:r>
        <w:rPr>
          <w:rFonts w:hint="eastAsia" w:ascii="仿宋_GB2312" w:hAnsi="仿宋_GB2312" w:eastAsia="仿宋_GB2312" w:cs="仿宋_GB2312"/>
          <w:b w:val="0"/>
          <w:sz w:val="32"/>
          <w:szCs w:val="32"/>
        </w:rPr>
        <w:t>1</w:t>
      </w:r>
    </w:p>
    <w:p>
      <w:pPr>
        <w:pStyle w:val="4"/>
        <w:tabs>
          <w:tab w:val="right" w:leader="dot" w:pos="8948"/>
        </w:tabs>
        <w:ind w:firstLine="402" w:firstLineChars="200"/>
        <w:rPr>
          <w:rFonts w:ascii="仿宋_GB2312" w:hAnsi="仿宋_GB2312" w:eastAsia="仿宋_GB2312" w:cs="仿宋_GB2312"/>
          <w:b w:val="0"/>
          <w:bCs w:val="0"/>
          <w:caps w:val="0"/>
          <w:sz w:val="32"/>
          <w:szCs w:val="32"/>
        </w:rPr>
      </w:pPr>
      <w:r>
        <w:fldChar w:fldCharType="begin"/>
      </w:r>
      <w:r>
        <w:instrText xml:space="preserve"> HYPERLINK \l "_Toc521089185" </w:instrText>
      </w:r>
      <w:r>
        <w:fldChar w:fldCharType="separate"/>
      </w:r>
      <w:r>
        <w:rPr>
          <w:rFonts w:hint="eastAsia" w:ascii="仿宋_GB2312" w:hAnsi="仿宋_GB2312" w:eastAsia="仿宋_GB2312" w:cs="仿宋_GB2312"/>
          <w:b w:val="0"/>
          <w:sz w:val="32"/>
          <w:szCs w:val="32"/>
        </w:rPr>
        <w:t>二、绩效指标分析</w:t>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fldChar w:fldCharType="end"/>
      </w:r>
      <w:r>
        <w:rPr>
          <w:rFonts w:hint="eastAsia" w:ascii="仿宋_GB2312" w:hAnsi="仿宋_GB2312" w:eastAsia="仿宋_GB2312" w:cs="仿宋_GB2312"/>
          <w:b w:val="0"/>
          <w:sz w:val="32"/>
          <w:szCs w:val="32"/>
        </w:rPr>
        <w:t>1</w:t>
      </w:r>
    </w:p>
    <w:p>
      <w:pPr>
        <w:pStyle w:val="4"/>
        <w:tabs>
          <w:tab w:val="right" w:leader="dot" w:pos="8948"/>
        </w:tabs>
        <w:ind w:firstLine="402" w:firstLineChars="200"/>
        <w:rPr>
          <w:rFonts w:ascii="仿宋_GB2312" w:hAnsi="仿宋_GB2312" w:eastAsia="仿宋_GB2312" w:cs="仿宋_GB2312"/>
          <w:b w:val="0"/>
          <w:bCs w:val="0"/>
          <w:caps w:val="0"/>
          <w:sz w:val="32"/>
          <w:szCs w:val="32"/>
        </w:rPr>
      </w:pPr>
      <w:r>
        <w:fldChar w:fldCharType="begin"/>
      </w:r>
      <w:r>
        <w:instrText xml:space="preserve"> HYPERLINK \l "_Toc521089203" </w:instrText>
      </w:r>
      <w:r>
        <w:fldChar w:fldCharType="separate"/>
      </w:r>
      <w:r>
        <w:rPr>
          <w:rFonts w:hint="eastAsia" w:ascii="仿宋_GB2312" w:hAnsi="仿宋_GB2312" w:eastAsia="仿宋_GB2312" w:cs="仿宋_GB2312"/>
          <w:b w:val="0"/>
          <w:sz w:val="32"/>
          <w:szCs w:val="32"/>
        </w:rPr>
        <w:t>三、 综合评价结论</w:t>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fldChar w:fldCharType="end"/>
      </w:r>
      <w:r>
        <w:rPr>
          <w:rFonts w:hint="eastAsia" w:ascii="仿宋_GB2312" w:hAnsi="仿宋_GB2312" w:eastAsia="仿宋_GB2312" w:cs="仿宋_GB2312"/>
          <w:b w:val="0"/>
          <w:sz w:val="32"/>
          <w:szCs w:val="32"/>
        </w:rPr>
        <w:t>2</w:t>
      </w:r>
    </w:p>
    <w:p>
      <w:pPr>
        <w:pStyle w:val="4"/>
        <w:tabs>
          <w:tab w:val="right" w:leader="dot" w:pos="8948"/>
        </w:tabs>
        <w:ind w:firstLine="402" w:firstLineChars="200"/>
        <w:rPr>
          <w:rFonts w:ascii="仿宋_GB2312" w:hAnsi="仿宋_GB2312" w:eastAsia="仿宋_GB2312" w:cs="仿宋_GB2312"/>
          <w:b w:val="0"/>
          <w:bCs w:val="0"/>
          <w:caps w:val="0"/>
          <w:sz w:val="32"/>
          <w:szCs w:val="32"/>
        </w:rPr>
      </w:pPr>
      <w:r>
        <w:fldChar w:fldCharType="begin"/>
      </w:r>
      <w:r>
        <w:instrText xml:space="preserve"> HYPERLINK \l "_Toc521089204" </w:instrText>
      </w:r>
      <w:r>
        <w:fldChar w:fldCharType="separate"/>
      </w:r>
      <w:r>
        <w:rPr>
          <w:rFonts w:hint="eastAsia" w:ascii="仿宋_GB2312" w:hAnsi="仿宋_GB2312" w:eastAsia="仿宋_GB2312" w:cs="仿宋_GB2312"/>
          <w:b w:val="0"/>
          <w:sz w:val="32"/>
          <w:szCs w:val="32"/>
        </w:rPr>
        <w:t>四、 主要绩效</w:t>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fldChar w:fldCharType="end"/>
      </w:r>
      <w:r>
        <w:rPr>
          <w:rFonts w:hint="eastAsia" w:ascii="仿宋_GB2312" w:hAnsi="仿宋_GB2312" w:eastAsia="仿宋_GB2312" w:cs="仿宋_GB2312"/>
          <w:b w:val="0"/>
          <w:sz w:val="32"/>
          <w:szCs w:val="32"/>
        </w:rPr>
        <w:t>3</w:t>
      </w:r>
    </w:p>
    <w:p>
      <w:pPr>
        <w:pStyle w:val="4"/>
        <w:tabs>
          <w:tab w:val="right" w:leader="dot" w:pos="8948"/>
        </w:tabs>
        <w:ind w:firstLine="402" w:firstLineChars="200"/>
        <w:rPr>
          <w:rFonts w:ascii="仿宋_GB2312" w:hAnsi="仿宋_GB2312" w:eastAsia="仿宋_GB2312" w:cs="仿宋_GB2312"/>
          <w:b w:val="0"/>
          <w:bCs w:val="0"/>
          <w:caps w:val="0"/>
          <w:sz w:val="32"/>
          <w:szCs w:val="32"/>
        </w:rPr>
      </w:pPr>
      <w:r>
        <w:fldChar w:fldCharType="begin"/>
      </w:r>
      <w:r>
        <w:instrText xml:space="preserve"> HYPERLINK \l "_Toc521089208" </w:instrText>
      </w:r>
      <w:r>
        <w:fldChar w:fldCharType="separate"/>
      </w:r>
      <w:r>
        <w:rPr>
          <w:rFonts w:hint="eastAsia" w:ascii="仿宋_GB2312" w:hAnsi="仿宋_GB2312" w:eastAsia="仿宋_GB2312" w:cs="仿宋_GB2312"/>
          <w:b w:val="0"/>
          <w:sz w:val="32"/>
          <w:szCs w:val="32"/>
        </w:rPr>
        <w:t>五、 存在问题</w:t>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fldChar w:fldCharType="end"/>
      </w:r>
      <w:r>
        <w:rPr>
          <w:rFonts w:hint="eastAsia" w:ascii="仿宋_GB2312" w:hAnsi="仿宋_GB2312" w:eastAsia="仿宋_GB2312" w:cs="仿宋_GB2312"/>
          <w:b w:val="0"/>
          <w:sz w:val="32"/>
          <w:szCs w:val="32"/>
        </w:rPr>
        <w:t>5</w:t>
      </w:r>
    </w:p>
    <w:p>
      <w:pPr>
        <w:pStyle w:val="4"/>
        <w:tabs>
          <w:tab w:val="right" w:leader="dot" w:pos="8948"/>
        </w:tabs>
        <w:ind w:firstLine="402" w:firstLineChars="200"/>
        <w:rPr>
          <w:rFonts w:ascii="仿宋_GB2312" w:hAnsi="仿宋_GB2312" w:eastAsia="仿宋_GB2312" w:cs="仿宋_GB2312"/>
          <w:b w:val="0"/>
          <w:bCs w:val="0"/>
          <w:caps w:val="0"/>
          <w:sz w:val="32"/>
          <w:szCs w:val="32"/>
        </w:rPr>
      </w:pPr>
      <w:r>
        <w:fldChar w:fldCharType="begin"/>
      </w:r>
      <w:r>
        <w:instrText xml:space="preserve"> HYPERLINK \l "_Toc521089213" </w:instrText>
      </w:r>
      <w:r>
        <w:fldChar w:fldCharType="separate"/>
      </w:r>
      <w:r>
        <w:rPr>
          <w:rFonts w:hint="eastAsia" w:ascii="仿宋_GB2312" w:hAnsi="仿宋_GB2312" w:eastAsia="仿宋_GB2312" w:cs="仿宋_GB2312"/>
          <w:b w:val="0"/>
          <w:sz w:val="32"/>
          <w:szCs w:val="32"/>
        </w:rPr>
        <w:t>六、 相关建议</w:t>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fldChar w:fldCharType="end"/>
      </w:r>
      <w:r>
        <w:rPr>
          <w:rFonts w:hint="eastAsia" w:ascii="仿宋_GB2312" w:hAnsi="仿宋_GB2312" w:eastAsia="仿宋_GB2312" w:cs="仿宋_GB2312"/>
          <w:b w:val="0"/>
          <w:sz w:val="32"/>
          <w:szCs w:val="32"/>
        </w:rPr>
        <w:t>5</w:t>
      </w:r>
    </w:p>
    <w:p>
      <w:pPr>
        <w:pStyle w:val="4"/>
        <w:tabs>
          <w:tab w:val="right" w:leader="dot" w:pos="8948"/>
        </w:tabs>
        <w:ind w:firstLine="402" w:firstLineChars="200"/>
        <w:rPr>
          <w:rFonts w:ascii="仿宋_GB2312" w:hAnsi="仿宋_GB2312" w:eastAsia="仿宋_GB2312" w:cs="仿宋_GB2312"/>
          <w:b w:val="0"/>
          <w:bCs w:val="0"/>
          <w:caps w:val="0"/>
          <w:sz w:val="32"/>
          <w:szCs w:val="32"/>
        </w:rPr>
      </w:pPr>
      <w:r>
        <w:fldChar w:fldCharType="begin"/>
      </w:r>
      <w:r>
        <w:instrText xml:space="preserve"> HYPERLINK \l "_Toc521089218" </w:instrText>
      </w:r>
      <w:r>
        <w:fldChar w:fldCharType="separate"/>
      </w:r>
      <w:r>
        <w:rPr>
          <w:rFonts w:hint="eastAsia" w:ascii="仿宋_GB2312" w:hAnsi="仿宋_GB2312" w:eastAsia="仿宋_GB2312" w:cs="仿宋_GB2312"/>
          <w:b w:val="0"/>
          <w:sz w:val="32"/>
          <w:szCs w:val="32"/>
        </w:rPr>
        <w:t>附件1</w:t>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fldChar w:fldCharType="end"/>
      </w:r>
    </w:p>
    <w:p>
      <w:pPr>
        <w:pStyle w:val="4"/>
        <w:tabs>
          <w:tab w:val="right" w:leader="dot" w:pos="8948"/>
        </w:tabs>
        <w:ind w:firstLine="402" w:firstLineChars="200"/>
        <w:rPr>
          <w:rFonts w:ascii="仿宋_GB2312" w:hAnsi="仿宋_GB2312" w:eastAsia="仿宋_GB2312" w:cs="仿宋_GB2312"/>
          <w:b w:val="0"/>
          <w:bCs w:val="0"/>
          <w:caps w:val="0"/>
          <w:sz w:val="32"/>
          <w:szCs w:val="32"/>
        </w:rPr>
      </w:pPr>
      <w:r>
        <w:fldChar w:fldCharType="begin"/>
      </w:r>
      <w:r>
        <w:instrText xml:space="preserve"> HYPERLINK \l "_Toc521089219" </w:instrText>
      </w:r>
      <w:r>
        <w:fldChar w:fldCharType="separate"/>
      </w:r>
      <w:r>
        <w:rPr>
          <w:rFonts w:hint="eastAsia" w:ascii="仿宋_GB2312" w:hAnsi="仿宋_GB2312" w:eastAsia="仿宋_GB2312" w:cs="仿宋_GB2312"/>
          <w:b w:val="0"/>
          <w:sz w:val="32"/>
          <w:szCs w:val="32"/>
        </w:rPr>
        <w:t>附件2</w:t>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fldChar w:fldCharType="end"/>
      </w:r>
    </w:p>
    <w:p>
      <w:pPr>
        <w:pStyle w:val="4"/>
        <w:tabs>
          <w:tab w:val="right" w:leader="dot" w:pos="8948"/>
        </w:tabs>
        <w:ind w:firstLine="402" w:firstLineChars="200"/>
        <w:rPr>
          <w:rFonts w:ascii="仿宋_GB2312" w:hAnsi="仿宋_GB2312" w:eastAsia="仿宋_GB2312" w:cs="仿宋_GB2312"/>
          <w:b w:val="0"/>
          <w:bCs w:val="0"/>
          <w:caps w:val="0"/>
          <w:sz w:val="32"/>
          <w:szCs w:val="32"/>
        </w:rPr>
      </w:pPr>
      <w:r>
        <w:fldChar w:fldCharType="begin"/>
      </w:r>
      <w:r>
        <w:instrText xml:space="preserve"> HYPERLINK \l "_Toc521089220" </w:instrText>
      </w:r>
      <w:r>
        <w:fldChar w:fldCharType="separate"/>
      </w:r>
      <w:r>
        <w:rPr>
          <w:rFonts w:hint="eastAsia" w:ascii="仿宋_GB2312" w:hAnsi="仿宋_GB2312" w:eastAsia="仿宋_GB2312" w:cs="仿宋_GB2312"/>
          <w:b w:val="0"/>
          <w:kern w:val="0"/>
          <w:sz w:val="32"/>
          <w:szCs w:val="32"/>
          <w:lang w:bidi="ar"/>
        </w:rPr>
        <w:t>附件3</w:t>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fldChar w:fldCharType="end"/>
      </w:r>
    </w:p>
    <w:p>
      <w:pPr>
        <w:pStyle w:val="4"/>
        <w:tabs>
          <w:tab w:val="right" w:leader="dot" w:pos="8948"/>
        </w:tabs>
        <w:ind w:firstLine="402"/>
        <w:rPr>
          <w:rFonts w:ascii="仿宋_GB2312"/>
          <w:b w:val="0"/>
          <w:bCs w:val="0"/>
          <w:caps w:val="0"/>
          <w:sz w:val="28"/>
          <w:szCs w:val="28"/>
        </w:rPr>
      </w:pPr>
    </w:p>
    <w:p>
      <w:pPr>
        <w:jc w:val="left"/>
        <w:rPr>
          <w:rFonts w:ascii="仿宋_GB2312" w:hAnsi="Cambria"/>
          <w:sz w:val="28"/>
          <w:szCs w:val="28"/>
        </w:rPr>
      </w:pPr>
      <w:r>
        <w:rPr>
          <w:rFonts w:hint="eastAsia" w:ascii="仿宋_GB2312" w:hAnsi="Cambria"/>
          <w:sz w:val="28"/>
          <w:szCs w:val="28"/>
        </w:rPr>
        <w:fldChar w:fldCharType="end"/>
      </w:r>
    </w:p>
    <w:p>
      <w:pPr>
        <w:jc w:val="left"/>
        <w:rPr>
          <w:rFonts w:ascii="仿宋_GB2312" w:hAnsi="Cambria"/>
          <w:sz w:val="28"/>
          <w:szCs w:val="28"/>
        </w:rPr>
      </w:pPr>
    </w:p>
    <w:p>
      <w:pPr>
        <w:jc w:val="left"/>
        <w:rPr>
          <w:rFonts w:ascii="仿宋_GB2312" w:hAnsi="Cambria"/>
          <w:sz w:val="28"/>
          <w:szCs w:val="28"/>
        </w:rPr>
      </w:pPr>
    </w:p>
    <w:p>
      <w:pPr>
        <w:jc w:val="left"/>
        <w:rPr>
          <w:rFonts w:ascii="仿宋_GB2312" w:hAnsi="Cambria"/>
          <w:sz w:val="28"/>
          <w:szCs w:val="28"/>
        </w:rPr>
      </w:pPr>
    </w:p>
    <w:p>
      <w:pPr>
        <w:jc w:val="left"/>
        <w:rPr>
          <w:rFonts w:ascii="仿宋_GB2312" w:hAnsi="Cambria"/>
          <w:sz w:val="28"/>
          <w:szCs w:val="28"/>
        </w:rPr>
      </w:pPr>
    </w:p>
    <w:p>
      <w:pPr>
        <w:jc w:val="left"/>
        <w:rPr>
          <w:rFonts w:ascii="仿宋_GB2312" w:hAnsi="Cambria"/>
          <w:sz w:val="28"/>
          <w:szCs w:val="28"/>
        </w:rPr>
      </w:pPr>
    </w:p>
    <w:p>
      <w:pPr>
        <w:jc w:val="left"/>
        <w:rPr>
          <w:rFonts w:ascii="仿宋_GB2312" w:hAnsi="Cambria"/>
          <w:sz w:val="28"/>
          <w:szCs w:val="28"/>
        </w:rPr>
      </w:pPr>
    </w:p>
    <w:p>
      <w:pPr>
        <w:jc w:val="left"/>
        <w:rPr>
          <w:rFonts w:ascii="仿宋_GB2312" w:hAnsi="Cambria"/>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left"/>
        <w:rPr>
          <w:rFonts w:ascii="仿宋_GB2312" w:hAnsi="Cambria"/>
          <w:sz w:val="28"/>
          <w:szCs w:val="28"/>
        </w:rPr>
      </w:pPr>
    </w:p>
    <w:p>
      <w:pPr>
        <w:snapToGrid w:val="0"/>
        <w:spacing w:line="360" w:lineRule="auto"/>
        <w:ind w:firstLine="640" w:firstLineChars="200"/>
        <w:rPr>
          <w:rFonts w:ascii="黑体" w:eastAsia="黑体"/>
          <w:sz w:val="32"/>
          <w:szCs w:val="32"/>
        </w:rPr>
      </w:pPr>
      <w:r>
        <w:rPr>
          <w:rFonts w:hint="eastAsia" w:ascii="黑体" w:eastAsia="黑体"/>
          <w:sz w:val="32"/>
          <w:szCs w:val="32"/>
        </w:rPr>
        <w:t>一、基本情况</w:t>
      </w:r>
    </w:p>
    <w:p>
      <w:pPr>
        <w:snapToGrid w:val="0"/>
        <w:spacing w:line="360" w:lineRule="auto"/>
        <w:ind w:firstLine="640" w:firstLineChars="200"/>
        <w:rPr>
          <w:rFonts w:ascii="仿宋_GB2312"/>
          <w:sz w:val="32"/>
          <w:szCs w:val="32"/>
        </w:rPr>
      </w:pPr>
      <w:r>
        <w:rPr>
          <w:rFonts w:hint="eastAsia" w:ascii="仿宋_GB2312"/>
          <w:sz w:val="32"/>
          <w:szCs w:val="32"/>
        </w:rPr>
        <w:t>我校获得上级教育部门下达的2019年教育发展专项资金（职业教育“扩容、提质、强服务”）中职专项资金100万，主要用途“双精准”示范性专业建设，结合粤北地区和我校的实际情况，该项资金用于建设电气运行与控制（工业机器人方向）实训室的建设。</w:t>
      </w:r>
    </w:p>
    <w:p>
      <w:pPr>
        <w:snapToGrid w:val="0"/>
        <w:spacing w:line="360" w:lineRule="auto"/>
        <w:ind w:firstLine="640" w:firstLineChars="200"/>
        <w:rPr>
          <w:rFonts w:ascii="黑体" w:eastAsia="黑体"/>
          <w:sz w:val="32"/>
          <w:szCs w:val="32"/>
        </w:rPr>
      </w:pPr>
      <w:r>
        <w:rPr>
          <w:rFonts w:hint="eastAsia" w:ascii="黑体" w:eastAsia="黑体"/>
          <w:sz w:val="32"/>
          <w:szCs w:val="32"/>
        </w:rPr>
        <w:t>二、绩效指标分析</w:t>
      </w:r>
    </w:p>
    <w:p>
      <w:pPr>
        <w:snapToGrid w:val="0"/>
        <w:spacing w:line="360" w:lineRule="auto"/>
        <w:ind w:firstLine="640" w:firstLineChars="200"/>
        <w:rPr>
          <w:rFonts w:ascii="仿宋_GB2312"/>
          <w:sz w:val="32"/>
          <w:szCs w:val="32"/>
        </w:rPr>
      </w:pPr>
      <w:r>
        <w:rPr>
          <w:rFonts w:hint="eastAsia" w:ascii="仿宋_GB2312"/>
          <w:sz w:val="32"/>
          <w:szCs w:val="32"/>
        </w:rPr>
        <w:t>1.项目立项</w:t>
      </w:r>
    </w:p>
    <w:p>
      <w:pPr>
        <w:snapToGrid w:val="0"/>
        <w:spacing w:line="360" w:lineRule="auto"/>
        <w:ind w:firstLine="640" w:firstLineChars="200"/>
        <w:rPr>
          <w:rFonts w:ascii="仿宋_GB2312"/>
          <w:sz w:val="32"/>
          <w:szCs w:val="32"/>
        </w:rPr>
      </w:pPr>
      <w:r>
        <w:rPr>
          <w:rFonts w:hint="eastAsia" w:ascii="仿宋_GB2312"/>
          <w:sz w:val="32"/>
          <w:szCs w:val="32"/>
        </w:rPr>
        <w:t>根据粤北地区职业教育状况和我校的实际情况，通过学校班子、相关科组集体会议协商，并咨询相关专家意见，对立项进行科学论证决策，设置项目的合理性和完整性，相关的保障措施和项目实施计划。</w:t>
      </w:r>
    </w:p>
    <w:p>
      <w:pPr>
        <w:snapToGrid w:val="0"/>
        <w:spacing w:line="360" w:lineRule="auto"/>
        <w:ind w:firstLine="640" w:firstLineChars="200"/>
        <w:rPr>
          <w:rFonts w:ascii="仿宋_GB2312"/>
          <w:sz w:val="32"/>
          <w:szCs w:val="32"/>
        </w:rPr>
      </w:pPr>
      <w:r>
        <w:rPr>
          <w:rFonts w:hint="eastAsia" w:ascii="仿宋_GB2312"/>
          <w:sz w:val="32"/>
          <w:szCs w:val="32"/>
        </w:rPr>
        <w:t>2.资金的落实与管理</w:t>
      </w:r>
    </w:p>
    <w:p>
      <w:pPr>
        <w:snapToGrid w:val="0"/>
        <w:spacing w:line="360" w:lineRule="auto"/>
        <w:ind w:firstLine="640" w:firstLineChars="200"/>
        <w:rPr>
          <w:rFonts w:ascii="仿宋_GB2312"/>
          <w:sz w:val="32"/>
          <w:szCs w:val="32"/>
        </w:rPr>
      </w:pPr>
      <w:r>
        <w:rPr>
          <w:rFonts w:hint="eastAsia" w:ascii="仿宋_GB2312"/>
          <w:sz w:val="32"/>
          <w:szCs w:val="32"/>
        </w:rPr>
        <w:t>资金能及时到位，资金的分配合理，预算合理，执行规范的财经制度，不存在超范围、超标准支出，虚列支出，截留、挤占、挪用资金等现象，以及其它不符合制度规定支出的行为，并建立有效的管理机制。</w:t>
      </w:r>
    </w:p>
    <w:p>
      <w:pPr>
        <w:snapToGrid w:val="0"/>
        <w:spacing w:line="360" w:lineRule="auto"/>
        <w:ind w:firstLine="640" w:firstLineChars="200"/>
        <w:rPr>
          <w:rFonts w:ascii="仿宋_GB2312"/>
          <w:sz w:val="32"/>
          <w:szCs w:val="32"/>
        </w:rPr>
      </w:pPr>
      <w:r>
        <w:rPr>
          <w:rFonts w:hint="eastAsia" w:ascii="仿宋_GB2312"/>
          <w:sz w:val="32"/>
          <w:szCs w:val="32"/>
        </w:rPr>
        <w:t>3.项目管理</w:t>
      </w:r>
    </w:p>
    <w:p>
      <w:pPr>
        <w:snapToGrid w:val="0"/>
        <w:spacing w:line="360" w:lineRule="auto"/>
        <w:ind w:firstLine="640" w:firstLineChars="200"/>
        <w:rPr>
          <w:rFonts w:ascii="仿宋_GB2312"/>
          <w:sz w:val="32"/>
          <w:szCs w:val="32"/>
        </w:rPr>
      </w:pPr>
      <w:r>
        <w:rPr>
          <w:rFonts w:hint="eastAsia" w:ascii="仿宋_GB2312"/>
          <w:sz w:val="32"/>
          <w:szCs w:val="32"/>
        </w:rPr>
        <w:t>项目和方案按规定程序实施，按规定履行报批手续，项目的招标、建设、验收等严格执行相关制度规定。</w:t>
      </w:r>
    </w:p>
    <w:p>
      <w:pPr>
        <w:snapToGrid w:val="0"/>
        <w:spacing w:line="360" w:lineRule="auto"/>
        <w:ind w:firstLine="640" w:firstLineChars="200"/>
        <w:rPr>
          <w:rFonts w:ascii="仿宋_GB2312"/>
          <w:sz w:val="32"/>
          <w:szCs w:val="32"/>
        </w:rPr>
      </w:pPr>
      <w:r>
        <w:rPr>
          <w:rFonts w:hint="eastAsia" w:ascii="仿宋_GB2312"/>
          <w:sz w:val="32"/>
          <w:szCs w:val="32"/>
        </w:rPr>
        <w:t>4.经济性与效率性</w:t>
      </w:r>
    </w:p>
    <w:p>
      <w:pPr>
        <w:snapToGrid w:val="0"/>
        <w:spacing w:line="360" w:lineRule="auto"/>
        <w:ind w:firstLine="640" w:firstLineChars="200"/>
        <w:rPr>
          <w:rFonts w:ascii="仿宋_GB2312"/>
          <w:sz w:val="32"/>
          <w:szCs w:val="32"/>
        </w:rPr>
      </w:pPr>
      <w:r>
        <w:rPr>
          <w:rFonts w:hint="eastAsia" w:ascii="仿宋_GB2312"/>
          <w:sz w:val="32"/>
          <w:szCs w:val="32"/>
        </w:rPr>
        <w:t>在预算执行进度与事项完成进度基本匹配的前提下，实际支出未超出预算计划；在项目按照预算完成的前提下，与同类项目市场价格比较，项目实施的成本属于合理范围。项目能及时完成，质量达标，已交付使用。</w:t>
      </w:r>
    </w:p>
    <w:p>
      <w:pPr>
        <w:snapToGrid w:val="0"/>
        <w:spacing w:line="360" w:lineRule="auto"/>
        <w:ind w:firstLine="640" w:firstLineChars="200"/>
        <w:rPr>
          <w:rFonts w:ascii="仿宋_GB2312"/>
          <w:sz w:val="32"/>
          <w:szCs w:val="32"/>
        </w:rPr>
      </w:pPr>
      <w:r>
        <w:rPr>
          <w:rFonts w:hint="eastAsia" w:ascii="仿宋_GB2312"/>
          <w:sz w:val="32"/>
          <w:szCs w:val="32"/>
        </w:rPr>
        <w:t>5.绩效效益</w:t>
      </w:r>
    </w:p>
    <w:p>
      <w:pPr>
        <w:snapToGrid w:val="0"/>
        <w:spacing w:line="360" w:lineRule="auto"/>
        <w:ind w:firstLine="640" w:firstLineChars="200"/>
        <w:rPr>
          <w:rFonts w:ascii="仿宋_GB2312"/>
          <w:sz w:val="32"/>
          <w:szCs w:val="32"/>
        </w:rPr>
      </w:pPr>
      <w:r>
        <w:rPr>
          <w:rFonts w:hint="eastAsia" w:ascii="仿宋_GB2312"/>
          <w:sz w:val="32"/>
          <w:szCs w:val="32"/>
        </w:rPr>
        <w:t>该项目的建设，使我校教育教学条件进一步得到改善和提高，对我校产生了很大的社会效益，提高了我校的社会地位和知名度，培养更多优秀的技术型劳动者，增加了学生的就业率，缓解了职业教育负担经费。学生、家长对学校办学满意。</w:t>
      </w:r>
    </w:p>
    <w:p>
      <w:pPr>
        <w:snapToGrid w:val="0"/>
        <w:spacing w:line="360" w:lineRule="auto"/>
        <w:ind w:firstLine="640" w:firstLineChars="200"/>
        <w:rPr>
          <w:rFonts w:ascii="黑体" w:eastAsia="黑体"/>
          <w:sz w:val="32"/>
          <w:szCs w:val="32"/>
        </w:rPr>
      </w:pPr>
      <w:r>
        <w:rPr>
          <w:rFonts w:hint="eastAsia" w:ascii="黑体" w:eastAsia="黑体"/>
          <w:sz w:val="32"/>
          <w:szCs w:val="32"/>
        </w:rPr>
        <w:t>三、综合评价结论</w:t>
      </w:r>
    </w:p>
    <w:p>
      <w:pPr>
        <w:snapToGrid w:val="0"/>
        <w:spacing w:line="360" w:lineRule="auto"/>
        <w:ind w:firstLine="640" w:firstLineChars="200"/>
        <w:rPr>
          <w:rFonts w:ascii="仿宋_GB2312"/>
          <w:sz w:val="32"/>
          <w:szCs w:val="32"/>
        </w:rPr>
      </w:pPr>
      <w:r>
        <w:rPr>
          <w:rFonts w:hint="eastAsia" w:ascii="仿宋_GB2312"/>
          <w:sz w:val="32"/>
          <w:szCs w:val="32"/>
        </w:rPr>
        <w:t>电气运行与控制（工业机器人方向）实训项目的建设，达到了预期目标，我单位于2019年11月组织相关科组、教师对设项目进行了自评(资料检查和现场检查等)，总体评价为：优</w:t>
      </w:r>
    </w:p>
    <w:p>
      <w:pPr>
        <w:ind w:firstLine="640" w:firstLineChars="200"/>
        <w:rPr>
          <w:rFonts w:ascii="仿宋_GB2312"/>
          <w:sz w:val="32"/>
          <w:szCs w:val="32"/>
        </w:rPr>
      </w:pPr>
      <w:r>
        <w:rPr>
          <w:rFonts w:hint="eastAsia" w:ascii="仿宋_GB2312"/>
          <w:sz w:val="32"/>
          <w:szCs w:val="32"/>
        </w:rPr>
        <w:t>a、项目决策自评（20分）。　19分  优</w:t>
      </w:r>
    </w:p>
    <w:p>
      <w:pPr>
        <w:ind w:firstLine="640" w:firstLineChars="200"/>
        <w:rPr>
          <w:rFonts w:ascii="仿宋_GB2312"/>
          <w:sz w:val="32"/>
          <w:szCs w:val="32"/>
        </w:rPr>
      </w:pPr>
      <w:r>
        <w:rPr>
          <w:rFonts w:hint="eastAsia" w:ascii="仿宋_GB2312"/>
          <w:sz w:val="32"/>
          <w:szCs w:val="32"/>
        </w:rPr>
        <w:t>b、项目管理自评（20分）。  19分　优</w:t>
      </w:r>
    </w:p>
    <w:p>
      <w:pPr>
        <w:ind w:firstLine="640" w:firstLineChars="200"/>
        <w:rPr>
          <w:rFonts w:ascii="仿宋_GB2312"/>
          <w:sz w:val="32"/>
          <w:szCs w:val="32"/>
        </w:rPr>
      </w:pPr>
      <w:r>
        <w:rPr>
          <w:rFonts w:hint="eastAsia" w:ascii="仿宋_GB2312"/>
          <w:sz w:val="32"/>
          <w:szCs w:val="32"/>
        </w:rPr>
        <w:t>c、项目产出自评（30分）。　28分　优</w:t>
      </w:r>
    </w:p>
    <w:p>
      <w:pPr>
        <w:ind w:firstLine="640" w:firstLineChars="200"/>
        <w:rPr>
          <w:rFonts w:ascii="仿宋_GB2312"/>
          <w:sz w:val="32"/>
          <w:szCs w:val="32"/>
        </w:rPr>
      </w:pPr>
      <w:r>
        <w:rPr>
          <w:rFonts w:hint="eastAsia" w:ascii="仿宋_GB2312"/>
          <w:sz w:val="32"/>
          <w:szCs w:val="32"/>
        </w:rPr>
        <w:t>d、项目效益自评（30分）   28分　优</w:t>
      </w:r>
    </w:p>
    <w:p>
      <w:pPr>
        <w:ind w:firstLine="640" w:firstLineChars="200"/>
        <w:rPr>
          <w:rFonts w:ascii="仿宋_GB2312"/>
          <w:sz w:val="32"/>
          <w:szCs w:val="32"/>
        </w:rPr>
      </w:pPr>
      <w:r>
        <w:rPr>
          <w:rFonts w:hint="eastAsia"/>
          <w:sz w:val="32"/>
          <w:szCs w:val="32"/>
        </w:rPr>
        <w:t>通过本次绩效自评，给我校专业建设提供了一个很好的参考平台，对以后我校专业建设资金的合理使用提供了依据，优先建设和投入有发展潜力、符合社会发展需求的专业。</w:t>
      </w:r>
    </w:p>
    <w:p>
      <w:pPr>
        <w:snapToGrid w:val="0"/>
        <w:spacing w:line="360" w:lineRule="auto"/>
        <w:ind w:firstLine="640" w:firstLineChars="200"/>
        <w:rPr>
          <w:rFonts w:ascii="黑体" w:eastAsia="黑体"/>
          <w:sz w:val="32"/>
          <w:szCs w:val="32"/>
        </w:rPr>
      </w:pPr>
      <w:r>
        <w:rPr>
          <w:rFonts w:hint="eastAsia" w:ascii="黑体" w:eastAsia="黑体"/>
          <w:sz w:val="32"/>
          <w:szCs w:val="32"/>
        </w:rPr>
        <w:t>四、主要绩效</w:t>
      </w:r>
    </w:p>
    <w:p>
      <w:pPr>
        <w:ind w:firstLine="560" w:firstLineChars="200"/>
        <w:rPr>
          <w:sz w:val="32"/>
          <w:szCs w:val="32"/>
        </w:rPr>
      </w:pPr>
      <w:r>
        <w:rPr>
          <w:rFonts w:hint="eastAsia" w:ascii="仿宋_GB2312" w:hAnsi="Cambria"/>
          <w:sz w:val="28"/>
          <w:szCs w:val="28"/>
        </w:rPr>
        <w:t xml:space="preserve"> </w:t>
      </w:r>
      <w:r>
        <w:rPr>
          <w:rFonts w:hint="eastAsia"/>
          <w:sz w:val="32"/>
          <w:szCs w:val="32"/>
        </w:rPr>
        <w:t>1.产出指标完成情况</w:t>
      </w:r>
    </w:p>
    <w:p>
      <w:pPr>
        <w:ind w:firstLine="480" w:firstLineChars="150"/>
        <w:rPr>
          <w:sz w:val="32"/>
          <w:szCs w:val="32"/>
        </w:rPr>
      </w:pPr>
      <w:r>
        <w:rPr>
          <w:rFonts w:hint="eastAsia"/>
          <w:sz w:val="32"/>
          <w:szCs w:val="32"/>
        </w:rPr>
        <w:t>（1）数量指标</w:t>
      </w:r>
    </w:p>
    <w:p>
      <w:pPr>
        <w:ind w:firstLine="640" w:firstLineChars="200"/>
        <w:rPr>
          <w:sz w:val="32"/>
          <w:szCs w:val="32"/>
        </w:rPr>
      </w:pPr>
      <w:r>
        <w:rPr>
          <w:rFonts w:hint="eastAsia"/>
          <w:sz w:val="32"/>
          <w:szCs w:val="32"/>
        </w:rPr>
        <w:t>“双精准”示范专业资金100万元（工业机器人实训设备），设备投入使用后，基本能满足100位学生的上课和训练，学生使用率达到100%；可以同时进行50位教师岗位的培训。普及整个电气运行与控制专业的学生，大大提高了学生的专业技能、动手能力，提升了学生综合素质。</w:t>
      </w:r>
    </w:p>
    <w:p>
      <w:pPr>
        <w:ind w:firstLine="640" w:firstLineChars="200"/>
        <w:rPr>
          <w:sz w:val="32"/>
          <w:szCs w:val="32"/>
        </w:rPr>
      </w:pPr>
      <w:r>
        <w:rPr>
          <w:rFonts w:hint="eastAsia"/>
          <w:sz w:val="32"/>
          <w:szCs w:val="32"/>
        </w:rPr>
        <w:t>（2）质量指标</w:t>
      </w:r>
    </w:p>
    <w:p>
      <w:pPr>
        <w:ind w:firstLine="640" w:firstLineChars="200"/>
        <w:rPr>
          <w:sz w:val="32"/>
          <w:szCs w:val="32"/>
        </w:rPr>
      </w:pPr>
      <w:r>
        <w:rPr>
          <w:rFonts w:hint="eastAsia"/>
          <w:sz w:val="32"/>
          <w:szCs w:val="32"/>
        </w:rPr>
        <w:t>按照专业教学的要求进行采购，完成能满足教学的需求，按照专业设置有规划的进行专业建设。</w:t>
      </w:r>
    </w:p>
    <w:p>
      <w:pPr>
        <w:ind w:firstLine="640" w:firstLineChars="200"/>
        <w:rPr>
          <w:sz w:val="32"/>
          <w:szCs w:val="32"/>
        </w:rPr>
      </w:pPr>
      <w:r>
        <w:rPr>
          <w:rFonts w:hint="eastAsia"/>
          <w:sz w:val="32"/>
          <w:szCs w:val="32"/>
        </w:rPr>
        <w:t>（3）时效指标</w:t>
      </w:r>
    </w:p>
    <w:p>
      <w:pPr>
        <w:ind w:firstLine="640" w:firstLineChars="200"/>
        <w:rPr>
          <w:sz w:val="32"/>
          <w:szCs w:val="32"/>
        </w:rPr>
      </w:pPr>
      <w:r>
        <w:rPr>
          <w:rFonts w:hint="eastAsia"/>
          <w:sz w:val="32"/>
          <w:szCs w:val="32"/>
        </w:rPr>
        <w:t>工业机器人实训项目的采购按计划2019年8月完成，于2019年9月投入使用。</w:t>
      </w:r>
    </w:p>
    <w:p>
      <w:pPr>
        <w:ind w:firstLine="640" w:firstLineChars="200"/>
        <w:rPr>
          <w:sz w:val="32"/>
          <w:szCs w:val="32"/>
        </w:rPr>
      </w:pPr>
      <w:r>
        <w:rPr>
          <w:rFonts w:hint="eastAsia"/>
          <w:sz w:val="32"/>
          <w:szCs w:val="32"/>
        </w:rPr>
        <w:t>（4）成本指标</w:t>
      </w:r>
    </w:p>
    <w:p>
      <w:pPr>
        <w:ind w:firstLine="640" w:firstLineChars="200"/>
        <w:rPr>
          <w:strike/>
          <w:sz w:val="32"/>
          <w:szCs w:val="32"/>
        </w:rPr>
      </w:pPr>
      <w:r>
        <w:rPr>
          <w:rFonts w:hint="eastAsia"/>
          <w:sz w:val="32"/>
          <w:szCs w:val="32"/>
        </w:rPr>
        <w:t>采购工业机器人实训设备预算100万元，在预算成本内，为学校节约了教育成本。</w:t>
      </w:r>
    </w:p>
    <w:p>
      <w:pPr>
        <w:ind w:firstLine="640" w:firstLineChars="200"/>
        <w:rPr>
          <w:sz w:val="32"/>
          <w:szCs w:val="32"/>
        </w:rPr>
      </w:pPr>
      <w:r>
        <w:rPr>
          <w:rFonts w:hint="eastAsia"/>
          <w:sz w:val="32"/>
          <w:szCs w:val="32"/>
        </w:rPr>
        <w:t>2、效益指标完成情况</w:t>
      </w:r>
    </w:p>
    <w:p>
      <w:pPr>
        <w:ind w:firstLine="480" w:firstLineChars="150"/>
        <w:rPr>
          <w:sz w:val="32"/>
          <w:szCs w:val="32"/>
        </w:rPr>
      </w:pPr>
      <w:r>
        <w:rPr>
          <w:rFonts w:hint="eastAsia"/>
          <w:sz w:val="32"/>
          <w:szCs w:val="32"/>
        </w:rPr>
        <w:t>（1）经济效益</w:t>
      </w:r>
    </w:p>
    <w:p>
      <w:pPr>
        <w:ind w:firstLine="640" w:firstLineChars="200"/>
        <w:rPr>
          <w:sz w:val="32"/>
          <w:szCs w:val="32"/>
        </w:rPr>
      </w:pPr>
      <w:r>
        <w:rPr>
          <w:rFonts w:hint="eastAsia"/>
          <w:sz w:val="32"/>
          <w:szCs w:val="32"/>
        </w:rPr>
        <w:t>职业学校生源是生命线，新教学设备的投入使用，学生动手能力加强，专业技能得到提升，使教学的质量、学生的技能培养等方面有了质的飞跃，我校的社会声誉、影响力越来越大，学校的招生也越来越好，呈现上升的趋势，电气运行与控制是我校的省重点建设专业，充分利用学校的教学资源，给学校带来了较好的经济效益，缓解职业教育阶段负担100万元。</w:t>
      </w:r>
    </w:p>
    <w:p>
      <w:pPr>
        <w:ind w:firstLine="480" w:firstLineChars="150"/>
        <w:rPr>
          <w:sz w:val="32"/>
          <w:szCs w:val="32"/>
        </w:rPr>
      </w:pPr>
      <w:r>
        <w:rPr>
          <w:rFonts w:hint="eastAsia"/>
          <w:sz w:val="32"/>
          <w:szCs w:val="32"/>
        </w:rPr>
        <w:t>（2）社会效益</w:t>
      </w:r>
    </w:p>
    <w:p>
      <w:pPr>
        <w:ind w:firstLine="640" w:firstLineChars="200"/>
        <w:rPr>
          <w:sz w:val="32"/>
          <w:szCs w:val="32"/>
        </w:rPr>
      </w:pPr>
      <w:r>
        <w:rPr>
          <w:rFonts w:hint="eastAsia"/>
          <w:sz w:val="32"/>
          <w:szCs w:val="32"/>
        </w:rPr>
        <w:t>设备的投入和使用，使学生有跟多机会参与学习实践，提高了教学质量和学生的专业技能，使我校学前教育的学生供不应求，受到用人单位的好评，毕业学生逐渐成为我区某些行业的中坚力量，为我区培养了合格的劳动者，提高了我校该专业在社会上的影响，使我校成为家长满意，社会认可的育人之地。</w:t>
      </w:r>
    </w:p>
    <w:p>
      <w:pPr>
        <w:ind w:firstLine="640" w:firstLineChars="200"/>
        <w:rPr>
          <w:sz w:val="32"/>
          <w:szCs w:val="32"/>
        </w:rPr>
      </w:pPr>
      <w:r>
        <w:rPr>
          <w:rFonts w:hint="eastAsia"/>
          <w:sz w:val="32"/>
          <w:szCs w:val="32"/>
        </w:rPr>
        <w:t>（3）生态效益</w:t>
      </w:r>
    </w:p>
    <w:p>
      <w:pPr>
        <w:ind w:firstLine="640" w:firstLineChars="200"/>
        <w:rPr>
          <w:sz w:val="32"/>
          <w:szCs w:val="32"/>
        </w:rPr>
      </w:pPr>
      <w:r>
        <w:rPr>
          <w:rFonts w:hint="eastAsia"/>
          <w:sz w:val="32"/>
          <w:szCs w:val="32"/>
        </w:rPr>
        <w:t>由于本次项目属于教学设备的采购，不具备生态效益。</w:t>
      </w:r>
    </w:p>
    <w:p>
      <w:pPr>
        <w:ind w:firstLine="640" w:firstLineChars="200"/>
        <w:rPr>
          <w:sz w:val="32"/>
          <w:szCs w:val="32"/>
        </w:rPr>
      </w:pPr>
      <w:r>
        <w:rPr>
          <w:rFonts w:hint="eastAsia"/>
          <w:sz w:val="32"/>
          <w:szCs w:val="32"/>
        </w:rPr>
        <w:t>（4）可持续发展</w:t>
      </w:r>
    </w:p>
    <w:p>
      <w:pPr>
        <w:ind w:firstLine="640" w:firstLineChars="200"/>
        <w:rPr>
          <w:sz w:val="32"/>
          <w:szCs w:val="32"/>
        </w:rPr>
      </w:pPr>
      <w:r>
        <w:rPr>
          <w:rFonts w:hint="eastAsia"/>
          <w:sz w:val="32"/>
          <w:szCs w:val="32"/>
        </w:rPr>
        <w:t>中央、省对地方专项转移支付资金的投入，使我校的办学条件得到巨大改善，要充分利用学校的有形资产和无形资产，最大化地追求办学效益，与企业相比，学校的投入远远还没跟上时代发展的需要，这就要求我们学会盘活学校现有资产，特别是无形资产，为教育的发展争取更多的投入。我们还应该努力探索这样一个课题：如何提高教育质量，如果提升品牌优势，增大无形资产，继而变学校的人才资源为教育的人力资本，促进教育快速、良性发展。</w:t>
      </w:r>
    </w:p>
    <w:p>
      <w:pPr>
        <w:ind w:firstLine="640" w:firstLineChars="200"/>
        <w:rPr>
          <w:sz w:val="32"/>
          <w:szCs w:val="32"/>
        </w:rPr>
      </w:pPr>
      <w:r>
        <w:rPr>
          <w:rFonts w:hint="eastAsia"/>
          <w:sz w:val="32"/>
          <w:szCs w:val="32"/>
        </w:rPr>
        <w:t>3、满意度指标完成情况。</w:t>
      </w:r>
    </w:p>
    <w:p>
      <w:pPr>
        <w:ind w:firstLine="640" w:firstLineChars="200"/>
        <w:rPr>
          <w:sz w:val="32"/>
          <w:szCs w:val="32"/>
        </w:rPr>
      </w:pPr>
      <w:r>
        <w:rPr>
          <w:rFonts w:hint="eastAsia"/>
          <w:sz w:val="32"/>
          <w:szCs w:val="32"/>
        </w:rPr>
        <w:t>通过教学设施设备项目的实施，使学校的办学的硬件上了一个新的台阶，100%的师生对设备的投入非常满意。先进的设备，科学的管理，师生的勤奋，努力做到让学生、家长满意，社会认可的学校。</w:t>
      </w:r>
    </w:p>
    <w:p>
      <w:pPr>
        <w:snapToGrid w:val="0"/>
        <w:spacing w:line="360" w:lineRule="auto"/>
        <w:ind w:firstLine="640" w:firstLineChars="200"/>
        <w:rPr>
          <w:rFonts w:ascii="黑体" w:eastAsia="黑体"/>
          <w:sz w:val="32"/>
          <w:szCs w:val="32"/>
        </w:rPr>
      </w:pPr>
      <w:r>
        <w:rPr>
          <w:rFonts w:hint="eastAsia" w:ascii="黑体" w:eastAsia="黑体"/>
          <w:sz w:val="32"/>
          <w:szCs w:val="32"/>
        </w:rPr>
        <w:t>五、存在问题和建议</w:t>
      </w:r>
    </w:p>
    <w:p>
      <w:pPr>
        <w:ind w:firstLine="640" w:firstLineChars="200"/>
        <w:rPr>
          <w:sz w:val="32"/>
          <w:szCs w:val="32"/>
        </w:rPr>
      </w:pPr>
      <w:r>
        <w:rPr>
          <w:rFonts w:hint="eastAsia"/>
          <w:sz w:val="32"/>
          <w:szCs w:val="32"/>
        </w:rPr>
        <w:t>由于职业教育设备设施更新过快，专业的建设投入较大，部分现有的设备设施不能满足学校的发展和人才培养目标，希望政府和上级教育主管部门加大对山区职业教育学校的支持和关注，使上级部门下达的专项支付资金用到实处。</w:t>
      </w:r>
    </w:p>
    <w:p>
      <w:pPr>
        <w:jc w:val="left"/>
        <w:rPr>
          <w:rFonts w:ascii="仿宋_GB2312" w:hAnsi="Cambria"/>
          <w:sz w:val="28"/>
          <w:szCs w:val="28"/>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8864839"/>
      <w:docPartObj>
        <w:docPartGallery w:val="AutoText"/>
      </w:docPartObj>
    </w:sdtPr>
    <w:sdtContent>
      <w:p>
        <w:pPr>
          <w:pStyle w:val="2"/>
          <w:jc w:val="center"/>
        </w:pPr>
        <w:r>
          <w:fldChar w:fldCharType="begin"/>
        </w:r>
        <w:r>
          <w:instrText xml:space="preserve">PAGE   \* MERGEFORMAT</w:instrText>
        </w:r>
        <w:r>
          <w:fldChar w:fldCharType="separate"/>
        </w:r>
        <w:r>
          <w:rPr>
            <w:lang w:val="zh-CN"/>
          </w:rPr>
          <w:t>5</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54371"/>
    <w:rsid w:val="000C57C0"/>
    <w:rsid w:val="00241C02"/>
    <w:rsid w:val="0030224B"/>
    <w:rsid w:val="00377F1B"/>
    <w:rsid w:val="003D2A6A"/>
    <w:rsid w:val="00402FFE"/>
    <w:rsid w:val="004D3033"/>
    <w:rsid w:val="00597364"/>
    <w:rsid w:val="005D2548"/>
    <w:rsid w:val="00612ADC"/>
    <w:rsid w:val="00620537"/>
    <w:rsid w:val="00641769"/>
    <w:rsid w:val="006C21B4"/>
    <w:rsid w:val="007C3705"/>
    <w:rsid w:val="00853209"/>
    <w:rsid w:val="00866A8D"/>
    <w:rsid w:val="008C74DB"/>
    <w:rsid w:val="009241CC"/>
    <w:rsid w:val="0099752B"/>
    <w:rsid w:val="00AD1157"/>
    <w:rsid w:val="00CB673C"/>
    <w:rsid w:val="00D537CE"/>
    <w:rsid w:val="00D645E2"/>
    <w:rsid w:val="00E82CBE"/>
    <w:rsid w:val="00F35866"/>
    <w:rsid w:val="00F7422B"/>
    <w:rsid w:val="6A354371"/>
    <w:rsid w:val="79976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uiPriority w:val="0"/>
    <w:pPr>
      <w:spacing w:before="120" w:after="120"/>
      <w:jc w:val="left"/>
    </w:pPr>
    <w:rPr>
      <w:rFonts w:ascii="Calibri" w:hAnsi="Calibri" w:eastAsia="宋体"/>
      <w:b/>
      <w:bCs/>
      <w:caps/>
      <w:sz w:val="20"/>
      <w:szCs w:val="20"/>
    </w:rPr>
  </w:style>
  <w:style w:type="paragraph" w:styleId="5">
    <w:name w:val="Title"/>
    <w:basedOn w:val="1"/>
    <w:next w:val="1"/>
    <w:qFormat/>
    <w:uiPriority w:val="99"/>
    <w:pPr>
      <w:spacing w:before="240" w:after="60"/>
      <w:jc w:val="center"/>
      <w:outlineLvl w:val="0"/>
    </w:pPr>
    <w:rPr>
      <w:rFonts w:ascii="等线 Light" w:hAnsi="等线 Light" w:eastAsia="等线 Light"/>
      <w:b/>
      <w:kern w:val="0"/>
      <w:sz w:val="32"/>
      <w:szCs w:val="20"/>
    </w:rPr>
  </w:style>
  <w:style w:type="character" w:customStyle="1" w:styleId="8">
    <w:name w:val="页眉 Char"/>
    <w:basedOn w:val="7"/>
    <w:link w:val="3"/>
    <w:qFormat/>
    <w:uiPriority w:val="0"/>
    <w:rPr>
      <w:rFonts w:eastAsia="仿宋_GB2312"/>
      <w:kern w:val="2"/>
      <w:sz w:val="18"/>
      <w:szCs w:val="18"/>
    </w:rPr>
  </w:style>
  <w:style w:type="character" w:customStyle="1" w:styleId="9">
    <w:name w:val="页脚 Char"/>
    <w:basedOn w:val="7"/>
    <w:link w:val="2"/>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363</Words>
  <Characters>2070</Characters>
  <Lines>17</Lines>
  <Paragraphs>4</Paragraphs>
  <TotalTime>32</TotalTime>
  <ScaleCrop>false</ScaleCrop>
  <LinksUpToDate>false</LinksUpToDate>
  <CharactersWithSpaces>2429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2020-04-01T10:13:00Z</dcterms:created>
  <dc:creator>梁诗华</dc:creator>
  <cp:lastModifiedBy>邓琦</cp:lastModifiedBy>
  <dcterms:modified xsi:type="dcterms:W3CDTF">2022-08-11T09:15:38Z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ribbonExt">
    <vt:lpwstr>{"WPSExtOfficeTab":{"OnGetEnabled":false,"OnGetVisible":false}}</vt:lpwstr>
  </property>
  <property fmtid="{D5CDD505-2E9C-101B-9397-08002B2CF9AE}" pid="4" name="ICV">
    <vt:lpwstr>FFD605C0787F43B09478525CA7A87A04</vt:lpwstr>
  </property>
</Properties>
</file>