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2019年教育发展专项资金（第一批教育信息化建设资金）（曲江区）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绩效评价报告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ind w:left="2100" w:firstLine="1059" w:firstLineChars="331"/>
        <w:rPr>
          <w:rFonts w:ascii="仿宋_GB2312" w:hAnsi="仿宋_GB2312" w:cs="仿宋_GB2312"/>
          <w:sz w:val="32"/>
          <w:szCs w:val="32"/>
          <w:lang w:val="zh-CN"/>
        </w:rPr>
      </w:pPr>
    </w:p>
    <w:p>
      <w:pPr>
        <w:ind w:left="2100" w:firstLine="1059" w:firstLineChars="331"/>
        <w:rPr>
          <w:rFonts w:ascii="仿宋_GB2312" w:hAnsi="仿宋_GB2312" w:cs="仿宋_GB2312"/>
          <w:sz w:val="32"/>
          <w:szCs w:val="32"/>
          <w:lang w:val="zh-CN"/>
        </w:rPr>
      </w:pPr>
    </w:p>
    <w:p>
      <w:pPr>
        <w:ind w:left="2100" w:firstLine="1059" w:firstLineChars="331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zh-CN"/>
        </w:rPr>
        <w:t>主管部门：韶关市曲江区教育局</w:t>
      </w:r>
    </w:p>
    <w:p>
      <w:pPr>
        <w:ind w:firstLine="3200" w:firstLineChars="10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zh-CN"/>
        </w:rPr>
        <w:t>填报人：李俊招</w:t>
      </w:r>
    </w:p>
    <w:p>
      <w:pPr>
        <w:pStyle w:val="3"/>
        <w:rPr>
          <w:bCs/>
          <w:sz w:val="36"/>
          <w:szCs w:val="36"/>
          <w:lang w:val="zh-CN"/>
        </w:rPr>
      </w:pPr>
      <w:bookmarkStart w:id="0" w:name="_Toc12783"/>
      <w:bookmarkStart w:id="1" w:name="_Toc521089181"/>
    </w:p>
    <w:p>
      <w:pPr>
        <w:rPr>
          <w:bCs/>
          <w:sz w:val="36"/>
          <w:szCs w:val="36"/>
          <w:lang w:val="zh-CN"/>
        </w:rPr>
      </w:pPr>
    </w:p>
    <w:p>
      <w:pPr>
        <w:rPr>
          <w:bCs/>
          <w:sz w:val="36"/>
          <w:szCs w:val="36"/>
          <w:lang w:val="zh-CN"/>
        </w:rPr>
      </w:pPr>
      <w:bookmarkStart w:id="3" w:name="_GoBack"/>
      <w:bookmarkEnd w:id="3"/>
    </w:p>
    <w:p>
      <w:pPr>
        <w:rPr>
          <w:bCs/>
          <w:sz w:val="36"/>
          <w:szCs w:val="36"/>
          <w:lang w:val="zh-CN"/>
        </w:rPr>
      </w:pPr>
    </w:p>
    <w:p>
      <w:pPr>
        <w:rPr>
          <w:bCs/>
          <w:sz w:val="36"/>
          <w:szCs w:val="36"/>
          <w:lang w:val="zh-CN"/>
        </w:rPr>
      </w:pPr>
    </w:p>
    <w:p>
      <w:pPr>
        <w:pStyle w:val="3"/>
        <w:rPr>
          <w:bCs/>
          <w:sz w:val="36"/>
          <w:szCs w:val="36"/>
          <w:lang w:val="zh-CN"/>
        </w:rPr>
      </w:pPr>
    </w:p>
    <w:p>
      <w:pPr>
        <w:pStyle w:val="3"/>
        <w:rPr>
          <w:rFonts w:hint="eastAsia"/>
          <w:bCs/>
          <w:sz w:val="36"/>
          <w:szCs w:val="36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p>
      <w:pPr>
        <w:pStyle w:val="3"/>
        <w:rPr>
          <w:b w:val="0"/>
          <w:sz w:val="36"/>
          <w:szCs w:val="36"/>
          <w:lang w:val="zh-CN"/>
        </w:rPr>
      </w:pPr>
      <w:r>
        <w:rPr>
          <w:rFonts w:hint="eastAsia"/>
          <w:bCs/>
          <w:sz w:val="36"/>
          <w:szCs w:val="36"/>
          <w:lang w:val="zh-CN"/>
        </w:rPr>
        <w:t>目 录</w:t>
      </w:r>
      <w:bookmarkEnd w:id="0"/>
      <w:bookmarkEnd w:id="1"/>
    </w:p>
    <w:p>
      <w:pPr>
        <w:rPr>
          <w:lang w:val="zh-CN"/>
        </w:rPr>
      </w:pPr>
    </w:p>
    <w:p>
      <w:pPr>
        <w:pStyle w:val="2"/>
        <w:tabs>
          <w:tab w:val="right" w:leader="dot" w:pos="8948"/>
        </w:tabs>
        <w:ind w:firstLine="420" w:firstLineChars="150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rPr>
          <w:rFonts w:hint="eastAsia" w:ascii="仿宋_GB2312" w:hAnsi="Cambria"/>
          <w:b w:val="0"/>
          <w:caps w:val="0"/>
          <w:sz w:val="28"/>
          <w:szCs w:val="28"/>
        </w:rPr>
        <w:fldChar w:fldCharType="begin"/>
      </w:r>
      <w:r>
        <w:rPr>
          <w:rFonts w:hint="eastAsia" w:ascii="仿宋_GB2312" w:hAnsi="Cambria"/>
          <w:b w:val="0"/>
          <w:caps w:val="0"/>
          <w:sz w:val="28"/>
          <w:szCs w:val="28"/>
        </w:rPr>
        <w:instrText xml:space="preserve"> TOC \o "1-3" \h \z \u </w:instrText>
      </w:r>
      <w:r>
        <w:rPr>
          <w:rFonts w:hint="eastAsia" w:ascii="仿宋_GB2312" w:hAnsi="Cambria"/>
          <w:b w:val="0"/>
          <w:cap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"_Toc521089182"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"_Toc521089185"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二、绩效指标分析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"_Toc521089203"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三、 综合评价结论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"_Toc521089204"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四、 主要绩效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"_Toc521089208"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 存在问题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"_Toc521089213"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六、 相关建议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pStyle w:val="2"/>
        <w:tabs>
          <w:tab w:val="right" w:leader="dot" w:pos="8948"/>
        </w:tabs>
        <w:ind w:firstLine="402"/>
        <w:rPr>
          <w:rFonts w:ascii="仿宋_GB2312"/>
          <w:b w:val="0"/>
          <w:bCs w:val="0"/>
          <w:caps w:val="0"/>
          <w:sz w:val="28"/>
          <w:szCs w:val="28"/>
        </w:rPr>
      </w:pPr>
    </w:p>
    <w:p/>
    <w:p/>
    <w:p/>
    <w:p/>
    <w:p/>
    <w:p/>
    <w:p>
      <w:pPr>
        <w:jc w:val="center"/>
        <w:rPr>
          <w:rFonts w:ascii="仿宋_GB2312" w:hAnsi="Cambria"/>
          <w:sz w:val="28"/>
          <w:szCs w:val="28"/>
        </w:rPr>
      </w:pPr>
      <w:r>
        <w:rPr>
          <w:rFonts w:hint="eastAsia" w:ascii="仿宋_GB2312" w:hAnsi="Cambria"/>
          <w:sz w:val="28"/>
          <w:szCs w:val="28"/>
        </w:rPr>
        <w:fldChar w:fldCharType="end"/>
      </w:r>
    </w:p>
    <w:p>
      <w:pPr>
        <w:jc w:val="center"/>
        <w:rPr>
          <w:rFonts w:ascii="仿宋_GB2312" w:hAnsi="Cambria"/>
          <w:sz w:val="28"/>
          <w:szCs w:val="28"/>
        </w:rPr>
      </w:pPr>
    </w:p>
    <w:p>
      <w:pPr>
        <w:jc w:val="center"/>
        <w:rPr>
          <w:rFonts w:ascii="仿宋_GB2312" w:hAnsi="Cambria"/>
          <w:sz w:val="28"/>
          <w:szCs w:val="28"/>
        </w:rPr>
      </w:pPr>
    </w:p>
    <w:p>
      <w:pPr>
        <w:jc w:val="center"/>
        <w:rPr>
          <w:rFonts w:ascii="仿宋_GB2312" w:hAnsi="Cambria"/>
          <w:sz w:val="28"/>
          <w:szCs w:val="28"/>
        </w:rPr>
      </w:pPr>
    </w:p>
    <w:p>
      <w:pPr>
        <w:jc w:val="center"/>
        <w:rPr>
          <w:rFonts w:hint="eastAsia" w:ascii="仿宋_GB2312" w:hAnsi="Cambria"/>
          <w:sz w:val="28"/>
          <w:szCs w:val="28"/>
        </w:rPr>
      </w:pPr>
    </w:p>
    <w:p>
      <w:pPr>
        <w:jc w:val="center"/>
        <w:rPr>
          <w:rFonts w:hint="eastAsia" w:ascii="仿宋_GB2312" w:hAnsi="Cambria"/>
          <w:sz w:val="28"/>
          <w:szCs w:val="28"/>
        </w:rPr>
      </w:pPr>
    </w:p>
    <w:p>
      <w:pPr>
        <w:jc w:val="center"/>
        <w:rPr>
          <w:rFonts w:hint="eastAsia" w:ascii="仿宋_GB2312" w:hAnsi="Cambria"/>
          <w:sz w:val="28"/>
          <w:szCs w:val="28"/>
        </w:rPr>
      </w:pPr>
    </w:p>
    <w:p>
      <w:pPr>
        <w:jc w:val="center"/>
        <w:rPr>
          <w:rFonts w:hint="eastAsia" w:ascii="仿宋_GB2312" w:hAnsi="Cambria"/>
          <w:sz w:val="28"/>
          <w:szCs w:val="28"/>
        </w:rPr>
      </w:pPr>
    </w:p>
    <w:p>
      <w:pPr>
        <w:jc w:val="center"/>
        <w:rPr>
          <w:rFonts w:hint="eastAsia" w:ascii="仿宋_GB2312" w:hAnsi="Cambria"/>
          <w:sz w:val="28"/>
          <w:szCs w:val="28"/>
        </w:rPr>
      </w:pPr>
    </w:p>
    <w:p>
      <w:pPr>
        <w:jc w:val="center"/>
        <w:rPr>
          <w:rFonts w:ascii="仿宋_GB2312" w:hAnsi="Cambria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2019年教育发展专项资金（第一批教育信息化建设资金）（曲江区）绩效评价报告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为进一步规范和加强教育信息化建设项目的资金管理，深化财政资金使用管理改革，强化财政支出绩效管理，提高财政资金使用效益，促进财政资金使用的科学化、合理化后精细化，遵循“科学规范、客观公正、绩效相关”原则，我们对2019年教育信息化建设项目资金的使用、管理及绩效情况，进行了自评，现将评价结果报告如下: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一、基本情况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（一）项目单位基本情况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韶关市曲江区教育局负责指导、规范我校智慧校园项目建设。负责贯彻落实上级教育行政部门有关教育信息化建设的指示精神。包括网络建设、维护、使用、信息采集、数据处理、多媒体制作、远程教学、有关管理及软件开发等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（二）项目基本情况简介：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加快推进教育现代化,推动“互联网+教育”的普及，国家教育部及国家标准委相继出台了《教育信息化2.0行动计划》、《中小学数字校园建设规范（试行）通知》及《智慧校园总体框架》等政策及标准。</w:t>
      </w:r>
      <w:r>
        <w:rPr>
          <w:rFonts w:hint="eastAsia" w:ascii="仿宋_GB2312" w:eastAsia="仿宋_GB2312" w:hAnsiTheme="minorEastAsia"/>
          <w:sz w:val="32"/>
          <w:szCs w:val="32"/>
        </w:rPr>
        <w:t>对我校的信息化基础设施和教育信息化应用系统进行建设，包括基础网络、网络安全、教学多媒体、教育管理和教学教研应用系统等。本项目属于公益性投资，为本校的教育教学提供技术服务保障。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二、项目绩效目标分析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学校教学需要，配备完善学校信息化教学所需设备。充分发挥现代信息技术独特优势，增强信息化环境下学生自主学习能力，进一步深入创新教学方式与教育模式，充分促进信息化对教育变革。提高教学质量和学校管理水平。教育信息化专项经费主要建设内容：包括</w:t>
      </w:r>
      <w:r>
        <w:rPr>
          <w:rFonts w:hint="eastAsia" w:ascii="仿宋_GB2312" w:hAnsi="宋体" w:eastAsia="仿宋_GB2312" w:cs="Times New Roman"/>
          <w:sz w:val="32"/>
          <w:szCs w:val="32"/>
        </w:rPr>
        <w:t>机房设备搬迁及新机房整改</w:t>
      </w:r>
      <w:r>
        <w:rPr>
          <w:rFonts w:hint="eastAsia" w:ascii="仿宋_GB2312" w:eastAsia="仿宋_GB2312" w:hAnsiTheme="minorEastAsia"/>
          <w:sz w:val="32"/>
          <w:szCs w:val="32"/>
        </w:rPr>
        <w:t>、云教室</w:t>
      </w: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间、云网络语音教室</w:t>
      </w: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间、电脑室改造</w:t>
      </w: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间、</w:t>
      </w:r>
      <w:r>
        <w:rPr>
          <w:rFonts w:hint="eastAsia" w:ascii="仿宋_GB2312" w:hAnsi="宋体" w:eastAsia="仿宋_GB2312" w:cs="Times New Roman"/>
          <w:sz w:val="32"/>
          <w:szCs w:val="32"/>
        </w:rPr>
        <w:t>智慧校园管理系统</w:t>
      </w:r>
      <w:r>
        <w:rPr>
          <w:rFonts w:hint="eastAsia" w:ascii="仿宋_GB2312" w:eastAsia="仿宋_GB2312" w:hAnsiTheme="minorEastAsia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便携式双屏移动录播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经济效益指标：改善教育环境，全面提升教育发展水平，为全区经济发展提供人才保障和智力保障。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社会效益指标：增强信息化环境下教与学的能力，提高教学质量和学校管理水平。利用网络优质资源开展教与学更便捷高效。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生态效益指标：营造更加公平、更高质量、更具活力的教育环境。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可持续影响指标：改善教育环境，提升教育发展水平和教育质量，为建成信息化中心校提供有力保障。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三、综合评价结论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我单位于对项目进行了自评，总体得分94分，自评结果为“优”。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四、主要绩效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(一)项目经济性。</w:t>
      </w:r>
      <w:bookmarkStart w:id="2" w:name="OLE_LINK1"/>
      <w:r>
        <w:rPr>
          <w:rFonts w:hint="eastAsia" w:ascii="仿宋_GB2312" w:eastAsia="仿宋_GB2312" w:hAnsiTheme="minorEastAsia"/>
          <w:sz w:val="32"/>
          <w:szCs w:val="32"/>
        </w:rPr>
        <w:t>我校的信息化建设项目按照先由第三方根据学校需求编制方案，经学校行政会多次讨论形成最终方案，报区教育局、区政府审核批准，然后进行公开招标，通过技术方案的评审和价格预算之后，项目成本都进行了严格的控制</w:t>
      </w:r>
      <w:bookmarkEnd w:id="2"/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(二)项目效率性。项目的实施按照预计的进度完成，施工质量达到了国家工程质量要求。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(三)项目效益性。通过本次项目的实施，对</w:t>
      </w:r>
      <w:r>
        <w:rPr>
          <w:rFonts w:hint="eastAsia" w:ascii="仿宋_GB2312" w:hAnsi="宋体" w:eastAsia="仿宋_GB2312" w:cs="Times New Roman"/>
          <w:sz w:val="32"/>
          <w:szCs w:val="32"/>
        </w:rPr>
        <w:t>机房设备搬迁及新机房整改</w:t>
      </w:r>
      <w:r>
        <w:rPr>
          <w:rFonts w:hint="eastAsia" w:ascii="仿宋_GB2312" w:eastAsia="仿宋_GB2312" w:hAnsiTheme="minorEastAsia"/>
          <w:sz w:val="32"/>
          <w:szCs w:val="32"/>
        </w:rPr>
        <w:t>、建成云教室</w:t>
      </w: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间、云网络语音教室</w:t>
      </w: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间、</w:t>
      </w:r>
      <w:r>
        <w:rPr>
          <w:rFonts w:hint="eastAsia" w:ascii="仿宋_GB2312" w:hAnsi="宋体" w:eastAsia="仿宋_GB2312" w:cs="Times New Roman"/>
          <w:sz w:val="32"/>
          <w:szCs w:val="32"/>
        </w:rPr>
        <w:t>智慧校园管理系统</w:t>
      </w:r>
      <w:r>
        <w:rPr>
          <w:rFonts w:hint="eastAsia" w:ascii="仿宋_GB2312" w:eastAsia="仿宋_GB2312" w:hAnsiTheme="minorEastAsia"/>
          <w:sz w:val="32"/>
          <w:szCs w:val="32"/>
        </w:rPr>
        <w:t>、并对</w:t>
      </w: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间已经老化且超过使用年限影响教学效果的电脑室进行了升级改造，改善了教学条件。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(四)项目可持续影响。项目的实施为开展教育教学活动提供了基础条件。</w:t>
      </w:r>
    </w:p>
    <w:p>
      <w:pPr>
        <w:pStyle w:val="2"/>
        <w:tabs>
          <w:tab w:val="right" w:leader="dot" w:pos="8948"/>
        </w:tabs>
        <w:ind w:firstLine="402"/>
      </w:pPr>
      <w:r>
        <w:fldChar w:fldCharType="begin"/>
      </w:r>
      <w:r>
        <w:instrText xml:space="preserve"> HYPERLINK \l "_Toc521089208" 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五、存在问题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</w:p>
    <w:p>
      <w:pPr>
        <w:ind w:firstLine="320" w:firstLineChars="1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资金不足，建设信息化中心学校资金抽缺口较大。</w:t>
      </w:r>
    </w:p>
    <w:p>
      <w:pPr>
        <w:pStyle w:val="2"/>
        <w:tabs>
          <w:tab w:val="right" w:leader="dot" w:pos="8948"/>
        </w:tabs>
        <w:ind w:firstLine="402"/>
        <w:rPr>
          <w:rFonts w:ascii="仿宋_GB2312" w:eastAsia="仿宋_GB2312" w:hAnsiTheme="minorEastAsia" w:cstheme="minorBidi"/>
          <w:b w:val="0"/>
          <w:bCs w:val="0"/>
          <w:caps w:val="0"/>
          <w:sz w:val="32"/>
          <w:szCs w:val="32"/>
        </w:rPr>
      </w:pPr>
      <w:r>
        <w:fldChar w:fldCharType="begin"/>
      </w:r>
      <w:r>
        <w:instrText xml:space="preserve"> HYPERLINK \l "_Toc521089213" </w:instrText>
      </w:r>
      <w:r>
        <w:fldChar w:fldCharType="separate"/>
      </w:r>
      <w:r>
        <w:rPr>
          <w:rFonts w:hint="eastAsia" w:ascii="仿宋_GB2312" w:eastAsia="仿宋_GB2312" w:hAnsiTheme="minorEastAsia" w:cstheme="minorBidi"/>
          <w:b w:val="0"/>
          <w:bCs w:val="0"/>
          <w:caps w:val="0"/>
          <w:sz w:val="32"/>
          <w:szCs w:val="32"/>
        </w:rPr>
        <w:t>六、相关建议</w:t>
      </w:r>
      <w:r>
        <w:rPr>
          <w:rFonts w:hint="eastAsia" w:ascii="仿宋_GB2312" w:eastAsia="仿宋_GB2312" w:hAnsiTheme="minorEastAsia" w:cstheme="minorBidi"/>
          <w:b w:val="0"/>
          <w:bCs w:val="0"/>
          <w:caps w:val="0"/>
          <w:sz w:val="32"/>
          <w:szCs w:val="32"/>
        </w:rPr>
        <w:fldChar w:fldCharType="end"/>
      </w:r>
    </w:p>
    <w:p>
      <w:pPr>
        <w:ind w:firstLine="320" w:firstLineChars="1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加大资金投入。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6EE"/>
    <w:rsid w:val="001609A2"/>
    <w:rsid w:val="00267C57"/>
    <w:rsid w:val="00306B8B"/>
    <w:rsid w:val="00344852"/>
    <w:rsid w:val="003B0600"/>
    <w:rsid w:val="005461CC"/>
    <w:rsid w:val="006329F7"/>
    <w:rsid w:val="0067765F"/>
    <w:rsid w:val="007E0143"/>
    <w:rsid w:val="00892DFC"/>
    <w:rsid w:val="009056EE"/>
    <w:rsid w:val="00946746"/>
    <w:rsid w:val="00971B73"/>
    <w:rsid w:val="00B55391"/>
    <w:rsid w:val="00B92C15"/>
    <w:rsid w:val="00C8043E"/>
    <w:rsid w:val="5F1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3">
    <w:name w:val="Title"/>
    <w:basedOn w:val="1"/>
    <w:next w:val="1"/>
    <w:link w:val="6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kern w:val="0"/>
      <w:sz w:val="32"/>
      <w:szCs w:val="20"/>
    </w:rPr>
  </w:style>
  <w:style w:type="character" w:customStyle="1" w:styleId="6">
    <w:name w:val="标题 Char"/>
    <w:basedOn w:val="5"/>
    <w:link w:val="3"/>
    <w:qFormat/>
    <w:uiPriority w:val="99"/>
    <w:rPr>
      <w:rFonts w:ascii="等线 Light" w:hAnsi="等线 Light" w:eastAsia="等线 Light" w:cs="Times New Roman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255</Words>
  <Characters>1460</Characters>
  <Lines>12</Lines>
  <Paragraphs>3</Paragraphs>
  <TotalTime>113</TotalTime>
  <ScaleCrop>false</ScaleCrop>
  <LinksUpToDate>false</LinksUpToDate>
  <CharactersWithSpaces>1712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2020-04-08T00:54:00Z</dcterms:created>
  <dc:creator>dreamsummit</dc:creator>
  <cp:lastModifiedBy>邓琦</cp:lastModifiedBy>
  <dcterms:modified xsi:type="dcterms:W3CDTF">2022-08-11T09:16:40Z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24EA7D647B42435F8A20B8B833148CD3</vt:lpwstr>
  </property>
</Properties>
</file>