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spacing w:line="540" w:lineRule="exact"/>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widowControl/>
        <w:spacing w:line="540" w:lineRule="exact"/>
        <w:jc w:val="both"/>
        <w:rPr>
          <w:rFonts w:hint="eastAsia" w:ascii="仿宋_GB2312" w:hAnsi="仿宋_GB2312" w:eastAsia="仿宋_GB2312" w:cs="仿宋_GB2312"/>
          <w:sz w:val="32"/>
          <w:szCs w:val="32"/>
          <w:lang w:val="en-US" w:eastAsia="zh-CN"/>
        </w:rPr>
      </w:pPr>
    </w:p>
    <w:p>
      <w:pPr>
        <w:widowControl/>
        <w:spacing w:line="540" w:lineRule="exact"/>
        <w:jc w:val="center"/>
        <w:rPr>
          <w:rFonts w:ascii="方正小标宋简体" w:eastAsia="方正小标宋简体"/>
          <w:sz w:val="44"/>
          <w:szCs w:val="44"/>
        </w:rPr>
      </w:pPr>
      <w:r>
        <w:rPr>
          <w:rFonts w:hint="eastAsia" w:ascii="方正小标宋简体" w:eastAsia="方正小标宋简体"/>
          <w:sz w:val="44"/>
          <w:szCs w:val="44"/>
        </w:rPr>
        <w:t>韶关市武江区2020年度第十六批次城镇建设用地征地项目征收土地补偿安置方案</w:t>
      </w:r>
    </w:p>
    <w:p>
      <w:pPr>
        <w:widowControl/>
        <w:spacing w:line="540" w:lineRule="exact"/>
        <w:jc w:val="center"/>
        <w:rPr>
          <w:rFonts w:eastAsia="仿宋"/>
          <w:b/>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hint="eastAsia" w:ascii="仿宋_GB2312" w:hAnsi="仿宋_GB2312" w:eastAsia="仿宋_GB2312" w:cs="仿宋_GB2312"/>
          <w:sz w:val="32"/>
          <w:szCs w:val="32"/>
        </w:rPr>
        <w:t>为实施韶关市武江区建设规划，完善城市功能，改善城市环境，促进经济、文化发展，我市拟征收韶关市武江区龙归镇冲下村第一经济合作社、韶关市武江区龙归镇冲下村第二经济合作社、韶关市武江区龙归镇冲下村第三经济合作社、韶关市武江区龙归镇冲下村第二经济合作社和韶关市武江区龙归镇冲下村第三经济合作社共有、韶关市武江区龙归镇冲下村第十三经济合作社属下的集体土地2.2348公顷。依照《中华人民共和国土地管理法》第二条、第四十五条、第四十七条，以及《广东省实施&lt;中华人民共和国土地管理法&gt;办法》等有关规定精神，结合我市实际情况，拟定了征地补偿安置方案，具体情况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一、征收集体土地情况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b/>
          <w:sz w:val="32"/>
          <w:szCs w:val="32"/>
        </w:rPr>
      </w:pPr>
      <w:r>
        <w:rPr>
          <w:rFonts w:hint="eastAsia" w:ascii="仿宋_GB2312" w:hAnsi="仿宋_GB2312" w:eastAsia="仿宋_GB2312" w:cs="仿宋_GB2312"/>
          <w:sz w:val="32"/>
          <w:szCs w:val="32"/>
        </w:rPr>
        <w:t>（一）拟征收土地总面积2.2348公顷，现状地类为</w:t>
      </w:r>
      <w:r>
        <w:rPr>
          <w:rFonts w:hint="eastAsia" w:ascii="仿宋_GB2312" w:hAnsi="宋体" w:eastAsia="仿宋_GB2312" w:cs="宋体"/>
          <w:bCs/>
          <w:sz w:val="32"/>
          <w:szCs w:val="32"/>
          <w:lang w:val="zh-CN"/>
        </w:rPr>
        <w:t>农用地</w:t>
      </w:r>
      <w:r>
        <w:rPr>
          <w:rFonts w:hint="eastAsia" w:ascii="仿宋_GB2312" w:hAnsi="宋体" w:eastAsia="仿宋_GB2312" w:cs="宋体"/>
          <w:bCs/>
          <w:sz w:val="32"/>
          <w:szCs w:val="32"/>
        </w:rPr>
        <w:t>2.2253公顷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其中耕地2.1172公顷（水田2.1172公顷）、非耕农用地0.1081公顷（园地0.0800公顷、</w:t>
      </w:r>
      <w:r>
        <w:rPr>
          <w:rFonts w:hint="eastAsia" w:ascii="仿宋_GB2312" w:hAnsi="宋体" w:eastAsia="仿宋_GB2312" w:cs="宋体"/>
          <w:bCs/>
          <w:sz w:val="32"/>
          <w:szCs w:val="32"/>
          <w:lang w:val="zh-CN"/>
        </w:rPr>
        <w:t>林地</w:t>
      </w:r>
      <w:r>
        <w:rPr>
          <w:rFonts w:hint="eastAsia" w:ascii="仿宋_GB2312" w:hAnsi="宋体" w:eastAsia="仿宋_GB2312" w:cs="宋体"/>
          <w:bCs/>
          <w:sz w:val="32"/>
          <w:szCs w:val="32"/>
        </w:rPr>
        <w:t>0.0281</w:t>
      </w:r>
      <w:r>
        <w:rPr>
          <w:rFonts w:hint="eastAsia" w:ascii="仿宋_GB2312" w:hAnsi="宋体" w:eastAsia="仿宋_GB2312" w:cs="宋体"/>
          <w:bCs/>
          <w:sz w:val="32"/>
          <w:szCs w:val="32"/>
          <w:lang w:val="zh-CN"/>
        </w:rPr>
        <w:t>公顷</w:t>
      </w:r>
      <w:r>
        <w:rPr>
          <w:rFonts w:hint="eastAsia" w:ascii="仿宋_GB2312" w:hAnsi="宋体" w:eastAsia="仿宋_GB2312" w:cs="宋体"/>
          <w:bCs/>
          <w:sz w:val="32"/>
          <w:szCs w:val="32"/>
        </w:rPr>
        <w:t>））</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建设用地0.0078公顷，未利用地0.0017公顷</w:t>
      </w:r>
      <w:r>
        <w:rPr>
          <w:rFonts w:hint="eastAsia" w:ascii="仿宋_GB2312" w:hAnsi="宋体" w:eastAsia="仿宋_GB2312" w:cs="宋体"/>
          <w:bCs/>
          <w:sz w:val="32"/>
          <w:szCs w:val="32"/>
          <w:lang w:val="zh-CN"/>
        </w:rPr>
        <w:t>。</w:t>
      </w:r>
      <w:r>
        <w:rPr>
          <w:rFonts w:hint="eastAsia" w:ascii="仿宋_GB2312" w:hAnsi="宋体" w:eastAsia="仿宋_GB2312" w:cs="宋体"/>
          <w:bCs/>
          <w:sz w:val="32"/>
          <w:szCs w:val="32"/>
        </w:rPr>
        <w:t>不占用永久基本农田，为</w:t>
      </w:r>
      <w:r>
        <w:rPr>
          <w:rFonts w:hint="eastAsia" w:ascii="仿宋_GB2312" w:hAnsi="仿宋_GB2312" w:eastAsia="仿宋_GB2312" w:cs="仿宋_GB2312"/>
          <w:sz w:val="32"/>
          <w:szCs w:val="32"/>
        </w:rPr>
        <w:t>韶关市武江区龙归镇冲下村第一经济合作社、韶关市武江区龙归镇冲下村第二经济合作社、韶关市武江区龙归镇冲下村第三经济合作社、韶关市武江区龙归镇冲下村第二经济合作社和韶关市武江区龙归镇冲下村第三经济合作社共有、韶关市武江区龙归镇冲下村第十三经济合作社</w:t>
      </w:r>
      <w:r>
        <w:rPr>
          <w:rFonts w:hint="eastAsia" w:ascii="仿宋_GB2312" w:hAnsi="宋体" w:eastAsia="仿宋_GB2312" w:cs="宋体"/>
          <w:bCs/>
          <w:sz w:val="32"/>
          <w:szCs w:val="32"/>
        </w:rPr>
        <w:t>所有。</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r>
        <w:rPr>
          <w:rFonts w:hint="eastAsia" w:ascii="仿宋_GB2312" w:hAnsi="仿宋_GB2312" w:eastAsia="仿宋_GB2312" w:cs="仿宋_GB2312"/>
          <w:sz w:val="32"/>
          <w:szCs w:val="32"/>
        </w:rPr>
        <w:t>（二）根据用地报批要求，上述2.2348公顷的报批地类为农用地2.2295公顷（其中耕地2.1209公顷（水田2.1209公顷，非耕农用地0.1086公顷（园地0.0805公顷、林地0.0281公顷）），未利用地0.0053公顷。征地补偿费用根据报批地类确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二、征地补偿标准及费用</w:t>
      </w:r>
    </w:p>
    <w:tbl>
      <w:tblPr>
        <w:tblStyle w:val="5"/>
        <w:tblW w:w="8806" w:type="dxa"/>
        <w:jc w:val="center"/>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Layout w:type="fixed"/>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单位：公顷、万元/公顷、万元</w:t>
            </w:r>
          </w:p>
        </w:tc>
      </w:tr>
      <w:tr>
        <w:tblPrEx>
          <w:tblLayout w:type="fixed"/>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韶关市武江区龙归镇冲下村第一经济合作社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0.1182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5.7268</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5.7445</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11.4713</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11.4713</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补偿方式为货币，土地补偿费补偿支付对象为韶关市武江区龙归镇冲下村第一经济合作社，其余补偿费用由韶关市武江区龙归镇冲下村第一经济合作社转付需安置补偿对象</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0.1182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11.4713</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kern w:val="0"/>
                <w:sz w:val="22"/>
                <w:szCs w:val="22"/>
                <w:lang w:bidi="ar"/>
              </w:rPr>
            </w:pPr>
          </w:p>
          <w:p>
            <w:pPr>
              <w:widowControl/>
              <w:jc w:val="right"/>
              <w:textAlignment w:val="center"/>
              <w:rPr>
                <w:rFonts w:ascii="宋体" w:hAnsi="宋体" w:cs="宋体"/>
                <w:color w:val="000000"/>
                <w:kern w:val="0"/>
                <w:sz w:val="22"/>
                <w:szCs w:val="22"/>
                <w:lang w:bidi="ar"/>
              </w:rPr>
            </w:pPr>
          </w:p>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单位：公顷、万元/公顷、万元</w:t>
            </w:r>
          </w:p>
        </w:tc>
      </w:tr>
      <w:tr>
        <w:tblPrEx>
          <w:tblLayout w:type="fixed"/>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韶关市武江区龙归镇冲下村第二经济合作社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0.5295</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25.6543</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25.7337</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51.3880</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园地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0.0423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36.3375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1.5371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36.4500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1.5418</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3.0789</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54.4669</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补偿方式为货币，土地补偿费补偿支付对象为韶关市武江区龙归镇冲下村第二经济合作社，其余补偿费用由韶关市武江区龙归镇冲下村第二经济合作社转付需安置补偿对象</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0.5718</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54.4669</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bl>
    <w:p>
      <w:pPr>
        <w:spacing w:line="600" w:lineRule="exact"/>
        <w:rPr>
          <w:rFonts w:eastAsia="仿宋_GB2312"/>
          <w:b/>
          <w:sz w:val="32"/>
          <w:szCs w:val="32"/>
        </w:rPr>
      </w:pPr>
    </w:p>
    <w:tbl>
      <w:tblPr>
        <w:tblStyle w:val="5"/>
        <w:tblW w:w="8806" w:type="dxa"/>
        <w:jc w:val="center"/>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Layout w:type="fixed"/>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单位：公顷、万元/公顷、万元</w:t>
            </w:r>
          </w:p>
        </w:tc>
      </w:tr>
      <w:tr>
        <w:tblPrEx>
          <w:tblLayout w:type="fixed"/>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韶关市武江区龙归镇冲下村第二经济合作社和韶关市武江区龙归镇冲下村第三经济合作社共有</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1.4128</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sz w:val="22"/>
                <w:szCs w:val="22"/>
              </w:rPr>
              <w:t>68.4502</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68.6621</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137.1122</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园地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0.0382</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36.3375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1.3881</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36.4500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1.3924</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2.7805</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林地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0.0281</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21.8025</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0.6127</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21.8700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0.6145</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1.2272</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未利用地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0.0053</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19.3800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0.1027</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19.4400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0.1030</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0.2057</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141.3257</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方式为货币，土地补偿费补偿支付对象为韶关市武江区龙归镇冲下村第二经济合作社和韶关市武江区龙归镇冲下村第三经济合作社共有，其余补偿费用由韶关市武江区龙归镇冲下村第二经济合作社和韶关市武江区龙归镇冲下村第三经济合作社转付需安置补偿对象</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1.4844</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141.3257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kern w:val="0"/>
                <w:sz w:val="22"/>
                <w:szCs w:val="22"/>
                <w:lang w:bidi="ar"/>
              </w:rPr>
            </w:pPr>
          </w:p>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单位：公顷、万元/公顷、万元</w:t>
            </w:r>
          </w:p>
        </w:tc>
      </w:tr>
      <w:tr>
        <w:tblPrEx>
          <w:tblLayout w:type="fixed"/>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韶关市武江区龙归镇冲下村第三经济合作社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0.0530</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2.5679</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2.5758</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5.1437</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5.1437</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补偿方式为货币，土地补偿费补偿支付对象为韶关市武江区龙归镇冲下村第三经济合作社，其余补偿费用由韶关市武江区龙归镇冲下村第三经济合作社转付需安置补偿对象</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0.0530</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5.1437</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bl>
    <w:p>
      <w:pPr>
        <w:spacing w:line="600" w:lineRule="exact"/>
        <w:ind w:firstLine="643" w:firstLineChars="200"/>
        <w:rPr>
          <w:rFonts w:eastAsia="仿宋_GB2312"/>
          <w:b/>
          <w:sz w:val="32"/>
          <w:szCs w:val="32"/>
        </w:rPr>
      </w:pPr>
    </w:p>
    <w:tbl>
      <w:tblPr>
        <w:tblStyle w:val="5"/>
        <w:tblW w:w="8806" w:type="dxa"/>
        <w:jc w:val="center"/>
        <w:tblInd w:w="0" w:type="dxa"/>
        <w:tblLayout w:type="fixed"/>
        <w:tblCellMar>
          <w:top w:w="0" w:type="dxa"/>
          <w:left w:w="0" w:type="dxa"/>
          <w:bottom w:w="0" w:type="dxa"/>
          <w:right w:w="0" w:type="dxa"/>
        </w:tblCellMar>
      </w:tblPr>
      <w:tblGrid>
        <w:gridCol w:w="611"/>
        <w:gridCol w:w="1182"/>
        <w:gridCol w:w="914"/>
        <w:gridCol w:w="976"/>
        <w:gridCol w:w="1420"/>
        <w:gridCol w:w="1012"/>
        <w:gridCol w:w="1341"/>
        <w:gridCol w:w="1350"/>
      </w:tblGrid>
      <w:tr>
        <w:tblPrEx>
          <w:tblLayout w:type="fixed"/>
          <w:tblCellMar>
            <w:top w:w="0" w:type="dxa"/>
            <w:left w:w="0" w:type="dxa"/>
            <w:bottom w:w="0" w:type="dxa"/>
            <w:right w:w="0" w:type="dxa"/>
          </w:tblCellMar>
        </w:tblPrEx>
        <w:trPr>
          <w:trHeight w:val="270" w:hRule="atLeast"/>
          <w:jc w:val="center"/>
        </w:trPr>
        <w:tc>
          <w:tcPr>
            <w:tcW w:w="8806" w:type="dxa"/>
            <w:gridSpan w:val="8"/>
            <w:tcBorders>
              <w:top w:val="nil"/>
              <w:left w:val="nil"/>
              <w:bottom w:val="nil"/>
              <w:right w:val="nil"/>
            </w:tcBorders>
            <w:tcMar>
              <w:top w:w="15" w:type="dxa"/>
              <w:left w:w="15" w:type="dxa"/>
              <w:right w:w="15" w:type="dxa"/>
            </w:tcMar>
            <w:vAlign w:val="center"/>
          </w:tcPr>
          <w:p>
            <w:pPr>
              <w:widowControl/>
              <w:jc w:val="right"/>
              <w:textAlignment w:val="center"/>
              <w:rPr>
                <w:rFonts w:ascii="宋体" w:hAnsi="宋体" w:cs="宋体"/>
                <w:color w:val="000000"/>
                <w:sz w:val="22"/>
                <w:szCs w:val="22"/>
              </w:rPr>
            </w:pPr>
            <w:r>
              <w:rPr>
                <w:rFonts w:hint="eastAsia" w:ascii="宋体" w:hAnsi="宋体" w:cs="宋体"/>
                <w:color w:val="000000"/>
                <w:kern w:val="0"/>
                <w:sz w:val="22"/>
                <w:szCs w:val="22"/>
                <w:lang w:bidi="ar"/>
              </w:rPr>
              <w:t>单位：公顷、万元/公顷、万元</w:t>
            </w:r>
          </w:p>
        </w:tc>
      </w:tr>
      <w:tr>
        <w:tblPrEx>
          <w:tblLayout w:type="fixed"/>
          <w:tblCellMar>
            <w:top w:w="0" w:type="dxa"/>
            <w:left w:w="0" w:type="dxa"/>
            <w:bottom w:w="0" w:type="dxa"/>
            <w:right w:w="0" w:type="dxa"/>
          </w:tblCellMar>
        </w:tblPrEx>
        <w:trPr>
          <w:trHeight w:val="27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w:t>
            </w:r>
          </w:p>
        </w:tc>
        <w:tc>
          <w:tcPr>
            <w:tcW w:w="118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土地类别</w:t>
            </w:r>
          </w:p>
        </w:tc>
        <w:tc>
          <w:tcPr>
            <w:tcW w:w="914"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面积</w:t>
            </w:r>
          </w:p>
        </w:tc>
        <w:tc>
          <w:tcPr>
            <w:tcW w:w="23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w:t>
            </w:r>
          </w:p>
        </w:tc>
        <w:tc>
          <w:tcPr>
            <w:tcW w:w="235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安置补助费</w:t>
            </w:r>
          </w:p>
        </w:tc>
        <w:tc>
          <w:tcPr>
            <w:tcW w:w="135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小计</w:t>
            </w:r>
          </w:p>
        </w:tc>
      </w:tr>
      <w:tr>
        <w:tblPrEx>
          <w:tblLayout w:type="fixed"/>
          <w:tblCellMar>
            <w:top w:w="0" w:type="dxa"/>
            <w:left w:w="0" w:type="dxa"/>
            <w:bottom w:w="0" w:type="dxa"/>
            <w:right w:w="0" w:type="dxa"/>
          </w:tblCellMar>
        </w:tblPrEx>
        <w:trPr>
          <w:trHeight w:val="4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118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14"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补偿标准</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补偿金额</w:t>
            </w:r>
          </w:p>
        </w:tc>
        <w:tc>
          <w:tcPr>
            <w:tcW w:w="135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400" w:hRule="atLeast"/>
          <w:jc w:val="center"/>
        </w:trPr>
        <w:tc>
          <w:tcPr>
            <w:tcW w:w="611"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韶关市武江区龙归镇冲下村第十三经济合作社</w:t>
            </w:r>
          </w:p>
        </w:tc>
        <w:tc>
          <w:tcPr>
            <w:tcW w:w="11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水田</w:t>
            </w:r>
          </w:p>
        </w:tc>
        <w:tc>
          <w:tcPr>
            <w:tcW w:w="9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0.0074</w:t>
            </w:r>
          </w:p>
        </w:tc>
        <w:tc>
          <w:tcPr>
            <w:tcW w:w="9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48.4500</w:t>
            </w:r>
          </w:p>
        </w:tc>
        <w:tc>
          <w:tcPr>
            <w:tcW w:w="14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0.3585</w:t>
            </w:r>
          </w:p>
        </w:tc>
        <w:tc>
          <w:tcPr>
            <w:tcW w:w="10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48.6000</w:t>
            </w:r>
          </w:p>
        </w:tc>
        <w:tc>
          <w:tcPr>
            <w:tcW w:w="134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0.3596</w:t>
            </w:r>
          </w:p>
        </w:tc>
        <w:tc>
          <w:tcPr>
            <w:tcW w:w="13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0.7182</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土地补偿费与安置补助费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0.7182</w:t>
            </w:r>
          </w:p>
        </w:tc>
        <w:tc>
          <w:tcPr>
            <w:tcW w:w="269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补偿方式为货币，土地补偿费补偿支付对象为韶关市武江区龙归镇冲下村第十三经济合作社，其余补偿费用由韶关市武江区龙归镇冲下村第十三经济合作社转付需安置补偿对象</w:t>
            </w: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青苗补偿费</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以实际清点为准</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地上附着物补偿</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按政府有关规定进行补偿</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以上土地面积合计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0.0074</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r>
        <w:tblPrEx>
          <w:tblLayout w:type="fixed"/>
          <w:tblCellMar>
            <w:top w:w="0" w:type="dxa"/>
            <w:left w:w="0" w:type="dxa"/>
            <w:bottom w:w="0" w:type="dxa"/>
            <w:right w:w="0" w:type="dxa"/>
          </w:tblCellMar>
        </w:tblPrEx>
        <w:trPr>
          <w:trHeight w:val="600" w:hRule="atLeast"/>
          <w:jc w:val="center"/>
        </w:trPr>
        <w:tc>
          <w:tcPr>
            <w:tcW w:w="611"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c>
          <w:tcPr>
            <w:tcW w:w="209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以上补偿金额合计</w:t>
            </w:r>
          </w:p>
        </w:tc>
        <w:tc>
          <w:tcPr>
            <w:tcW w:w="3408"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0.7182</w:t>
            </w:r>
          </w:p>
        </w:tc>
        <w:tc>
          <w:tcPr>
            <w:tcW w:w="269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hAnsi="宋体" w:cs="宋体"/>
                <w:color w:val="000000"/>
                <w:sz w:val="22"/>
                <w:szCs w:val="22"/>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黑体" w:hAnsi="黑体" w:eastAsia="黑体" w:cs="黑体"/>
          <w:b/>
          <w:sz w:val="32"/>
          <w:szCs w:val="32"/>
        </w:rPr>
      </w:pPr>
      <w:r>
        <w:rPr>
          <w:rFonts w:hint="eastAsia" w:ascii="黑体" w:hAnsi="黑体" w:eastAsia="黑体" w:cs="黑体"/>
          <w:b/>
          <w:sz w:val="32"/>
          <w:szCs w:val="32"/>
        </w:rPr>
        <w:t>三、</w:t>
      </w:r>
      <w:r>
        <w:rPr>
          <w:rFonts w:hint="eastAsia" w:ascii="黑体" w:hAnsi="黑体" w:eastAsia="黑体" w:cs="黑体"/>
          <w:sz w:val="32"/>
          <w:szCs w:val="32"/>
        </w:rPr>
        <w:t>安置措施情况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eastAsia="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妥善安置被征地农民，切实解决被征地农民的生产生活出路，在保证货币安置落实的同时，给上述被征地农民落实培训、就业等社会保障措施，以确保被征地农民的原有生活水平不降低，长远生计有保障。本项目根据</w:t>
      </w:r>
      <w:r>
        <w:rPr>
          <w:rFonts w:hint="eastAsia" w:ascii="仿宋_GB2312" w:hAnsi="仿宋" w:eastAsia="仿宋_GB2312"/>
          <w:sz w:val="32"/>
          <w:szCs w:val="32"/>
          <w:highlight w:val="none"/>
          <w:lang w:val="en-US" w:eastAsia="zh-CN"/>
        </w:rPr>
        <w:t>《韶关市人民政府办公室关于加强韶关市浈江区、武江区征收农村集体土地留用地安置管理工作的意见</w:t>
      </w:r>
      <w:r>
        <w:rPr>
          <w:rFonts w:hint="eastAsia" w:ascii="仿宋_GB2312" w:hAnsi="仿宋" w:eastAsia="仿宋_GB2312"/>
          <w:sz w:val="32"/>
          <w:szCs w:val="32"/>
          <w:highlight w:val="none"/>
          <w:lang w:val="zh-CN"/>
        </w:rPr>
        <w:t>的规定</w:t>
      </w:r>
      <w:r>
        <w:rPr>
          <w:rFonts w:hint="eastAsia" w:ascii="仿宋_GB2312" w:hAnsi="仿宋" w:eastAsia="仿宋_GB2312"/>
          <w:sz w:val="32"/>
          <w:szCs w:val="32"/>
          <w:highlight w:val="none"/>
          <w:lang w:val="en-US" w:eastAsia="zh-CN"/>
        </w:rPr>
        <w:t>》（韶府办</w:t>
      </w:r>
      <w:r>
        <w:rPr>
          <w:rFonts w:hint="eastAsia" w:ascii="仿宋_GB2312" w:hAnsi="仿宋_GB2312" w:eastAsia="仿宋_GB2312" w:cs="仿宋_GB2312"/>
          <w:color w:val="000000"/>
          <w:sz w:val="32"/>
          <w:szCs w:val="30"/>
          <w:highlight w:val="none"/>
        </w:rPr>
        <w:t>〔20</w:t>
      </w:r>
      <w:r>
        <w:rPr>
          <w:rFonts w:hint="eastAsia" w:ascii="仿宋_GB2312" w:hAnsi="仿宋_GB2312" w:eastAsia="仿宋_GB2312" w:cs="仿宋_GB2312"/>
          <w:color w:val="000000"/>
          <w:sz w:val="32"/>
          <w:szCs w:val="30"/>
          <w:highlight w:val="none"/>
          <w:lang w:val="en-US" w:eastAsia="zh-CN"/>
        </w:rPr>
        <w:t>16</w:t>
      </w:r>
      <w:r>
        <w:rPr>
          <w:rFonts w:hint="eastAsia" w:ascii="仿宋_GB2312" w:hAnsi="仿宋_GB2312" w:eastAsia="仿宋_GB2312" w:cs="仿宋_GB2312"/>
          <w:color w:val="000000"/>
          <w:sz w:val="32"/>
          <w:szCs w:val="30"/>
          <w:highlight w:val="none"/>
        </w:rPr>
        <w:t>〕</w:t>
      </w:r>
      <w:r>
        <w:rPr>
          <w:rFonts w:hint="eastAsia" w:ascii="仿宋_GB2312" w:hAnsi="仿宋_GB2312" w:eastAsia="仿宋_GB2312" w:cs="仿宋_GB2312"/>
          <w:color w:val="000000"/>
          <w:sz w:val="32"/>
          <w:szCs w:val="30"/>
          <w:highlight w:val="none"/>
          <w:lang w:val="en-US" w:eastAsia="zh-CN"/>
        </w:rPr>
        <w:t>82号</w:t>
      </w:r>
      <w:r>
        <w:rPr>
          <w:rFonts w:hint="eastAsia" w:ascii="仿宋_GB2312" w:hAnsi="仿宋" w:eastAsia="仿宋_GB2312"/>
          <w:sz w:val="32"/>
          <w:szCs w:val="32"/>
          <w:highlight w:val="none"/>
          <w:lang w:val="en-US" w:eastAsia="zh-CN"/>
        </w:rPr>
        <w:t>）文件规定</w:t>
      </w:r>
      <w:r>
        <w:rPr>
          <w:rFonts w:hint="eastAsia" w:ascii="仿宋_GB2312" w:hAnsi="仿宋" w:eastAsia="仿宋_GB2312"/>
          <w:sz w:val="32"/>
          <w:szCs w:val="32"/>
          <w:highlight w:val="none"/>
          <w:lang w:val="zh-CN"/>
        </w:rPr>
        <w:t>，</w:t>
      </w:r>
      <w:r>
        <w:rPr>
          <w:rFonts w:eastAsia="仿宋_GB2312"/>
          <w:sz w:val="32"/>
          <w:szCs w:val="32"/>
          <w:highlight w:val="none"/>
        </w:rPr>
        <w:t>在建设</w:t>
      </w:r>
      <w:r>
        <w:rPr>
          <w:rFonts w:eastAsia="仿宋_GB2312"/>
          <w:sz w:val="32"/>
          <w:szCs w:val="32"/>
        </w:rPr>
        <w:t>用地批准后按征地面积15%的比例以折算货币方式进行留用地安置</w:t>
      </w:r>
      <w:r>
        <w:rPr>
          <w:rFonts w:hint="eastAsia" w:ascii="仿宋_GB2312" w:hAnsi="仿宋" w:eastAsia="仿宋_GB2312"/>
          <w:sz w:val="32"/>
          <w:szCs w:val="32"/>
          <w:lang w:val="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仿宋_GB2312"/>
          <w:sz w:val="32"/>
          <w:szCs w:val="32"/>
        </w:rPr>
      </w:pPr>
    </w:p>
    <w:p>
      <w:pPr>
        <w:spacing w:line="600" w:lineRule="exact"/>
        <w:ind w:firstLine="640" w:firstLineChars="200"/>
        <w:rPr>
          <w:rFonts w:eastAsia="仿宋_GB2312"/>
          <w:sz w:val="32"/>
          <w:szCs w:val="32"/>
        </w:rPr>
      </w:pPr>
    </w:p>
    <w:p>
      <w:pPr>
        <w:spacing w:line="600" w:lineRule="exact"/>
        <w:ind w:firstLine="640" w:firstLineChars="200"/>
        <w:jc w:val="right"/>
        <w:rPr>
          <w:rFonts w:eastAsia="仿宋"/>
          <w:kern w:val="0"/>
          <w:sz w:val="32"/>
          <w:szCs w:val="32"/>
        </w:rPr>
      </w:pPr>
      <w:r>
        <w:rPr>
          <w:rFonts w:eastAsia="仿宋_GB2312"/>
          <w:sz w:val="32"/>
          <w:szCs w:val="32"/>
        </w:rPr>
        <w:t xml:space="preserve">               </w:t>
      </w:r>
    </w:p>
    <w:p>
      <w:pPr/>
    </w:p>
    <w:sectPr>
      <w:headerReference r:id="rId3" w:type="default"/>
      <w:pgSz w:w="11906" w:h="16838"/>
      <w:pgMar w:top="1440" w:right="1531" w:bottom="1440"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0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0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MjM0NWNmYjc2Y2YyODg4MWZlNjA2YzU4ZTlhNmYifQ=="/>
  </w:docVars>
  <w:rsids>
    <w:rsidRoot w:val="6C815173"/>
    <w:rsid w:val="0002571D"/>
    <w:rsid w:val="00046FC2"/>
    <w:rsid w:val="000A6B01"/>
    <w:rsid w:val="000C0734"/>
    <w:rsid w:val="000E1463"/>
    <w:rsid w:val="000E29DD"/>
    <w:rsid w:val="00216596"/>
    <w:rsid w:val="0022290F"/>
    <w:rsid w:val="00270904"/>
    <w:rsid w:val="002729F4"/>
    <w:rsid w:val="0031774D"/>
    <w:rsid w:val="0031791E"/>
    <w:rsid w:val="00345D9F"/>
    <w:rsid w:val="003B3DAC"/>
    <w:rsid w:val="00427DB4"/>
    <w:rsid w:val="0044585A"/>
    <w:rsid w:val="00505EC8"/>
    <w:rsid w:val="00507D84"/>
    <w:rsid w:val="0053579A"/>
    <w:rsid w:val="005371F5"/>
    <w:rsid w:val="00562E53"/>
    <w:rsid w:val="005639B5"/>
    <w:rsid w:val="00574183"/>
    <w:rsid w:val="005B771E"/>
    <w:rsid w:val="005D148C"/>
    <w:rsid w:val="00771509"/>
    <w:rsid w:val="0079342F"/>
    <w:rsid w:val="008B0EC1"/>
    <w:rsid w:val="009D7524"/>
    <w:rsid w:val="00A12A8D"/>
    <w:rsid w:val="00A870BC"/>
    <w:rsid w:val="00AC109D"/>
    <w:rsid w:val="00B14BD1"/>
    <w:rsid w:val="00C46756"/>
    <w:rsid w:val="00C471FD"/>
    <w:rsid w:val="00C62901"/>
    <w:rsid w:val="00C66AD3"/>
    <w:rsid w:val="00C9249E"/>
    <w:rsid w:val="00CD0B12"/>
    <w:rsid w:val="00D43B3A"/>
    <w:rsid w:val="00E24A83"/>
    <w:rsid w:val="00F10901"/>
    <w:rsid w:val="00FA043C"/>
    <w:rsid w:val="00FC101E"/>
    <w:rsid w:val="00FE3345"/>
    <w:rsid w:val="02CD2B2F"/>
    <w:rsid w:val="1153628B"/>
    <w:rsid w:val="14275619"/>
    <w:rsid w:val="2A9642CE"/>
    <w:rsid w:val="3A57129A"/>
    <w:rsid w:val="42F25864"/>
    <w:rsid w:val="45C448B1"/>
    <w:rsid w:val="4B2D3302"/>
    <w:rsid w:val="569B58D3"/>
    <w:rsid w:val="5A0305A8"/>
    <w:rsid w:val="5B250746"/>
    <w:rsid w:val="63B50BA4"/>
    <w:rsid w:val="63D6023B"/>
    <w:rsid w:val="67D4181B"/>
    <w:rsid w:val="6A996FAE"/>
    <w:rsid w:val="6C815173"/>
    <w:rsid w:val="73C66C4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4"/>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417</Words>
  <Characters>2377</Characters>
  <Lines>19</Lines>
  <Paragraphs>5</Paragraphs>
  <ScaleCrop>false</ScaleCrop>
  <LinksUpToDate>false</LinksUpToDate>
  <CharactersWithSpaces>2789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2020-05-28T08:08:00Z</dcterms:created>
  <dc:creator>苹果</dc:creator>
  <cp:lastModifiedBy>li</cp:lastModifiedBy>
  <cp:lastPrinted>2022-07-07T08:09:00Z</cp:lastPrinted>
  <dcterms:modified xsi:type="dcterms:W3CDTF">2022-07-26T03:02:03Z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E43AD67EADC245FBA5A548D5D74EB5A2</vt:lpwstr>
  </property>
</Properties>
</file>