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b w:val="0"/>
          <w:bCs/>
          <w:color w:val="auto"/>
          <w:sz w:val="32"/>
          <w:szCs w:val="32"/>
        </w:rPr>
      </w:pPr>
      <w:bookmarkStart w:id="0" w:name="_GoBack"/>
      <w:bookmarkEnd w:id="0"/>
      <w:r>
        <w:rPr>
          <w:rFonts w:hint="eastAsia" w:ascii="仿宋_GB2312" w:hAnsi="仿宋_GB2312" w:eastAsia="仿宋_GB2312" w:cs="仿宋_GB2312"/>
          <w:b w:val="0"/>
          <w:bCs/>
          <w:color w:val="auto"/>
          <w:sz w:val="32"/>
          <w:szCs w:val="32"/>
        </w:rPr>
        <w:t>附件：</w:t>
      </w:r>
    </w:p>
    <w:p>
      <w:pPr>
        <w:keepNext w:val="0"/>
        <w:keepLines w:val="0"/>
        <w:pageBreakBefore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b/>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b/>
          <w:color w:val="auto"/>
          <w:sz w:val="44"/>
          <w:szCs w:val="44"/>
        </w:rPr>
        <w:t>《韶关数据中心集群起步区总体与控制性详细</w:t>
      </w:r>
    </w:p>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b/>
          <w:color w:val="auto"/>
          <w:sz w:val="44"/>
          <w:szCs w:val="44"/>
        </w:rPr>
        <w:t>规划》</w:t>
      </w:r>
      <w:r>
        <w:rPr>
          <w:rFonts w:hint="eastAsia" w:ascii="方正小标宋_GBK" w:hAnsi="方正小标宋_GBK" w:eastAsia="方正小标宋_GBK" w:cs="方正小标宋_GBK"/>
          <w:b/>
          <w:color w:val="auto"/>
          <w:sz w:val="44"/>
          <w:szCs w:val="44"/>
          <w:lang w:eastAsia="zh-CN"/>
        </w:rPr>
        <w:t>（</w:t>
      </w:r>
      <w:r>
        <w:rPr>
          <w:rFonts w:hint="eastAsia" w:ascii="方正小标宋_GBK" w:hAnsi="方正小标宋_GBK" w:eastAsia="方正小标宋_GBK" w:cs="方正小标宋_GBK"/>
          <w:b/>
          <w:color w:val="auto"/>
          <w:sz w:val="44"/>
          <w:szCs w:val="44"/>
          <w:lang w:val="en-US" w:eastAsia="zh-CN"/>
        </w:rPr>
        <w:t>草案</w:t>
      </w:r>
      <w:r>
        <w:rPr>
          <w:rFonts w:hint="eastAsia" w:ascii="方正小标宋_GBK" w:hAnsi="方正小标宋_GBK" w:eastAsia="方正小标宋_GBK" w:cs="方正小标宋_GBK"/>
          <w:b/>
          <w:color w:val="auto"/>
          <w:sz w:val="44"/>
          <w:szCs w:val="44"/>
          <w:lang w:eastAsia="zh-CN"/>
        </w:rPr>
        <w:t>）</w:t>
      </w:r>
    </w:p>
    <w:p>
      <w:pPr>
        <w:keepNext w:val="0"/>
        <w:keepLines w:val="0"/>
        <w:pageBreakBefore w:val="0"/>
        <w:kinsoku/>
        <w:wordWrap/>
        <w:overflowPunct/>
        <w:topLinePunct w:val="0"/>
        <w:autoSpaceDE/>
        <w:autoSpaceDN/>
        <w:bidi w:val="0"/>
        <w:adjustRightInd/>
        <w:snapToGrid/>
        <w:spacing w:line="560" w:lineRule="exact"/>
        <w:ind w:firstLine="0" w:firstLineChars="0"/>
        <w:textAlignment w:val="auto"/>
        <w:outlineLvl w:val="0"/>
        <w:rPr>
          <w:rFonts w:ascii="华文细黑" w:hAnsi="华文细黑" w:cs="宋体"/>
          <w:b/>
          <w:bCs/>
          <w:color w:val="auto"/>
          <w:kern w:val="0"/>
        </w:rPr>
      </w:pPr>
    </w:p>
    <w:p>
      <w:pPr>
        <w:keepNext w:val="0"/>
        <w:keepLines w:val="0"/>
        <w:pageBreakBefore w:val="0"/>
        <w:kinsoku/>
        <w:wordWrap/>
        <w:overflowPunct/>
        <w:topLinePunct w:val="0"/>
        <w:autoSpaceDE/>
        <w:autoSpaceDN/>
        <w:bidi w:val="0"/>
        <w:adjustRightInd/>
        <w:snapToGrid/>
        <w:spacing w:line="560" w:lineRule="exact"/>
        <w:ind w:firstLine="643"/>
        <w:textAlignment w:val="auto"/>
        <w:outlineLvl w:val="0"/>
        <w:rPr>
          <w:rFonts w:ascii="黑体" w:hAnsi="黑体" w:eastAsia="黑体" w:cs="黑体"/>
          <w:b/>
          <w:bCs/>
          <w:color w:val="auto"/>
          <w:kern w:val="0"/>
          <w:sz w:val="32"/>
          <w:szCs w:val="32"/>
        </w:rPr>
      </w:pPr>
      <w:r>
        <w:rPr>
          <w:rFonts w:hint="eastAsia" w:ascii="黑体" w:hAnsi="黑体" w:eastAsia="黑体" w:cs="黑体"/>
          <w:b/>
          <w:bCs/>
          <w:color w:val="auto"/>
          <w:kern w:val="0"/>
          <w:sz w:val="32"/>
          <w:szCs w:val="32"/>
        </w:rPr>
        <w:t>一、规划范围</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lang w:val="en-US" w:eastAsia="zh-CN"/>
        </w:rPr>
        <w:t>韶关数据中心集群起步区选址于韶关高新区，具体</w:t>
      </w:r>
      <w:r>
        <w:rPr>
          <w:rFonts w:hint="eastAsia" w:ascii="仿宋_GB2312" w:hAnsi="仿宋_GB2312" w:eastAsia="仿宋_GB2312" w:cs="仿宋_GB2312"/>
          <w:color w:val="auto"/>
          <w:sz w:val="32"/>
          <w:szCs w:val="32"/>
          <w:lang w:val="en-US" w:eastAsia="zh-CN"/>
        </w:rPr>
        <w:t>分布在浈江产业园、曲江白土开发区、莞韶城，总建设用地范围为</w:t>
      </w:r>
      <w:r>
        <w:rPr>
          <w:rFonts w:hint="eastAsia" w:ascii="仿宋_GB2312" w:hAnsi="仿宋_GB2312" w:eastAsia="仿宋_GB2312" w:cs="仿宋_GB2312"/>
          <w:color w:val="auto"/>
          <w:sz w:val="32"/>
          <w:szCs w:val="32"/>
          <w:highlight w:val="none"/>
          <w:lang w:val="en-US" w:eastAsia="zh-CN"/>
        </w:rPr>
        <w:t>6311亩</w:t>
      </w:r>
      <w:r>
        <w:rPr>
          <w:rFonts w:ascii="仿宋_GB2312" w:hAnsi="仿宋_GB2312" w:eastAsia="仿宋_GB2312" w:cs="仿宋_GB2312"/>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eastAsia" w:ascii="仿宋_GB2312" w:hAnsi="仿宋_GB2312" w:eastAsia="仿宋_GB2312" w:cs="仿宋_GB2312"/>
          <w:color w:val="auto"/>
          <w:sz w:val="32"/>
          <w:szCs w:val="32"/>
          <w:lang w:val="en-US" w:eastAsia="zh-CN"/>
        </w:rPr>
      </w:pPr>
      <w:r>
        <w:rPr>
          <w:rFonts w:ascii="仿宋_GB2312" w:hAnsi="仿宋_GB2312" w:eastAsia="仿宋_GB2312" w:cs="仿宋_GB2312"/>
          <w:b/>
          <w:bCs/>
          <w:color w:val="auto"/>
          <w:sz w:val="32"/>
          <w:szCs w:val="32"/>
          <w:lang w:val="en-US" w:eastAsia="zh-CN"/>
        </w:rPr>
        <w:t>浈江产业园地块</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lang w:val="en-US" w:eastAsia="zh-CN"/>
        </w:rPr>
        <w:t>建设用地约2499亩。分为3个规划范围，规划范围1位于Y284以西、范围2位于比亚迪大道两侧、范围3位于S246以北。</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曲江白土开发区地块</w:t>
      </w:r>
      <w:r>
        <w:rPr>
          <w:rFonts w:hint="eastAsia" w:ascii="仿宋_GB2312" w:hAnsi="仿宋_GB2312" w:eastAsia="仿宋_GB2312" w:cs="仿宋_GB2312"/>
          <w:color w:val="auto"/>
          <w:sz w:val="32"/>
          <w:szCs w:val="32"/>
          <w:lang w:val="en-US" w:eastAsia="zh-CN"/>
        </w:rPr>
        <w:t>：建设用地约1476亩。分为2个规划范围，规划范围1西至铜鼓大道，南至国道240，东至上乡村，北至县道314、规划范围2位于铜鼓大道以西，国道240以南。</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莞韶城地块：</w:t>
      </w:r>
      <w:r>
        <w:rPr>
          <w:rFonts w:hint="eastAsia" w:ascii="仿宋_GB2312" w:hAnsi="仿宋_GB2312" w:eastAsia="仿宋_GB2312" w:cs="仿宋_GB2312"/>
          <w:color w:val="auto"/>
          <w:sz w:val="32"/>
          <w:szCs w:val="32"/>
          <w:lang w:val="en-US" w:eastAsia="zh-CN"/>
        </w:rPr>
        <w:t>建设用地约2336亩。规划范围南至沐阳大道，西至乸白岭，北至木牛山，东至长塘路。</w:t>
      </w:r>
    </w:p>
    <w:p>
      <w:pPr>
        <w:keepNext w:val="0"/>
        <w:keepLines w:val="0"/>
        <w:pageBreakBefore w:val="0"/>
        <w:kinsoku/>
        <w:wordWrap/>
        <w:overflowPunct/>
        <w:topLinePunct w:val="0"/>
        <w:autoSpaceDE/>
        <w:autoSpaceDN/>
        <w:bidi w:val="0"/>
        <w:adjustRightInd/>
        <w:snapToGrid/>
        <w:spacing w:line="560" w:lineRule="exact"/>
        <w:ind w:firstLine="643"/>
        <w:textAlignment w:val="auto"/>
        <w:outlineLvl w:val="0"/>
        <w:rPr>
          <w:rFonts w:hint="default"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rPr>
        <w:t>二、规划</w:t>
      </w:r>
      <w:r>
        <w:rPr>
          <w:rFonts w:hint="eastAsia" w:ascii="黑体" w:hAnsi="黑体" w:eastAsia="黑体" w:cs="黑体"/>
          <w:b/>
          <w:bCs/>
          <w:color w:val="auto"/>
          <w:kern w:val="0"/>
          <w:sz w:val="32"/>
          <w:szCs w:val="32"/>
          <w:lang w:val="en-US" w:eastAsia="zh-CN"/>
        </w:rPr>
        <w:t>目标与定位</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韶关数据中心集群为构建全国一体化算力网络的重要战略节点，应在全国一体化大数据中心协同创新体系总体规划布局下，协同京津冀、长三角、西部等国家枢纽节点共同构成国家一体化算力网络，服务于华南地区及粤港澳大湾区一体化大数据协同创新体系，铸牢粤港澳大湾区发展的“数字底座”。</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outlineLvl w:val="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规划目标</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eastAsia"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韶关数据中心集群规划以“绿色集约、统筹调度、数据融通、创新应用、安全可靠”为目标，至2025年底，基本形成布局合理、技术先进、绿色低碳、算力规模与数字经济增长相适应的新型数据中心发展格局，集群综合承载能力达到50万标准机架规模，PUE及可再生能源使用率达到国家领先水平，成为全国一体化大数据中心协同创新样板标杆</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分期目标</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 xml:space="preserve">依据《全国一体化算力网络粤港澳大湾区国家枢纽节点建设方案》的建设定位与要求，结合韶关的实际情况，本次规划分期目标为： </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 xml:space="preserve">近期目标：到2025年，韶关数据中心集群综合承载能力达到50万标准机架规模，数据中心上架率达到65%。 </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远期目标：到2030年，数据中心上架率有望超过80%。</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全国一体化算力网络重要战略节点</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eastAsia"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全国一体化大数据中心集群融合发展、绿色低碳的创新样板标杆</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规划定位</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愿景：算力基石 · 数据大脑 · 智慧中枢</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 xml:space="preserve">建设世界领先的自主高端算力服务基地 </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 xml:space="preserve">强化数据赋能工业、农业、服务业转型升级，建设“行业数据大脑” </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outlineLvl w:val="0"/>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t>建成广东大脑“粤治慧”决策智慧中枢</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3"/>
        <w:textAlignment w:val="auto"/>
        <w:outlineLvl w:val="0"/>
        <w:rPr>
          <w:rFonts w:hint="default"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rPr>
        <w:t>三、</w:t>
      </w:r>
      <w:r>
        <w:rPr>
          <w:rFonts w:hint="eastAsia" w:ascii="黑体" w:hAnsi="黑体" w:eastAsia="黑体" w:cs="黑体"/>
          <w:b/>
          <w:bCs/>
          <w:color w:val="auto"/>
          <w:kern w:val="0"/>
          <w:sz w:val="32"/>
          <w:szCs w:val="32"/>
          <w:lang w:val="en-US" w:eastAsia="zh-CN"/>
        </w:rPr>
        <w:t>总体布局</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根据基础设施建设情况、对外交通条件和土地使用情况，分别在浈江产业园、曲江白土开发区和莞韶城选取部分地块承接韶关数据中心集群起步区建设。统筹考虑韶关数据中心集群建设需求及各片区用地规模和建设条件，规划形成“</w:t>
      </w:r>
      <w:r>
        <w:rPr>
          <w:rFonts w:ascii="仿宋_GB2312" w:hAnsi="仿宋_GB2312" w:eastAsia="仿宋_GB2312" w:cs="仿宋_GB2312"/>
          <w:color w:val="auto"/>
          <w:sz w:val="32"/>
          <w:szCs w:val="32"/>
          <w:lang w:val="en-US" w:eastAsia="zh-CN"/>
        </w:rPr>
        <w:t>3+1</w:t>
      </w:r>
      <w:r>
        <w:rPr>
          <w:rFonts w:hint="eastAsia" w:ascii="仿宋_GB2312" w:hAnsi="仿宋_GB2312" w:eastAsia="仿宋_GB2312" w:cs="仿宋_GB2312"/>
          <w:color w:val="auto"/>
          <w:sz w:val="32"/>
          <w:szCs w:val="32"/>
          <w:lang w:val="en-US" w:eastAsia="zh-CN"/>
        </w:rPr>
        <w:t xml:space="preserve">”的空间结构。 </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浈江工业园地块——韶关数据中心集群生产主中心。</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曲江白土开发区地块——韶关数据中心集群生产副中心。 </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莞韶城地块——韶关数据中心集群生产副中心、数字产业孵化中心</w:t>
      </w:r>
      <w:r>
        <w:rPr>
          <w:rFonts w:ascii="仿宋_GB2312" w:hAnsi="仿宋_GB2312" w:eastAsia="仿宋_GB2312" w:cs="仿宋_GB2312"/>
          <w:color w:val="auto"/>
          <w:sz w:val="32"/>
          <w:szCs w:val="32"/>
        </w:rPr>
        <w:t>。</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color w:val="auto"/>
          <w:sz w:val="32"/>
          <w:szCs w:val="32"/>
        </w:rPr>
      </w:pPr>
      <w:r>
        <w:rPr>
          <w:color w:val="auto"/>
        </w:rPr>
        <w:drawing>
          <wp:inline distT="0" distB="0" distL="114300" distR="114300">
            <wp:extent cx="5942330" cy="5272405"/>
            <wp:effectExtent l="0" t="0" r="1270" b="444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2"/>
                    <a:stretch>
                      <a:fillRect/>
                    </a:stretch>
                  </pic:blipFill>
                  <pic:spPr>
                    <a:xfrm>
                      <a:off x="0" y="0"/>
                      <a:ext cx="5942330" cy="52724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3"/>
        <w:textAlignment w:val="auto"/>
        <w:outlineLvl w:val="0"/>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四、</w:t>
      </w:r>
      <w:r>
        <w:rPr>
          <w:rFonts w:hint="eastAsia" w:ascii="黑体" w:hAnsi="黑体" w:eastAsia="黑体" w:cs="黑体"/>
          <w:b/>
          <w:bCs/>
          <w:color w:val="auto"/>
          <w:kern w:val="0"/>
          <w:sz w:val="32"/>
          <w:szCs w:val="32"/>
          <w:lang w:val="en-US" w:eastAsia="zh-CN"/>
        </w:rPr>
        <w:t>浈江产业园地块用地布局及专项规划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（1）土地利用规划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规划总用地面积166.62公顷，皆为建设用地。包括商业服务业设施用地（B）、工业用地（M）、道路与交通设施用地（S）、公用设施用地（U）、绿地与广场用地（G）。</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（2）综合交通规划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对外交通</w:t>
      </w:r>
      <w:r>
        <w:rPr>
          <w:rFonts w:hint="eastAsia" w:ascii="仿宋_GB2312" w:hAnsi="仿宋_GB2312" w:eastAsia="仿宋_GB2312" w:cs="仿宋_GB2312"/>
          <w:color w:val="auto"/>
          <w:sz w:val="32"/>
          <w:szCs w:val="32"/>
          <w:lang w:val="en-US" w:eastAsia="zh-CN"/>
        </w:rPr>
        <w:t>：主要包括狮塘路、双峰路、皇岗大道北。</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内部交通：规划形成两横三纵的路网结构（三纵：双峰路、皇岗大道北、狮塘路；二横：众志路、皇岗大道北）。</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本次规划道路包括城市主干道、城市次干路、城市支路三级。</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城市主干路：包括双峰路和狮塘路，道路宽度为25-40m。</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城市次干路：包皇岗大道北、比亚迪大道、众志路、规划横六路（规划纵一路至狮塘路段）、规划纵一路</w:t>
      </w:r>
      <w:r>
        <w:rPr>
          <w:rFonts w:hint="eastAsia" w:ascii="仿宋_GB2312" w:hAnsi="仿宋_GB2312" w:eastAsia="仿宋_GB2312" w:cs="仿宋_GB2312"/>
          <w:color w:val="auto"/>
          <w:sz w:val="32"/>
          <w:szCs w:val="32"/>
          <w:lang w:val="en-US" w:eastAsia="zh-CN"/>
        </w:rPr>
        <w:t>，道路宽度大部分控制在25m。</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支路：红线主要控制为25-16m以内</w:t>
      </w:r>
      <w:r>
        <w:rPr>
          <w:rFonts w:hint="eastAsia" w:ascii="仿宋_GB2312" w:hAnsi="仿宋_GB2312" w:eastAsia="仿宋_GB2312" w:cs="仿宋_GB2312"/>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（3）公共服务设施规划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为保证公共服务设施的布局满足规划地区的产业发展需求，又能与周边设施相协调、集约布置，规划从区域角度对规划范围内及周边的设施分布情况、设施规模和服务范围统筹考虑，在本片区核心地带，比亚迪大道东侧，规划配套建设商业服务设施。</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（4）市政公用设施</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给水工程：</w:t>
      </w:r>
      <w:r>
        <w:rPr>
          <w:rFonts w:hint="eastAsia" w:ascii="仿宋_GB2312" w:hAnsi="仿宋_GB2312" w:eastAsia="仿宋_GB2312" w:cs="仿宋_GB2312"/>
          <w:color w:val="auto"/>
          <w:sz w:val="32"/>
          <w:szCs w:val="32"/>
          <w:lang w:val="en-US" w:eastAsia="zh-CN"/>
        </w:rPr>
        <w:t>生活用水改用韶州水厂供水，生产用水由五里亭水厂取武江河水源供应。近期由五里亭水厂新增一路DN700管与现有 DN500管形成双水源供水。远期供水满负荷运行后，建设一根DN1000 工业专用给水管至园区，近期建设的DN700管改由韶州水厂供水，与现有 DN500供水管联合作为生产用水的备用水源。</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污水工程：</w:t>
      </w:r>
      <w:r>
        <w:rPr>
          <w:rFonts w:hint="eastAsia" w:ascii="仿宋_GB2312" w:hAnsi="仿宋_GB2312" w:eastAsia="仿宋_GB2312" w:cs="仿宋_GB2312"/>
          <w:color w:val="auto"/>
          <w:sz w:val="32"/>
          <w:szCs w:val="32"/>
          <w:lang w:val="en-US" w:eastAsia="zh-CN"/>
        </w:rPr>
        <w:t>园区污水采用统一收集，集中处理的方式。污水主管沿浈江产业园地块市政路敷设，污水尽量按道路标高重力排水，沿线收集地块污水后分别接入乡道Y284，双峰路，最终污水收集后输送到铣鸡坑污水处理厂处理。规划污水管管径为DN400-DN600。远期污水厂需扩容至2万m³/d。</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雨水工程：</w:t>
      </w:r>
      <w:r>
        <w:rPr>
          <w:rFonts w:hint="eastAsia" w:ascii="仿宋_GB2312" w:hAnsi="仿宋_GB2312" w:eastAsia="仿宋_GB2312" w:cs="仿宋_GB2312"/>
          <w:color w:val="auto"/>
          <w:sz w:val="32"/>
          <w:szCs w:val="32"/>
          <w:lang w:val="en-US" w:eastAsia="zh-CN"/>
        </w:rPr>
        <w:t>雨水采用高水高排，低水低排，分散就近排放的原则进行。规划雨水管渠结合地形、水系，尽量利用自然坡度，合理划分雨水排放区域，依地势分散出口，确保汛期雨水直接以合理管径、最短的距离靠重力流就近快速排入天然水体。规划范围内雨水排放采用雨水管和排水边沟相结合的形式，规划雨水管管径为 DN500-DN600。雨水管道布置综合其他专业管线统一考虑。</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电力工程：</w:t>
      </w:r>
      <w:r>
        <w:rPr>
          <w:rFonts w:hint="eastAsia" w:ascii="仿宋_GB2312" w:hAnsi="仿宋_GB2312" w:eastAsia="仿宋_GB2312" w:cs="仿宋_GB2312"/>
          <w:color w:val="auto"/>
          <w:sz w:val="32"/>
          <w:szCs w:val="32"/>
          <w:lang w:val="en-US" w:eastAsia="zh-CN"/>
        </w:rPr>
        <w:t>根据浈江产业园负荷估算，需新建3个220kV变电站，10个110kV变电站。</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通信工程：</w:t>
      </w:r>
      <w:r>
        <w:rPr>
          <w:rFonts w:hint="eastAsia" w:ascii="仿宋_GB2312" w:hAnsi="仿宋_GB2312" w:eastAsia="仿宋_GB2312" w:cs="仿宋_GB2312"/>
          <w:color w:val="auto"/>
          <w:sz w:val="32"/>
          <w:szCs w:val="32"/>
          <w:lang w:val="en-US" w:eastAsia="zh-CN"/>
        </w:rPr>
        <w:t>浈江产业园到远期2030年共可提供64.22万标准机架，总出口带宽163.12Tbps，据此测算需要建设20孔管道；考虑各运营商5G及宽带需求，需建设4孔管道。浈江产业园地块核心节点出局管道管孔按每方向24孔建设，出局路由不少于2个方向；主干管道按照24孔建设，支线管道按照20孔建设。新建管道管孔规格为外径110管孔，内含5根PE子管。</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燃气工程：</w:t>
      </w:r>
      <w:r>
        <w:rPr>
          <w:rFonts w:hint="eastAsia" w:ascii="仿宋_GB2312" w:hAnsi="仿宋_GB2312" w:eastAsia="仿宋_GB2312" w:cs="仿宋_GB2312"/>
          <w:color w:val="auto"/>
          <w:sz w:val="32"/>
          <w:szCs w:val="32"/>
          <w:lang w:val="en-US" w:eastAsia="zh-CN"/>
        </w:rPr>
        <w:t>规划燃气气源为管道供应，气源来自十里亭高中压调压站供气。园区输配管网为中压输管网，燃气管网的布置采用以环为主、环支结合的布置方式，管径为De160～De315。</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环卫工程：</w:t>
      </w:r>
      <w:r>
        <w:rPr>
          <w:rFonts w:hint="eastAsia" w:ascii="仿宋_GB2312" w:hAnsi="仿宋_GB2312" w:eastAsia="仿宋_GB2312" w:cs="仿宋_GB2312"/>
          <w:color w:val="auto"/>
          <w:sz w:val="32"/>
          <w:szCs w:val="32"/>
          <w:lang w:val="en-US" w:eastAsia="zh-CN"/>
        </w:rPr>
        <w:t>垃圾收运及处理采用“居民—垃圾收集点—垃圾转运站—垃圾填埋场”的收运路线，逐步推行垃圾分类收集，回收利用，源头减量。规划区生活垃圾统一运往花拉寨生活垃圾卫生填埋场集中处理。公共厕所设置与园区用地功能和人口密度相协调，采用附件为主的形式设置1座公共厕所。垃圾收集点在居住人口稠密区设置垃圾收集点。</w:t>
      </w:r>
    </w:p>
    <w:p>
      <w:pPr>
        <w:keepNext w:val="0"/>
        <w:keepLines w:val="0"/>
        <w:pageBreakBefore w:val="0"/>
        <w:kinsoku/>
        <w:wordWrap/>
        <w:overflowPunct/>
        <w:topLinePunct w:val="0"/>
        <w:autoSpaceDE/>
        <w:autoSpaceDN/>
        <w:bidi w:val="0"/>
        <w:adjustRightInd/>
        <w:snapToGrid/>
        <w:spacing w:line="560" w:lineRule="exact"/>
        <w:ind w:firstLine="643"/>
        <w:textAlignment w:val="auto"/>
        <w:outlineLvl w:val="0"/>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五、</w:t>
      </w:r>
      <w:r>
        <w:rPr>
          <w:rFonts w:hint="eastAsia" w:ascii="黑体" w:hAnsi="黑体" w:eastAsia="黑体" w:cs="黑体"/>
          <w:b/>
          <w:bCs/>
          <w:color w:val="auto"/>
          <w:kern w:val="0"/>
          <w:sz w:val="32"/>
          <w:szCs w:val="32"/>
          <w:lang w:val="en-US" w:eastAsia="zh-CN"/>
        </w:rPr>
        <w:t>曲江白土开发区地块用地布局及专项规划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（1）土地利用规划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规划总用地面积98.40公顷，皆为建设用地。包括工业用地（M）、道路与交通设施用地（S）、公用设施用地（U）、绿地与广场用地（G）和白地（X）。</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（2）综合交通规划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对外交通</w:t>
      </w:r>
      <w:r>
        <w:rPr>
          <w:rFonts w:hint="eastAsia" w:ascii="仿宋_GB2312" w:hAnsi="仿宋_GB2312" w:eastAsia="仿宋_GB2312" w:cs="仿宋_GB2312"/>
          <w:color w:val="auto"/>
          <w:sz w:val="32"/>
          <w:szCs w:val="32"/>
          <w:lang w:val="en-US" w:eastAsia="zh-CN"/>
        </w:rPr>
        <w:t>：主要包括振兴北路、上乡路、规划一路和规划三路、 园北四路与国道240、铜鼓大道和乐广高速。</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内部交通：规划形成二横一纵的城市主次干路网和三横二纵的支路网结构。</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本次规划道路包括城市主干道、城市次干路、城市支路三级。</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城市主干路：包括国道240、振兴北路、铜鼓大道，红线宽度控制在50m和40m，是对外及内部各个功能分区之间主要联络干路。</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城市次干路：上乡路，红线宽度控制在40</w:t>
      </w:r>
      <w:r>
        <w:rPr>
          <w:rFonts w:hint="eastAsia" w:ascii="仿宋_GB2312" w:hAnsi="仿宋_GB2312" w:eastAsia="仿宋_GB2312" w:cs="仿宋_GB2312"/>
          <w:color w:val="auto"/>
          <w:sz w:val="32"/>
          <w:szCs w:val="32"/>
          <w:lang w:val="en-US" w:eastAsia="zh-CN"/>
        </w:rPr>
        <w:t>m，承担园区南北部片区之间的交通联系。</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支路：红线主要控制为16-11m</w:t>
      </w:r>
      <w:r>
        <w:rPr>
          <w:rFonts w:hint="eastAsia" w:ascii="仿宋_GB2312" w:hAnsi="仿宋_GB2312" w:eastAsia="仿宋_GB2312" w:cs="仿宋_GB2312"/>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（3）公共服务设施规划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原广东韶关曲江经济开发区总体规划确定的公共服务设施已满足片区发展需求，因此，本次曲江白土开发区数据中心集群规划区内不再新增各类公共服务设施。</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（4）市政公用设施</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给水工程：</w:t>
      </w:r>
      <w:r>
        <w:rPr>
          <w:rFonts w:hint="eastAsia" w:ascii="仿宋_GB2312" w:hAnsi="仿宋_GB2312" w:eastAsia="仿宋_GB2312" w:cs="仿宋_GB2312"/>
          <w:b w:val="0"/>
          <w:bCs w:val="0"/>
          <w:color w:val="auto"/>
          <w:sz w:val="32"/>
          <w:szCs w:val="32"/>
          <w:lang w:val="en-US" w:eastAsia="zh-CN"/>
        </w:rPr>
        <w:t>近期用水采用韶州水厂和演山水厂双水源供水，并同步启动新建生产专用水厂项目，生产用水就近改用河水水源。 连通滨江路至高创南路与铜鼓大道交叉口约4km的DN500给水管，接入韶州水厂水源，远期生活用水考虑从龙归接入DN1000 管解决；同步在白土工业园建设新水厂专供生产用水，取河水处理达标后供给生产用水。</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污水工程：</w:t>
      </w:r>
      <w:r>
        <w:rPr>
          <w:rFonts w:hint="eastAsia" w:ascii="仿宋_GB2312" w:hAnsi="仿宋_GB2312" w:eastAsia="仿宋_GB2312" w:cs="仿宋_GB2312"/>
          <w:b w:val="0"/>
          <w:bCs w:val="0"/>
          <w:color w:val="auto"/>
          <w:sz w:val="32"/>
          <w:szCs w:val="32"/>
          <w:lang w:val="en-US" w:eastAsia="zh-CN"/>
        </w:rPr>
        <w:t>园区污水采用统一收集，集中处理的方式。污水主管沿曲江白土地块道路敷设，污水尽量按道路标高重力排水，沿线收集地块污水后接入南侧白土污水处理厂处理。规划污水管管径为DN400-DN600</w:t>
      </w:r>
      <w:r>
        <w:rPr>
          <w:rFonts w:hint="eastAsia" w:ascii="仿宋_GB2312" w:hAnsi="仿宋_GB2312" w:eastAsia="仿宋_GB2312" w:cs="仿宋_GB2312"/>
          <w:color w:val="auto"/>
          <w:sz w:val="32"/>
          <w:szCs w:val="32"/>
          <w:lang w:val="en-US" w:eastAsia="zh-CN"/>
        </w:rPr>
        <w:t>。</w:t>
      </w:r>
    </w:p>
    <w:p>
      <w:pPr>
        <w:keepNext w:val="0"/>
        <w:keepLines w:val="0"/>
        <w:widowControl/>
        <w:suppressLineNumbers w:val="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雨水工程：</w:t>
      </w:r>
      <w:r>
        <w:rPr>
          <w:rFonts w:hint="eastAsia" w:ascii="仿宋_GB2312" w:hAnsi="仿宋_GB2312" w:eastAsia="仿宋_GB2312" w:cs="仿宋_GB2312"/>
          <w:b w:val="0"/>
          <w:bCs w:val="0"/>
          <w:color w:val="auto"/>
          <w:sz w:val="32"/>
          <w:szCs w:val="32"/>
          <w:lang w:val="en-US" w:eastAsia="zh-CN"/>
        </w:rPr>
        <w:t>雨水采用高水高排，低水低排，分散就近排放的原则进行。规划雨水管渠结合地形、水系，尽量利用自然坡度，合理划分雨水排放区域，依地势分散出口，确保汛期雨水直接以合理管径、最短的距离靠重力流就近快速排入天然水体</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规划范围内雨水排放采用市政雨水管统一收集，规划雨水管管径为DN400-DN800。雨水管道布置综合其他专业管线统一考虑</w:t>
      </w:r>
      <w:r>
        <w:rPr>
          <w:rFonts w:hint="eastAsia" w:ascii="仿宋_GB2312" w:hAnsi="仿宋_GB2312" w:eastAsia="仿宋_GB2312" w:cs="仿宋_GB2312"/>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电力工程：</w:t>
      </w:r>
      <w:r>
        <w:rPr>
          <w:rFonts w:hint="eastAsia" w:ascii="仿宋_GB2312" w:hAnsi="仿宋_GB2312" w:eastAsia="仿宋_GB2312" w:cs="仿宋_GB2312"/>
          <w:b w:val="0"/>
          <w:bCs w:val="0"/>
          <w:color w:val="auto"/>
          <w:sz w:val="32"/>
          <w:szCs w:val="32"/>
          <w:lang w:val="en-US" w:eastAsia="zh-CN"/>
        </w:rPr>
        <w:t>根据曲江白土开发区负荷估算，需新建1个220kV变电站，5个110kV变电站。</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通信工程：</w:t>
      </w:r>
      <w:r>
        <w:rPr>
          <w:rFonts w:hint="eastAsia" w:ascii="仿宋_GB2312" w:hAnsi="仿宋_GB2312" w:eastAsia="仿宋_GB2312" w:cs="仿宋_GB2312"/>
          <w:b w:val="0"/>
          <w:bCs w:val="0"/>
          <w:color w:val="auto"/>
          <w:sz w:val="32"/>
          <w:szCs w:val="32"/>
          <w:lang w:val="en-US" w:eastAsia="zh-CN"/>
        </w:rPr>
        <w:t>曲江白土开发区地块到远期2030年共可提供30.78 万标准机架，总出口带宽78.20Tbps。 据此测算需要建设12孔管道；考虑各运营商5G及宽带需求，需建设4孔管道。曲江白土开发区地块的汇聚机房出局管道管孔按每方向 16 孔建设，出局路由不少于2个方向；主干管道按照16孔建设，支线管道按照12孔建设。新建管道管孔规格为外径110管孔，内含5根PE子管</w:t>
      </w:r>
      <w:r>
        <w:rPr>
          <w:rFonts w:hint="eastAsia" w:ascii="仿宋_GB2312" w:hAnsi="仿宋_GB2312" w:eastAsia="仿宋_GB2312" w:cs="仿宋_GB2312"/>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燃气工程：</w:t>
      </w:r>
      <w:r>
        <w:rPr>
          <w:rFonts w:hint="eastAsia" w:ascii="仿宋_GB2312" w:hAnsi="仿宋_GB2312" w:eastAsia="仿宋_GB2312" w:cs="仿宋_GB2312"/>
          <w:b w:val="0"/>
          <w:bCs w:val="0"/>
          <w:color w:val="auto"/>
          <w:sz w:val="32"/>
          <w:szCs w:val="32"/>
          <w:lang w:val="en-US" w:eastAsia="zh-CN"/>
        </w:rPr>
        <w:t>规划燃气气源为管道供应，气源来自西联高中压调压站和曲江城区燃气站，就近接入燃气管道。园区输配管网为中压输配管网，燃气管网的布置采用以环为主、环支结合的布置方式，管径为De110～De200。</w:t>
      </w:r>
    </w:p>
    <w:p>
      <w:pPr>
        <w:keepNext w:val="0"/>
        <w:keepLines w:val="0"/>
        <w:pageBreakBefore w:val="0"/>
        <w:kinsoku/>
        <w:wordWrap/>
        <w:overflowPunct/>
        <w:topLinePunct w:val="0"/>
        <w:autoSpaceDE/>
        <w:autoSpaceDN/>
        <w:bidi w:val="0"/>
        <w:adjustRightInd/>
        <w:snapToGrid/>
        <w:spacing w:line="560" w:lineRule="exac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环卫工程：</w:t>
      </w:r>
      <w:r>
        <w:rPr>
          <w:rFonts w:hint="eastAsia" w:ascii="仿宋_GB2312" w:hAnsi="仿宋_GB2312" w:eastAsia="仿宋_GB2312" w:cs="仿宋_GB2312"/>
          <w:color w:val="auto"/>
          <w:sz w:val="32"/>
          <w:szCs w:val="32"/>
          <w:lang w:val="en-US" w:eastAsia="zh-CN"/>
        </w:rPr>
        <w:t>垃圾收运及处理采用“居民—垃圾收集点—垃圾转运站—垃圾填埋场”的收运路线，逐步推行垃圾分类收集，回收利用，源头减量。地块生活垃圾统一运往花拉寨生活垃圾卫生填埋场集中处理。垃圾收集点在居住人口稠密区设置垃圾收集点</w:t>
      </w:r>
      <w:r>
        <w:rPr>
          <w:rFonts w:ascii="仿宋_GB2312" w:hAnsi="仿宋_GB2312" w:eastAsia="仿宋_GB2312" w:cs="仿宋_GB2312"/>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3"/>
        <w:textAlignment w:val="auto"/>
        <w:outlineLvl w:val="0"/>
        <w:rPr>
          <w:rFonts w:ascii="仿宋_GB2312" w:hAnsi="仿宋_GB2312" w:eastAsia="仿宋_GB2312" w:cs="仿宋_GB2312"/>
          <w:color w:val="auto"/>
          <w:sz w:val="32"/>
          <w:szCs w:val="32"/>
        </w:rPr>
      </w:pPr>
      <w:r>
        <w:rPr>
          <w:rFonts w:hint="eastAsia" w:ascii="黑体" w:hAnsi="黑体" w:eastAsia="黑体" w:cs="黑体"/>
          <w:b/>
          <w:bCs/>
          <w:color w:val="auto"/>
          <w:kern w:val="0"/>
          <w:sz w:val="32"/>
          <w:szCs w:val="32"/>
        </w:rPr>
        <w:t>六、</w:t>
      </w:r>
      <w:r>
        <w:rPr>
          <w:rFonts w:hint="eastAsia" w:ascii="黑体" w:hAnsi="黑体" w:eastAsia="黑体" w:cs="黑体"/>
          <w:b/>
          <w:bCs/>
          <w:color w:val="auto"/>
          <w:kern w:val="0"/>
          <w:sz w:val="32"/>
          <w:szCs w:val="32"/>
          <w:lang w:val="en-US" w:eastAsia="zh-CN"/>
        </w:rPr>
        <w:t>莞韶城数据中心集群地块用地布局及专项规划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（1）土地利用规划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总用地面积474.21公顷，其中建设用地155.71公顷，占总用地面积的32.84%，非建设用地面积318.50公顷，占总用地面积的67.16%。建设用地中，城市建设用地153.49公顷，区域公用设施用地面积2.22公顷。规划城市建设用地包括居住用地（R）、公共管理与公共服务设施用地（A）、商业服务业设施用地（B）、工业用地（M）、道路与交通设施用地（S）、公用设施用地（U）、 绿地与广场用地（G）。</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（2）综合交通规划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对外交通</w:t>
      </w:r>
      <w:r>
        <w:rPr>
          <w:rFonts w:hint="eastAsia" w:ascii="仿宋_GB2312" w:hAnsi="仿宋_GB2312" w:eastAsia="仿宋_GB2312" w:cs="仿宋_GB2312"/>
          <w:color w:val="auto"/>
          <w:sz w:val="32"/>
          <w:szCs w:val="32"/>
          <w:lang w:val="en-US" w:eastAsia="zh-CN"/>
        </w:rPr>
        <w:t>：主要依托主环路1号路、2号路、15号路、18号路与沐阳大道、百旺路、沐溪八路、沐溪七路的对外联系。</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部交通：内部道路形成“主环路+放射状支路”的道路结构。综合考虑规划园区的地理区位与地形地貌等实际情况，以及园区作为以生产、生活、服务为主要功能的山水景观性园区功能定位，将园区道路分为二级，即园区主路、园区支路。</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（3）公共服务设施规划</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本规划根据居住人口和《韶关市城乡规划管理技术规定》的相关标准，配置公共服务设施。本次规划的主要公共服务设施有幼儿园、生鲜超市、社区公共服务中心、社区卫生服务中心、加油加气站，其中，幼儿园、生鲜超市、社区公共中心和社区卫生服务中心可以附设。 </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（4）市政公用设施</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给水工程：</w:t>
      </w:r>
      <w:r>
        <w:rPr>
          <w:rFonts w:hint="eastAsia" w:ascii="仿宋_GB2312" w:hAnsi="仿宋_GB2312" w:eastAsia="仿宋_GB2312" w:cs="仿宋_GB2312"/>
          <w:b w:val="0"/>
          <w:bCs w:val="0"/>
          <w:color w:val="auto"/>
          <w:sz w:val="32"/>
          <w:szCs w:val="32"/>
          <w:lang w:val="en-US" w:eastAsia="zh-CN"/>
        </w:rPr>
        <w:t>生活用水采用韶州水厂供水，生产用水考虑节约成本，优水优用，启动西河二水厂（供水能力10万m³/d）取武江河水源供水</w:t>
      </w:r>
      <w:r>
        <w:rPr>
          <w:rFonts w:hint="eastAsia" w:ascii="仿宋_GB2312" w:hAnsi="仿宋_GB2312" w:eastAsia="仿宋_GB2312" w:cs="仿宋_GB2312"/>
          <w:color w:val="auto"/>
          <w:sz w:val="32"/>
          <w:szCs w:val="32"/>
          <w:lang w:val="en-US" w:eastAsia="zh-CN"/>
        </w:rPr>
        <w:t>。近期沿沐阳大道新增引入一路DN400生产专供管道，与现状供水管形成双水源供水；远期沿沐阳大道敷设DN500生活给水主管，完善片区供水管网系统。在园区内新建三处增压泵站，满足高区供水要求。</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污水工程：</w:t>
      </w:r>
      <w:r>
        <w:rPr>
          <w:rFonts w:hint="eastAsia" w:ascii="仿宋_GB2312" w:hAnsi="仿宋_GB2312" w:eastAsia="仿宋_GB2312" w:cs="仿宋_GB2312"/>
          <w:b w:val="0"/>
          <w:bCs w:val="0"/>
          <w:color w:val="auto"/>
          <w:sz w:val="32"/>
          <w:szCs w:val="32"/>
          <w:lang w:val="en-US" w:eastAsia="zh-CN"/>
        </w:rPr>
        <w:t xml:space="preserve">根据园区地势情况，污水主管沿沐溪水库周边道路敷设，污水系统主要分成东北、西南两大片区，沿线收集地块污水后分别接入沐阳大道。园区地势以山地丘陵为主，地势高低起伏， </w:t>
      </w:r>
    </w:p>
    <w:p>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需在道路低洼处设置污水提升泵站，以保证污水顺利排出，沐阳大道收集的园区污水管道最终排至第四污水处理厂处理。规划污水管管径为DN400-DN600。</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雨水工程：</w:t>
      </w:r>
      <w:r>
        <w:rPr>
          <w:rFonts w:hint="eastAsia" w:ascii="仿宋_GB2312" w:hAnsi="仿宋_GB2312" w:eastAsia="仿宋_GB2312" w:cs="仿宋_GB2312"/>
          <w:b w:val="0"/>
          <w:bCs w:val="0"/>
          <w:color w:val="auto"/>
          <w:sz w:val="32"/>
          <w:szCs w:val="32"/>
          <w:lang w:val="en-US" w:eastAsia="zh-CN"/>
        </w:rPr>
        <w:t>雨水采用高水高排，低水低排，分散就近排放的原则进行。规划范围内雨水排放采用雨水管和排水边沟相结合的形式，规划雨水管管径为DN600-DN800。雨水管道布置综合其他专业管线统一考虑</w:t>
      </w:r>
      <w:r>
        <w:rPr>
          <w:rFonts w:hint="eastAsia" w:ascii="仿宋_GB2312" w:hAnsi="仿宋_GB2312" w:eastAsia="仿宋_GB2312" w:cs="仿宋_GB2312"/>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电力工程：</w:t>
      </w:r>
      <w:r>
        <w:rPr>
          <w:rFonts w:hint="eastAsia" w:ascii="仿宋_GB2312" w:hAnsi="仿宋_GB2312" w:eastAsia="仿宋_GB2312" w:cs="仿宋_GB2312"/>
          <w:b w:val="0"/>
          <w:bCs w:val="0"/>
          <w:color w:val="auto"/>
          <w:sz w:val="32"/>
          <w:szCs w:val="32"/>
          <w:lang w:val="en-US" w:eastAsia="zh-CN"/>
        </w:rPr>
        <w:t>根据莞韶城地块负荷估算，需新建设1个220kV变电站和2个110kV变电站。</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通信工程：</w:t>
      </w:r>
      <w:r>
        <w:rPr>
          <w:rFonts w:hint="eastAsia" w:ascii="仿宋_GB2312" w:hAnsi="仿宋_GB2312" w:eastAsia="仿宋_GB2312" w:cs="仿宋_GB2312"/>
          <w:b w:val="0"/>
          <w:bCs w:val="0"/>
          <w:color w:val="auto"/>
          <w:sz w:val="32"/>
          <w:szCs w:val="32"/>
          <w:lang w:val="en-US" w:eastAsia="zh-CN"/>
        </w:rPr>
        <w:t>莞韶城地块到远期2030年共可提供9.24万标准机架（2.5kw），总出口带宽23.47Tbps。莞韶城地块到远期2030年共可提供</w:t>
      </w:r>
      <w:r>
        <w:rPr>
          <w:rFonts w:hint="default" w:ascii="仿宋_GB2312" w:hAnsi="仿宋_GB2312" w:eastAsia="仿宋_GB2312" w:cs="仿宋_GB2312"/>
          <w:b w:val="0"/>
          <w:bCs w:val="0"/>
          <w:color w:val="auto"/>
          <w:sz w:val="32"/>
          <w:szCs w:val="32"/>
          <w:lang w:val="en-US" w:eastAsia="zh-CN"/>
        </w:rPr>
        <w:t>9.24</w:t>
      </w:r>
      <w:r>
        <w:rPr>
          <w:rFonts w:hint="eastAsia" w:ascii="仿宋_GB2312" w:hAnsi="仿宋_GB2312" w:eastAsia="仿宋_GB2312" w:cs="仿宋_GB2312"/>
          <w:b w:val="0"/>
          <w:bCs w:val="0"/>
          <w:color w:val="auto"/>
          <w:sz w:val="32"/>
          <w:szCs w:val="32"/>
          <w:lang w:val="en-US" w:eastAsia="zh-CN"/>
        </w:rPr>
        <w:t>万标准机架，总出口带宽</w:t>
      </w:r>
      <w:r>
        <w:rPr>
          <w:rFonts w:hint="default" w:ascii="仿宋_GB2312" w:hAnsi="仿宋_GB2312" w:eastAsia="仿宋_GB2312" w:cs="仿宋_GB2312"/>
          <w:b w:val="0"/>
          <w:bCs w:val="0"/>
          <w:color w:val="auto"/>
          <w:sz w:val="32"/>
          <w:szCs w:val="32"/>
          <w:lang w:val="en-US" w:eastAsia="zh-CN"/>
        </w:rPr>
        <w:t>23.47Tbps</w:t>
      </w:r>
      <w:r>
        <w:rPr>
          <w:rFonts w:hint="eastAsia" w:ascii="仿宋_GB2312" w:hAnsi="仿宋_GB2312" w:eastAsia="仿宋_GB2312" w:cs="仿宋_GB2312"/>
          <w:b w:val="0"/>
          <w:bCs w:val="0"/>
          <w:color w:val="auto"/>
          <w:sz w:val="32"/>
          <w:szCs w:val="32"/>
          <w:lang w:val="en-US" w:eastAsia="zh-CN"/>
        </w:rPr>
        <w:t>。据此测算需要建设</w:t>
      </w:r>
      <w:r>
        <w:rPr>
          <w:rFonts w:hint="default" w:ascii="仿宋_GB2312" w:hAnsi="仿宋_GB2312" w:eastAsia="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lang w:val="en-US" w:eastAsia="zh-CN"/>
        </w:rPr>
        <w:t>孔管道。莞韶城地块主干管道按照</w:t>
      </w:r>
      <w:r>
        <w:rPr>
          <w:rFonts w:hint="default" w:ascii="仿宋_GB2312" w:hAnsi="仿宋_GB2312" w:eastAsia="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lang w:val="en-US" w:eastAsia="zh-CN"/>
        </w:rPr>
        <w:t>孔建设，支线管道按照</w:t>
      </w:r>
      <w:r>
        <w:rPr>
          <w:rFonts w:hint="default"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lang w:val="en-US" w:eastAsia="zh-CN"/>
        </w:rPr>
        <w:t>孔建设。新建管道管孔规格为外径110管孔，内含5根PE子管。</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燃气工程：</w:t>
      </w:r>
      <w:r>
        <w:rPr>
          <w:rFonts w:hint="eastAsia" w:ascii="仿宋_GB2312" w:hAnsi="仿宋_GB2312" w:eastAsia="仿宋_GB2312" w:cs="仿宋_GB2312"/>
          <w:b w:val="0"/>
          <w:bCs w:val="0"/>
          <w:color w:val="auto"/>
          <w:sz w:val="32"/>
          <w:szCs w:val="32"/>
          <w:lang w:val="en-US" w:eastAsia="zh-CN"/>
        </w:rPr>
        <w:t>规划燃气气源以管道供应为主，液化石油气为过渡气源。管道接通市区燃气管道，气源来自港华天然气门站和LNG站。园区输配管网为中压输配管网，燃气主干管道成环布置，管径为De100～De200。</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环卫工程：</w:t>
      </w:r>
      <w:r>
        <w:rPr>
          <w:rFonts w:hint="eastAsia" w:ascii="仿宋_GB2312" w:hAnsi="仿宋_GB2312" w:eastAsia="仿宋_GB2312" w:cs="仿宋_GB2312"/>
          <w:color w:val="auto"/>
          <w:sz w:val="32"/>
          <w:szCs w:val="32"/>
          <w:lang w:val="en-US" w:eastAsia="zh-CN"/>
        </w:rPr>
        <w:t>垃圾收运及处理采用“居民—垃圾收集点—垃圾转运站—垃圾填埋场”的收运路线，逐步推行垃圾分类收集，回收利用，源头减量。规划区生活垃圾统一运往花拉寨生活垃圾卫生填埋场集中处理。规划区设置1座垃圾转运站，垃圾转运站位于西南角新323国道旁，占地面积1350平方米，规模为60吨/日。环境卫生车辆停车场按2.5辆/万人设置，用地指标可按环境卫生作业车辆 120平方米/辆选取，规划区共需环卫车辆停车场面积约600平方米，与垃圾转运站合建1处环卫车辆停车场。采用附件为主的形式设置6 座公共厕所。在居住人口稠密区设置垃圾收集点。</w:t>
      </w:r>
    </w:p>
    <w:p>
      <w:pPr>
        <w:keepNext w:val="0"/>
        <w:keepLines w:val="0"/>
        <w:pageBreakBefore w:val="0"/>
        <w:kinsoku/>
        <w:wordWrap/>
        <w:overflowPunct/>
        <w:topLinePunct w:val="0"/>
        <w:autoSpaceDE/>
        <w:autoSpaceDN/>
        <w:bidi w:val="0"/>
        <w:adjustRightInd/>
        <w:snapToGrid/>
        <w:spacing w:line="560" w:lineRule="exact"/>
        <w:textAlignment w:val="auto"/>
        <w:rPr>
          <w:rFonts w:ascii="仿宋_GB2312" w:hAnsi="仿宋_GB2312" w:eastAsia="仿宋_GB2312" w:cs="仿宋_GB2312"/>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cols w:space="425" w:num="1"/>
          <w:docGrid w:type="lines" w:linePitch="326" w:charSpace="0"/>
        </w:sect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13754100" cy="9727565"/>
            <wp:effectExtent l="0" t="0" r="0" b="6985"/>
            <wp:docPr id="5" name="图片 5" descr="dbe215663e945b095b18f9fa743863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be215663e945b095b18f9fa743863b"/>
                    <pic:cNvPicPr>
                      <a:picLocks noChangeAspect="true"/>
                    </pic:cNvPicPr>
                  </pic:nvPicPr>
                  <pic:blipFill>
                    <a:blip r:embed="rId13"/>
                    <a:stretch>
                      <a:fillRect/>
                    </a:stretch>
                  </pic:blipFill>
                  <pic:spPr>
                    <a:xfrm>
                      <a:off x="0" y="0"/>
                      <a:ext cx="13754100" cy="9727565"/>
                    </a:xfrm>
                    <a:prstGeom prst="rect">
                      <a:avLst/>
                    </a:prstGeom>
                  </pic:spPr>
                </pic:pic>
              </a:graphicData>
            </a:graphic>
          </wp:inline>
        </w:drawing>
      </w:r>
    </w:p>
    <w:sectPr>
      <w:pgSz w:w="23811" w:h="16838" w:orient="landscape"/>
      <w:pgMar w:top="1440" w:right="1361" w:bottom="1106" w:left="1077"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华文细黑">
    <w:panose1 w:val="02010600040101010101"/>
    <w:charset w:val="86"/>
    <w:family w:val="auto"/>
    <w:pitch w:val="default"/>
    <w:sig w:usb0="00000287" w:usb1="080F0000" w:usb2="00000000" w:usb3="00000000" w:csb0="0004009F" w:csb1="DFD70000"/>
  </w:font>
  <w:font w:name="方正小标宋_GBK">
    <w:panose1 w:val="03000502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8735E7"/>
    <w:multiLevelType w:val="singleLevel"/>
    <w:tmpl w:val="538735E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20"/>
  <w:drawingGridVerticalSpacing w:val="163"/>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wMjlkZjRiNjhmYmY4ZTQ5NTFlNjU2YTAwMzYyNDcifQ=="/>
  </w:docVars>
  <w:rsids>
    <w:rsidRoot w:val="00172A27"/>
    <w:rsid w:val="00000EC5"/>
    <w:rsid w:val="00015072"/>
    <w:rsid w:val="00021EDC"/>
    <w:rsid w:val="00060E27"/>
    <w:rsid w:val="000716B0"/>
    <w:rsid w:val="00081ECD"/>
    <w:rsid w:val="000A0C2F"/>
    <w:rsid w:val="000B0650"/>
    <w:rsid w:val="000D219B"/>
    <w:rsid w:val="00101AE6"/>
    <w:rsid w:val="00103091"/>
    <w:rsid w:val="00104B77"/>
    <w:rsid w:val="0011261F"/>
    <w:rsid w:val="00123FC1"/>
    <w:rsid w:val="0012647A"/>
    <w:rsid w:val="001308BC"/>
    <w:rsid w:val="00133EE7"/>
    <w:rsid w:val="00171759"/>
    <w:rsid w:val="001B2E9F"/>
    <w:rsid w:val="001C05D9"/>
    <w:rsid w:val="001C63C6"/>
    <w:rsid w:val="002111F2"/>
    <w:rsid w:val="00224EAC"/>
    <w:rsid w:val="002403C0"/>
    <w:rsid w:val="002535E0"/>
    <w:rsid w:val="00254E72"/>
    <w:rsid w:val="002551A8"/>
    <w:rsid w:val="00281998"/>
    <w:rsid w:val="002B2A06"/>
    <w:rsid w:val="002B4EB6"/>
    <w:rsid w:val="002C3825"/>
    <w:rsid w:val="002C6D87"/>
    <w:rsid w:val="002D0ECC"/>
    <w:rsid w:val="002E7E04"/>
    <w:rsid w:val="002F0213"/>
    <w:rsid w:val="002F385C"/>
    <w:rsid w:val="00321DBD"/>
    <w:rsid w:val="003244BC"/>
    <w:rsid w:val="00352C40"/>
    <w:rsid w:val="0035305E"/>
    <w:rsid w:val="00363DEF"/>
    <w:rsid w:val="00393A67"/>
    <w:rsid w:val="003957A9"/>
    <w:rsid w:val="003A2056"/>
    <w:rsid w:val="003C11B8"/>
    <w:rsid w:val="003D1548"/>
    <w:rsid w:val="003E4F3E"/>
    <w:rsid w:val="003F3966"/>
    <w:rsid w:val="003F6E72"/>
    <w:rsid w:val="004163E1"/>
    <w:rsid w:val="004175CE"/>
    <w:rsid w:val="00434A00"/>
    <w:rsid w:val="004362C3"/>
    <w:rsid w:val="00446504"/>
    <w:rsid w:val="00462520"/>
    <w:rsid w:val="00467FAD"/>
    <w:rsid w:val="004821CF"/>
    <w:rsid w:val="004839D8"/>
    <w:rsid w:val="00484165"/>
    <w:rsid w:val="004A28AE"/>
    <w:rsid w:val="004A7D9C"/>
    <w:rsid w:val="004B411C"/>
    <w:rsid w:val="004D0C47"/>
    <w:rsid w:val="004D252F"/>
    <w:rsid w:val="004E2967"/>
    <w:rsid w:val="004F579F"/>
    <w:rsid w:val="00506889"/>
    <w:rsid w:val="00520CBD"/>
    <w:rsid w:val="00522710"/>
    <w:rsid w:val="00524C1E"/>
    <w:rsid w:val="005430D9"/>
    <w:rsid w:val="00551F6F"/>
    <w:rsid w:val="0058798B"/>
    <w:rsid w:val="005B06D2"/>
    <w:rsid w:val="005C5B74"/>
    <w:rsid w:val="005D571D"/>
    <w:rsid w:val="005F59F3"/>
    <w:rsid w:val="006020BF"/>
    <w:rsid w:val="006038BD"/>
    <w:rsid w:val="006048D1"/>
    <w:rsid w:val="00611F91"/>
    <w:rsid w:val="00617A24"/>
    <w:rsid w:val="00620988"/>
    <w:rsid w:val="00621B00"/>
    <w:rsid w:val="006229B8"/>
    <w:rsid w:val="0062499B"/>
    <w:rsid w:val="006251F7"/>
    <w:rsid w:val="006300B9"/>
    <w:rsid w:val="006309EE"/>
    <w:rsid w:val="006544DD"/>
    <w:rsid w:val="0067070E"/>
    <w:rsid w:val="00671FBB"/>
    <w:rsid w:val="006B333D"/>
    <w:rsid w:val="006C5627"/>
    <w:rsid w:val="006C6CEB"/>
    <w:rsid w:val="006C7C18"/>
    <w:rsid w:val="006E19A4"/>
    <w:rsid w:val="006E4B6A"/>
    <w:rsid w:val="006F0662"/>
    <w:rsid w:val="006F3D08"/>
    <w:rsid w:val="00705B5E"/>
    <w:rsid w:val="007118B3"/>
    <w:rsid w:val="00725A1C"/>
    <w:rsid w:val="00745EED"/>
    <w:rsid w:val="007566EF"/>
    <w:rsid w:val="00760ED7"/>
    <w:rsid w:val="0076213A"/>
    <w:rsid w:val="00784C73"/>
    <w:rsid w:val="00790358"/>
    <w:rsid w:val="00793222"/>
    <w:rsid w:val="007E5197"/>
    <w:rsid w:val="007F72E1"/>
    <w:rsid w:val="00803A1E"/>
    <w:rsid w:val="00830D8F"/>
    <w:rsid w:val="00833C02"/>
    <w:rsid w:val="00853772"/>
    <w:rsid w:val="0086522D"/>
    <w:rsid w:val="0086775F"/>
    <w:rsid w:val="008746DF"/>
    <w:rsid w:val="00884496"/>
    <w:rsid w:val="0088672F"/>
    <w:rsid w:val="008A710D"/>
    <w:rsid w:val="008B7845"/>
    <w:rsid w:val="008C4323"/>
    <w:rsid w:val="008C5A55"/>
    <w:rsid w:val="008C7A2A"/>
    <w:rsid w:val="008C7B83"/>
    <w:rsid w:val="008D21C7"/>
    <w:rsid w:val="008E2B1B"/>
    <w:rsid w:val="008E5A1E"/>
    <w:rsid w:val="0090094C"/>
    <w:rsid w:val="00907C3F"/>
    <w:rsid w:val="00910AA6"/>
    <w:rsid w:val="00927C95"/>
    <w:rsid w:val="0094023C"/>
    <w:rsid w:val="00943339"/>
    <w:rsid w:val="00945671"/>
    <w:rsid w:val="0096463F"/>
    <w:rsid w:val="009728E5"/>
    <w:rsid w:val="00973097"/>
    <w:rsid w:val="00976ECC"/>
    <w:rsid w:val="00980703"/>
    <w:rsid w:val="009838E6"/>
    <w:rsid w:val="00984EBC"/>
    <w:rsid w:val="009A22B7"/>
    <w:rsid w:val="009B26F4"/>
    <w:rsid w:val="009C2ADD"/>
    <w:rsid w:val="009C6078"/>
    <w:rsid w:val="009D328B"/>
    <w:rsid w:val="00A252FF"/>
    <w:rsid w:val="00A34423"/>
    <w:rsid w:val="00A454A5"/>
    <w:rsid w:val="00A5681D"/>
    <w:rsid w:val="00A65FCB"/>
    <w:rsid w:val="00A71C2A"/>
    <w:rsid w:val="00A74F87"/>
    <w:rsid w:val="00A779D1"/>
    <w:rsid w:val="00A85FD8"/>
    <w:rsid w:val="00AA6CA0"/>
    <w:rsid w:val="00AA7990"/>
    <w:rsid w:val="00AB6716"/>
    <w:rsid w:val="00AD0D4C"/>
    <w:rsid w:val="00AD1602"/>
    <w:rsid w:val="00AE1E73"/>
    <w:rsid w:val="00AE2BC9"/>
    <w:rsid w:val="00AE786B"/>
    <w:rsid w:val="00AF78F3"/>
    <w:rsid w:val="00B024FB"/>
    <w:rsid w:val="00B33DE8"/>
    <w:rsid w:val="00B36E3E"/>
    <w:rsid w:val="00B42AB1"/>
    <w:rsid w:val="00B42B38"/>
    <w:rsid w:val="00B659F1"/>
    <w:rsid w:val="00B726CF"/>
    <w:rsid w:val="00B85FF1"/>
    <w:rsid w:val="00B90DF7"/>
    <w:rsid w:val="00B94C29"/>
    <w:rsid w:val="00B960E3"/>
    <w:rsid w:val="00B968F9"/>
    <w:rsid w:val="00BB49CD"/>
    <w:rsid w:val="00BB693C"/>
    <w:rsid w:val="00BC4E2D"/>
    <w:rsid w:val="00BD368A"/>
    <w:rsid w:val="00BD40DE"/>
    <w:rsid w:val="00BE325B"/>
    <w:rsid w:val="00C06FCE"/>
    <w:rsid w:val="00C11229"/>
    <w:rsid w:val="00C202A3"/>
    <w:rsid w:val="00C402E1"/>
    <w:rsid w:val="00C51523"/>
    <w:rsid w:val="00C62910"/>
    <w:rsid w:val="00C772A4"/>
    <w:rsid w:val="00C8157D"/>
    <w:rsid w:val="00CA0580"/>
    <w:rsid w:val="00CA2BE1"/>
    <w:rsid w:val="00CA68E3"/>
    <w:rsid w:val="00CB24C1"/>
    <w:rsid w:val="00CD7FBC"/>
    <w:rsid w:val="00CF0001"/>
    <w:rsid w:val="00D056A9"/>
    <w:rsid w:val="00D059E1"/>
    <w:rsid w:val="00D062EA"/>
    <w:rsid w:val="00D07962"/>
    <w:rsid w:val="00D103DD"/>
    <w:rsid w:val="00D1781B"/>
    <w:rsid w:val="00D2313B"/>
    <w:rsid w:val="00D23558"/>
    <w:rsid w:val="00D3177A"/>
    <w:rsid w:val="00D346BE"/>
    <w:rsid w:val="00D52621"/>
    <w:rsid w:val="00D53F73"/>
    <w:rsid w:val="00D627DF"/>
    <w:rsid w:val="00D765EE"/>
    <w:rsid w:val="00D80C35"/>
    <w:rsid w:val="00D87139"/>
    <w:rsid w:val="00D87E10"/>
    <w:rsid w:val="00D96756"/>
    <w:rsid w:val="00D96C6A"/>
    <w:rsid w:val="00DE55D1"/>
    <w:rsid w:val="00DF632D"/>
    <w:rsid w:val="00DF63D0"/>
    <w:rsid w:val="00E00A5A"/>
    <w:rsid w:val="00E158CB"/>
    <w:rsid w:val="00E159F0"/>
    <w:rsid w:val="00E219C9"/>
    <w:rsid w:val="00E23B4D"/>
    <w:rsid w:val="00E27E20"/>
    <w:rsid w:val="00E30A0C"/>
    <w:rsid w:val="00E36558"/>
    <w:rsid w:val="00E413E2"/>
    <w:rsid w:val="00E51F1E"/>
    <w:rsid w:val="00E54181"/>
    <w:rsid w:val="00E54E34"/>
    <w:rsid w:val="00E649E8"/>
    <w:rsid w:val="00E702E4"/>
    <w:rsid w:val="00E7670C"/>
    <w:rsid w:val="00E800B7"/>
    <w:rsid w:val="00EA195B"/>
    <w:rsid w:val="00EB3AB8"/>
    <w:rsid w:val="00EC4310"/>
    <w:rsid w:val="00ED28E4"/>
    <w:rsid w:val="00ED4FCC"/>
    <w:rsid w:val="00ED5FB0"/>
    <w:rsid w:val="00EE072D"/>
    <w:rsid w:val="00EF082D"/>
    <w:rsid w:val="00F3635B"/>
    <w:rsid w:val="00F52405"/>
    <w:rsid w:val="00F87288"/>
    <w:rsid w:val="00F87C9C"/>
    <w:rsid w:val="00FB0499"/>
    <w:rsid w:val="00FB3274"/>
    <w:rsid w:val="00FB61B8"/>
    <w:rsid w:val="00FB72BA"/>
    <w:rsid w:val="00FE3411"/>
    <w:rsid w:val="021E4350"/>
    <w:rsid w:val="030E3461"/>
    <w:rsid w:val="032F04D8"/>
    <w:rsid w:val="069A01B7"/>
    <w:rsid w:val="08B47CBF"/>
    <w:rsid w:val="09613D3D"/>
    <w:rsid w:val="1040132B"/>
    <w:rsid w:val="12D623E9"/>
    <w:rsid w:val="14872A30"/>
    <w:rsid w:val="1CD640C2"/>
    <w:rsid w:val="1EBC0643"/>
    <w:rsid w:val="221C4592"/>
    <w:rsid w:val="225E3CAF"/>
    <w:rsid w:val="244506EA"/>
    <w:rsid w:val="24CC7847"/>
    <w:rsid w:val="24E948F4"/>
    <w:rsid w:val="37B744E6"/>
    <w:rsid w:val="38254F4D"/>
    <w:rsid w:val="4058158A"/>
    <w:rsid w:val="410C1964"/>
    <w:rsid w:val="430E37B9"/>
    <w:rsid w:val="438E3E45"/>
    <w:rsid w:val="44935252"/>
    <w:rsid w:val="48A13995"/>
    <w:rsid w:val="4A8F1EA9"/>
    <w:rsid w:val="4B37444C"/>
    <w:rsid w:val="4CDF391E"/>
    <w:rsid w:val="50AC6191"/>
    <w:rsid w:val="518D6580"/>
    <w:rsid w:val="55C90353"/>
    <w:rsid w:val="59925D63"/>
    <w:rsid w:val="5C263E51"/>
    <w:rsid w:val="5D8164A3"/>
    <w:rsid w:val="5F786822"/>
    <w:rsid w:val="61CE69F7"/>
    <w:rsid w:val="630006A9"/>
    <w:rsid w:val="63D55065"/>
    <w:rsid w:val="66BC7345"/>
    <w:rsid w:val="69B559B7"/>
    <w:rsid w:val="69E23CB8"/>
    <w:rsid w:val="6B1A2DC4"/>
    <w:rsid w:val="6E09085E"/>
    <w:rsid w:val="6EEC2F38"/>
    <w:rsid w:val="74725760"/>
    <w:rsid w:val="BE9E030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eastAsia="华文细黑" w:asciiTheme="minorHAnsi" w:hAnsiTheme="minorHAnsi" w:cstheme="minorBidi"/>
      <w:kern w:val="2"/>
      <w:sz w:val="24"/>
      <w:szCs w:val="24"/>
      <w:lang w:val="en-US" w:eastAsia="zh-CN" w:bidi="ar-SA"/>
    </w:rPr>
  </w:style>
  <w:style w:type="paragraph" w:styleId="2">
    <w:name w:val="heading 1"/>
    <w:basedOn w:val="1"/>
    <w:next w:val="1"/>
    <w:link w:val="14"/>
    <w:qFormat/>
    <w:uiPriority w:val="9"/>
    <w:pPr>
      <w:keepNext/>
      <w:keepLines/>
      <w:spacing w:afterLines="20"/>
      <w:ind w:firstLine="0" w:firstLineChars="0"/>
      <w:outlineLvl w:val="0"/>
    </w:pPr>
    <w:rPr>
      <w:b/>
      <w:bCs/>
      <w:kern w:val="44"/>
      <w:sz w:val="44"/>
      <w:szCs w:val="44"/>
    </w:rPr>
  </w:style>
  <w:style w:type="paragraph" w:styleId="3">
    <w:name w:val="heading 2"/>
    <w:basedOn w:val="1"/>
    <w:next w:val="1"/>
    <w:link w:val="15"/>
    <w:unhideWhenUsed/>
    <w:qFormat/>
    <w:uiPriority w:val="9"/>
    <w:pPr>
      <w:keepNext/>
      <w:keepLines/>
      <w:spacing w:afterLines="20"/>
      <w:ind w:firstLine="0" w:firstLineChars="0"/>
      <w:outlineLvl w:val="1"/>
    </w:pPr>
    <w:rPr>
      <w:rFonts w:cstheme="majorBidi"/>
      <w:b/>
      <w:bCs/>
      <w:sz w:val="36"/>
      <w:szCs w:val="36"/>
    </w:rPr>
  </w:style>
  <w:style w:type="paragraph" w:styleId="4">
    <w:name w:val="heading 3"/>
    <w:basedOn w:val="1"/>
    <w:next w:val="1"/>
    <w:link w:val="16"/>
    <w:unhideWhenUsed/>
    <w:qFormat/>
    <w:uiPriority w:val="9"/>
    <w:pPr>
      <w:keepNext/>
      <w:keepLines/>
      <w:spacing w:afterLines="20"/>
      <w:ind w:firstLine="0" w:firstLineChars="0"/>
      <w:outlineLvl w:val="2"/>
    </w:pPr>
    <w:rPr>
      <w:b/>
      <w:bCs/>
      <w:sz w:val="30"/>
      <w:szCs w:val="30"/>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semiHidden/>
    <w:unhideWhenUsed/>
    <w:qFormat/>
    <w:uiPriority w:val="99"/>
    <w:pPr>
      <w:spacing w:line="240" w:lineRule="auto"/>
    </w:pPr>
    <w:rPr>
      <w:sz w:val="18"/>
      <w:szCs w:val="18"/>
    </w:rPr>
  </w:style>
  <w:style w:type="paragraph" w:styleId="6">
    <w:name w:val="footer"/>
    <w:basedOn w:val="1"/>
    <w:link w:val="12"/>
    <w:unhideWhenUsed/>
    <w:qFormat/>
    <w:uiPriority w:val="99"/>
    <w:pPr>
      <w:tabs>
        <w:tab w:val="center" w:pos="4153"/>
        <w:tab w:val="right" w:pos="8306"/>
      </w:tabs>
      <w:snapToGrid w:val="0"/>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qFormat/>
    <w:uiPriority w:val="99"/>
    <w:rPr>
      <w:sz w:val="18"/>
      <w:szCs w:val="18"/>
    </w:rPr>
  </w:style>
  <w:style w:type="character" w:customStyle="1" w:styleId="12">
    <w:name w:val="页脚 字符"/>
    <w:basedOn w:val="10"/>
    <w:link w:val="6"/>
    <w:qFormat/>
    <w:uiPriority w:val="99"/>
    <w:rPr>
      <w:sz w:val="18"/>
      <w:szCs w:val="18"/>
    </w:rPr>
  </w:style>
  <w:style w:type="paragraph" w:styleId="13">
    <w:name w:val="No Spacing"/>
    <w:qFormat/>
    <w:uiPriority w:val="1"/>
    <w:pPr>
      <w:widowControl w:val="0"/>
      <w:jc w:val="center"/>
    </w:pPr>
    <w:rPr>
      <w:rFonts w:asciiTheme="minorHAnsi" w:hAnsiTheme="minorHAnsi" w:eastAsiaTheme="minorEastAsia" w:cstheme="minorBidi"/>
      <w:kern w:val="2"/>
      <w:sz w:val="21"/>
      <w:szCs w:val="21"/>
      <w:lang w:val="en-US" w:eastAsia="zh-CN" w:bidi="ar-SA"/>
    </w:rPr>
  </w:style>
  <w:style w:type="character" w:customStyle="1" w:styleId="14">
    <w:name w:val="标题 1 字符"/>
    <w:basedOn w:val="10"/>
    <w:link w:val="2"/>
    <w:qFormat/>
    <w:uiPriority w:val="9"/>
    <w:rPr>
      <w:b/>
      <w:bCs/>
      <w:kern w:val="44"/>
      <w:sz w:val="44"/>
      <w:szCs w:val="44"/>
    </w:rPr>
  </w:style>
  <w:style w:type="character" w:customStyle="1" w:styleId="15">
    <w:name w:val="标题 2 字符"/>
    <w:basedOn w:val="10"/>
    <w:link w:val="3"/>
    <w:qFormat/>
    <w:uiPriority w:val="9"/>
    <w:rPr>
      <w:rFonts w:cstheme="majorBidi"/>
      <w:b/>
      <w:bCs/>
      <w:sz w:val="36"/>
      <w:szCs w:val="36"/>
    </w:rPr>
  </w:style>
  <w:style w:type="character" w:customStyle="1" w:styleId="16">
    <w:name w:val="标题 3 字符"/>
    <w:basedOn w:val="10"/>
    <w:link w:val="4"/>
    <w:qFormat/>
    <w:uiPriority w:val="9"/>
    <w:rPr>
      <w:b/>
      <w:bCs/>
      <w:sz w:val="30"/>
      <w:szCs w:val="30"/>
    </w:rPr>
  </w:style>
  <w:style w:type="paragraph" w:styleId="17">
    <w:name w:val="List Paragraph"/>
    <w:basedOn w:val="1"/>
    <w:qFormat/>
    <w:uiPriority w:val="34"/>
    <w:pPr>
      <w:ind w:firstLine="420"/>
    </w:pPr>
  </w:style>
  <w:style w:type="paragraph" w:customStyle="1" w:styleId="18">
    <w:name w:val="图表名"/>
    <w:basedOn w:val="1"/>
    <w:link w:val="19"/>
    <w:qFormat/>
    <w:uiPriority w:val="0"/>
    <w:pPr>
      <w:snapToGrid w:val="0"/>
      <w:spacing w:line="276" w:lineRule="auto"/>
      <w:ind w:firstLine="0" w:firstLineChars="0"/>
    </w:pPr>
    <w:rPr>
      <w:rFonts w:ascii="华文细黑" w:hAnsi="华文细黑" w:cs="Arial"/>
      <w:kern w:val="28"/>
      <w:sz w:val="21"/>
      <w:szCs w:val="21"/>
    </w:rPr>
  </w:style>
  <w:style w:type="character" w:customStyle="1" w:styleId="19">
    <w:name w:val="图表名 字符"/>
    <w:basedOn w:val="10"/>
    <w:link w:val="18"/>
    <w:qFormat/>
    <w:uiPriority w:val="0"/>
    <w:rPr>
      <w:rFonts w:ascii="华文细黑" w:hAnsi="华文细黑" w:eastAsia="华文细黑" w:cs="Arial"/>
      <w:kern w:val="28"/>
      <w:szCs w:val="21"/>
    </w:rPr>
  </w:style>
  <w:style w:type="character" w:customStyle="1" w:styleId="20">
    <w:name w:val="批注框文本 字符"/>
    <w:basedOn w:val="10"/>
    <w:link w:val="5"/>
    <w:semiHidden/>
    <w:qFormat/>
    <w:uiPriority w:val="99"/>
    <w:rPr>
      <w:sz w:val="18"/>
      <w:szCs w:val="18"/>
    </w:rPr>
  </w:style>
  <w:style w:type="paragraph" w:customStyle="1" w:styleId="21">
    <w:name w:val="05正文"/>
    <w:basedOn w:val="1"/>
    <w:qFormat/>
    <w:uiPriority w:val="0"/>
    <w:pPr>
      <w:ind w:firstLine="480"/>
    </w:pPr>
    <w:rPr>
      <w:rFonts w:ascii="宋体" w:hAnsi="宋体"/>
      <w:color w:val="000000"/>
      <w:szCs w:val="21"/>
    </w:rPr>
  </w:style>
  <w:style w:type="paragraph" w:customStyle="1" w:styleId="22">
    <w:name w:val="00正文"/>
    <w:link w:val="23"/>
    <w:qFormat/>
    <w:uiPriority w:val="0"/>
    <w:pPr>
      <w:spacing w:line="360" w:lineRule="auto"/>
      <w:ind w:firstLine="200" w:firstLineChars="200"/>
    </w:pPr>
    <w:rPr>
      <w:rFonts w:ascii="Calibri" w:hAnsi="Calibri" w:eastAsia="宋体" w:cs="Times New Roman"/>
      <w:bCs/>
      <w:kern w:val="44"/>
      <w:sz w:val="24"/>
      <w:szCs w:val="44"/>
      <w:lang w:val="en-US" w:eastAsia="zh-CN" w:bidi="ar-SA"/>
    </w:rPr>
  </w:style>
  <w:style w:type="character" w:customStyle="1" w:styleId="23">
    <w:name w:val="00正文 Char"/>
    <w:link w:val="22"/>
    <w:qFormat/>
    <w:uiPriority w:val="0"/>
    <w:rPr>
      <w:rFonts w:ascii="Calibri" w:hAnsi="Calibri" w:eastAsia="宋体" w:cs="Times New Roman"/>
      <w:bCs/>
      <w:kern w:val="44"/>
      <w:sz w:val="24"/>
      <w:szCs w:val="44"/>
    </w:rPr>
  </w:style>
  <w:style w:type="paragraph" w:customStyle="1" w:styleId="24">
    <w:name w:val="正文 New New New New New New New"/>
    <w:qFormat/>
    <w:uiPriority w:val="0"/>
    <w:pPr>
      <w:widowControl w:val="0"/>
      <w:jc w:val="both"/>
    </w:pPr>
    <w:rPr>
      <w:rFonts w:ascii="Calibri" w:hAnsi="Calibri" w:eastAsia="宋体" w:cs="黑体"/>
      <w:kern w:val="2"/>
      <w:sz w:val="21"/>
      <w:szCs w:val="22"/>
      <w:lang w:val="en-US" w:eastAsia="zh-CN" w:bidi="ar-SA"/>
    </w:rPr>
  </w:style>
  <w:style w:type="paragraph" w:customStyle="1" w:styleId="25">
    <w:name w:val="正文 New New New New New New New New"/>
    <w:qFormat/>
    <w:uiPriority w:val="0"/>
    <w:pPr>
      <w:widowControl w:val="0"/>
      <w:jc w:val="both"/>
    </w:pPr>
    <w:rPr>
      <w:rFonts w:ascii="Calibri" w:hAnsi="Calibri" w:eastAsia="宋体" w:cs="黑体"/>
      <w:kern w:val="2"/>
      <w:sz w:val="21"/>
      <w:szCs w:val="22"/>
      <w:lang w:val="en-US" w:eastAsia="zh-CN" w:bidi="ar-SA"/>
    </w:rPr>
  </w:style>
  <w:style w:type="paragraph" w:customStyle="1" w:styleId="26">
    <w:name w:val="正文 New New New New"/>
    <w:qFormat/>
    <w:uiPriority w:val="0"/>
    <w:pPr>
      <w:widowControl w:val="0"/>
      <w:jc w:val="both"/>
    </w:pPr>
    <w:rPr>
      <w:rFonts w:ascii="Calibri" w:hAnsi="Calibri" w:eastAsia="宋体" w:cs="黑体"/>
      <w:kern w:val="2"/>
      <w:sz w:val="21"/>
      <w:szCs w:val="22"/>
      <w:lang w:val="en-US" w:eastAsia="zh-CN" w:bidi="ar-SA"/>
    </w:rPr>
  </w:style>
  <w:style w:type="paragraph" w:customStyle="1" w:styleId="27">
    <w:name w:val="00正文 New New New New"/>
    <w:qFormat/>
    <w:uiPriority w:val="0"/>
    <w:pPr>
      <w:spacing w:line="360" w:lineRule="auto"/>
      <w:ind w:firstLine="200" w:firstLineChars="200"/>
    </w:pPr>
    <w:rPr>
      <w:rFonts w:ascii="Calibri" w:hAnsi="Calibri" w:eastAsia="宋体" w:cs="Times New Roman"/>
      <w:bCs/>
      <w:kern w:val="44"/>
      <w:sz w:val="24"/>
      <w:szCs w:val="44"/>
      <w:lang w:val="en-US" w:eastAsia="zh-CN" w:bidi="ar-SA"/>
    </w:rPr>
  </w:style>
  <w:style w:type="paragraph" w:customStyle="1" w:styleId="28">
    <w:name w:val="正文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正文 New New New New New New New New New New New New"/>
    <w:qFormat/>
    <w:uiPriority w:val="0"/>
    <w:pPr>
      <w:widowControl w:val="0"/>
      <w:jc w:val="both"/>
    </w:pPr>
    <w:rPr>
      <w:rFonts w:ascii="Calibri" w:hAnsi="Calibri" w:eastAsia="宋体" w:cs="黑体"/>
      <w:kern w:val="2"/>
      <w:sz w:val="21"/>
      <w:szCs w:val="22"/>
      <w:lang w:val="en-US" w:eastAsia="zh-CN" w:bidi="ar-SA"/>
    </w:rPr>
  </w:style>
  <w:style w:type="paragraph" w:customStyle="1" w:styleId="30">
    <w:name w:val="正文 New New New New New"/>
    <w:qFormat/>
    <w:uiPriority w:val="0"/>
    <w:pPr>
      <w:widowControl w:val="0"/>
      <w:jc w:val="both"/>
    </w:pPr>
    <w:rPr>
      <w:rFonts w:ascii="Calibri" w:hAnsi="Calibri" w:eastAsia="宋体" w:cs="黑体"/>
      <w:kern w:val="2"/>
      <w:sz w:val="21"/>
      <w:szCs w:val="22"/>
      <w:lang w:val="en-US" w:eastAsia="zh-CN" w:bidi="ar-SA"/>
    </w:rPr>
  </w:style>
  <w:style w:type="paragraph" w:customStyle="1" w:styleId="31">
    <w:name w:val="正文 New New"/>
    <w:qFormat/>
    <w:uiPriority w:val="0"/>
    <w:pPr>
      <w:widowControl w:val="0"/>
      <w:jc w:val="both"/>
    </w:pPr>
    <w:rPr>
      <w:rFonts w:ascii="Calibri" w:hAnsi="Calibri" w:eastAsia="宋体" w:cs="黑体"/>
      <w:kern w:val="2"/>
      <w:sz w:val="21"/>
      <w:szCs w:val="22"/>
      <w:lang w:val="en-US" w:eastAsia="zh-CN" w:bidi="ar-SA"/>
    </w:rPr>
  </w:style>
  <w:style w:type="paragraph" w:customStyle="1" w:styleId="32">
    <w:name w:val="00正文 New New New New New New"/>
    <w:qFormat/>
    <w:uiPriority w:val="0"/>
    <w:pPr>
      <w:spacing w:line="360" w:lineRule="auto"/>
      <w:ind w:firstLine="200" w:firstLineChars="200"/>
    </w:pPr>
    <w:rPr>
      <w:rFonts w:ascii="Calibri" w:hAnsi="Calibri" w:eastAsia="宋体" w:cs="Times New Roman"/>
      <w:bCs/>
      <w:kern w:val="44"/>
      <w:sz w:val="24"/>
      <w:szCs w:val="44"/>
      <w:lang w:val="en-US" w:eastAsia="zh-CN" w:bidi="ar-SA"/>
    </w:rPr>
  </w:style>
  <w:style w:type="character" w:customStyle="1" w:styleId="33">
    <w:name w:val="段落 字符"/>
    <w:link w:val="34"/>
    <w:qFormat/>
    <w:uiPriority w:val="0"/>
    <w:rPr>
      <w:rFonts w:ascii="华文细黑" w:hAnsi="华文细黑" w:eastAsia="华文细黑" w:cs="Arial"/>
      <w:kern w:val="28"/>
      <w:sz w:val="24"/>
      <w:szCs w:val="21"/>
      <w:lang w:val="zh-Hans"/>
    </w:rPr>
  </w:style>
  <w:style w:type="paragraph" w:customStyle="1" w:styleId="34">
    <w:name w:val="段落"/>
    <w:basedOn w:val="1"/>
    <w:link w:val="33"/>
    <w:qFormat/>
    <w:uiPriority w:val="0"/>
    <w:pPr>
      <w:snapToGrid w:val="0"/>
      <w:spacing w:line="336" w:lineRule="auto"/>
      <w:jc w:val="both"/>
    </w:pPr>
    <w:rPr>
      <w:rFonts w:ascii="华文细黑" w:hAnsi="华文细黑" w:cs="Arial"/>
      <w:kern w:val="28"/>
      <w:szCs w:val="21"/>
      <w:lang w:val="zh-Han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5181</Words>
  <Characters>5572</Characters>
  <Lines>17</Lines>
  <Paragraphs>4</Paragraphs>
  <TotalTime>195</TotalTime>
  <ScaleCrop>false</ScaleCrop>
  <LinksUpToDate>false</LinksUpToDate>
  <CharactersWithSpaces>5619</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2018-04-24T10:24:00Z</dcterms:created>
  <dc:creator>规划院</dc:creator>
  <cp:lastModifiedBy>于会涛</cp:lastModifiedBy>
  <cp:lastPrinted>2021-12-28T09:39:00Z</cp:lastPrinted>
  <dcterms:modified xsi:type="dcterms:W3CDTF">2022-07-21T15:13:53Z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FCBACE92A0884169943FE52020CA0273</vt:lpwstr>
  </property>
  <property fmtid="{D5CDD505-2E9C-101B-9397-08002B2CF9AE}" pid="4" name="ribbonExt">
    <vt:lpwstr>{"WPSExtOfficeTab":{"OnGetEnabled":false,"OnGetVisible":false}}</vt:lpwstr>
  </property>
</Properties>
</file>