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600" w:lineRule="exact"/>
        <w:textAlignment w:val="auto"/>
        <w:rPr>
          <w:rFonts w:hint="eastAsia" w:ascii="方正小标宋简体" w:hAnsi="黑体" w:eastAsia="方正小标宋简体"/>
          <w:sz w:val="36"/>
          <w:szCs w:val="36"/>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小标宋简体" w:hAnsi="黑体" w:eastAsia="方正小标宋简体"/>
          <w:sz w:val="44"/>
          <w:szCs w:val="44"/>
          <w:lang w:eastAsia="zh-CN"/>
        </w:rPr>
      </w:pPr>
      <w:r>
        <w:rPr>
          <w:rFonts w:hint="eastAsia" w:ascii="方正小标宋简体" w:hAnsi="黑体" w:eastAsia="方正小标宋简体" w:cs="Times New Roman"/>
          <w:sz w:val="44"/>
          <w:szCs w:val="44"/>
          <w:lang w:eastAsia="zh-CN"/>
        </w:rPr>
        <w:t>竞赛总结台账</w:t>
      </w:r>
      <w:r>
        <w:rPr>
          <w:rFonts w:hint="eastAsia" w:ascii="方正小标宋简体" w:hAnsi="黑体" w:eastAsia="方正小标宋简体"/>
          <w:sz w:val="44"/>
          <w:szCs w:val="44"/>
          <w:lang w:eastAsia="zh-CN"/>
        </w:rPr>
        <w:t>目录</w:t>
      </w:r>
    </w:p>
    <w:p>
      <w:pPr>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黑体" w:eastAsia="仿宋_GB2312"/>
          <w:sz w:val="32"/>
          <w:szCs w:val="32"/>
        </w:rPr>
      </w:pP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竞赛的职业（工种）是具有国家技能标准，属于《国家职业分类大典》第三至六大类中的技能类职业（工种）或人力资源社会保障部公布的技能类新职业（工种），竞赛结束后，须</w:t>
      </w:r>
      <w:r>
        <w:rPr>
          <w:rFonts w:hint="eastAsia" w:ascii="仿宋_GB2312" w:hAnsi="仿宋_GB2312" w:eastAsia="仿宋_GB2312" w:cs="仿宋_GB2312"/>
          <w:sz w:val="32"/>
          <w:szCs w:val="32"/>
        </w:rPr>
        <w:t>由承办单位向韶关市职业技能服务中心提交下列材料：</w:t>
      </w:r>
    </w:p>
    <w:p>
      <w:pPr>
        <w:keepNext w:val="0"/>
        <w:keepLines w:val="0"/>
        <w:pageBreakBefore w:val="0"/>
        <w:widowControl w:val="0"/>
        <w:numPr>
          <w:ilvl w:val="-1"/>
          <w:numId w:val="0"/>
        </w:numPr>
        <w:kinsoku/>
        <w:wordWrap/>
        <w:overflowPunct/>
        <w:topLinePunct w:val="0"/>
        <w:autoSpaceDE/>
        <w:autoSpaceDN/>
        <w:bidi w:val="0"/>
        <w:adjustRightIn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1.全体</w:t>
      </w:r>
      <w:r>
        <w:rPr>
          <w:rFonts w:hint="eastAsia" w:ascii="仿宋_GB2312" w:hAnsi="仿宋_GB2312" w:eastAsia="仿宋_GB2312" w:cs="仿宋_GB2312"/>
          <w:sz w:val="32"/>
          <w:szCs w:val="32"/>
        </w:rPr>
        <w:t>裁判签名确认的</w:t>
      </w:r>
      <w:r>
        <w:rPr>
          <w:rFonts w:hint="eastAsia" w:ascii="仿宋_GB2312" w:hAnsi="仿宋_GB2312" w:eastAsia="仿宋_GB2312" w:cs="仿宋_GB2312"/>
          <w:sz w:val="32"/>
          <w:szCs w:val="32"/>
          <w:lang w:eastAsia="zh-CN"/>
        </w:rPr>
        <w:t>原始</w:t>
      </w:r>
      <w:r>
        <w:rPr>
          <w:rFonts w:hint="eastAsia" w:ascii="仿宋_GB2312" w:hAnsi="仿宋_GB2312" w:eastAsia="仿宋_GB2312" w:cs="仿宋_GB2312"/>
          <w:sz w:val="32"/>
          <w:szCs w:val="32"/>
        </w:rPr>
        <w:t>竞赛成绩汇总表；</w:t>
      </w:r>
    </w:p>
    <w:p>
      <w:pPr>
        <w:pStyle w:val="6"/>
        <w:keepNext w:val="0"/>
        <w:keepLines w:val="0"/>
        <w:pageBreakBefore w:val="0"/>
        <w:widowControl w:val="0"/>
        <w:numPr>
          <w:ilvl w:val="-1"/>
          <w:numId w:val="0"/>
        </w:numPr>
        <w:kinsoku/>
        <w:wordWrap/>
        <w:overflowPunct/>
        <w:topLinePunct w:val="0"/>
        <w:autoSpaceDE/>
        <w:autoSpaceDN/>
        <w:bidi w:val="0"/>
        <w:adjustRightIn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2.考场记录表、考生签到表；</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.主办单位盖章及负责人签名确认的成绩合格选手办证名册表纸质版及电子版（按准考证号顺序排列）；</w:t>
      </w:r>
    </w:p>
    <w:p>
      <w:pPr>
        <w:pStyle w:val="2"/>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cs="仿宋_GB2312"/>
        </w:rPr>
      </w:pPr>
      <w:r>
        <w:rPr>
          <w:rFonts w:hint="eastAsia" w:ascii="仿宋_GB2312" w:hAnsi="仿宋_GB2312" w:cs="仿宋_GB2312"/>
          <w:lang w:val="en-US" w:eastAsia="zh-CN"/>
        </w:rPr>
        <w:t>4</w:t>
      </w:r>
      <w:r>
        <w:rPr>
          <w:rFonts w:hint="eastAsia" w:ascii="仿宋_GB2312" w:hAnsi="仿宋_GB2312" w:cs="仿宋_GB2312"/>
        </w:rPr>
        <w:t>.选手大一寸免冠白底彩色或黑白电子照片（照片文件名称以身份证号码命名，如有字母必须大写。全部照片压缩成一个zip压缩包。源文件必须是标准证件数字照片，JPG或JPEG格式，白色背景，大于10K,小于40K,像素≧295×413）；</w:t>
      </w:r>
    </w:p>
    <w:p>
      <w:pPr>
        <w:pStyle w:val="6"/>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5.裁判员身份证、考评员证复印件</w:t>
      </w:r>
      <w:r>
        <w:rPr>
          <w:rFonts w:hint="eastAsia" w:ascii="仿宋_GB2312" w:hAnsi="仿宋_GB2312" w:eastAsia="仿宋_GB2312" w:cs="仿宋_GB2312"/>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.本职业（工种）竞赛实施方案</w:t>
      </w:r>
      <w:r>
        <w:rPr>
          <w:rFonts w:hint="eastAsia" w:ascii="仿宋_GB2312" w:hAnsi="仿宋_GB2312" w:eastAsia="仿宋_GB2312" w:cs="仿宋_GB2312"/>
          <w:sz w:val="32"/>
          <w:szCs w:val="32"/>
          <w:lang w:eastAsia="zh-CN"/>
        </w:rPr>
        <w:t>、技术文件</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pPr>
      <w:r>
        <w:rPr>
          <w:rFonts w:hint="eastAsia" w:ascii="仿宋_GB2312" w:hAnsi="仿宋_GB2312" w:eastAsia="仿宋_GB2312" w:cs="仿宋_GB2312"/>
          <w:sz w:val="32"/>
          <w:szCs w:val="32"/>
          <w:lang w:eastAsia="zh-CN"/>
        </w:rPr>
        <w:t>各单位务必仔细核对所报材料，如材料报送错误导致出证信息或在国家人社部网站查询结果与事实不符，由材料报送单位负责，如遇到国家人社部、省人社厅有关政策调整，则按新规定调整。</w:t>
      </w:r>
      <w:bookmarkStart w:id="0" w:name="_GoBack"/>
      <w:bookmarkEnd w:id="0"/>
    </w:p>
    <w:sectPr>
      <w:pgSz w:w="11906" w:h="16838"/>
      <w:pgMar w:top="2098" w:right="1474" w:bottom="1985" w:left="1588"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B1E59"/>
    <w:rsid w:val="1CE47BC6"/>
    <w:rsid w:val="4A3B1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721" w:firstLineChars="200"/>
    </w:pPr>
    <w:rPr>
      <w:rFonts w:ascii="Calibri"/>
    </w:rPr>
  </w:style>
  <w:style w:type="paragraph" w:styleId="3">
    <w:name w:val="Body Text"/>
    <w:basedOn w:val="1"/>
    <w:qFormat/>
    <w:uiPriority w:val="0"/>
    <w:rPr>
      <w:rFonts w:ascii="仿宋_GB2312" w:hAnsi="Calibri" w:eastAsia="仿宋_GB2312"/>
      <w:sz w:val="32"/>
    </w:rPr>
  </w:style>
  <w:style w:type="paragraph" w:customStyle="1" w:styleId="6">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2022-05-05T06:57:00Z</dcterms:created>
  <dc:creator>蒙证尹</dc:creator>
  <cp:lastModifiedBy>蒙证尹</cp:lastModifiedBy>
  <dcterms:modified xsi:type="dcterms:W3CDTF">2022-05-05T07:07:32Z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ribbonExt">
    <vt:lpwstr>{"WPSExtOfficeTab":{"OnGetEnabled":false,"OnGetVisible":false}}</vt:lpwstr>
  </property>
</Properties>
</file>