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cs="黑体"/>
          <w:color w:val="000000"/>
          <w:kern w:val="0"/>
          <w:sz w:val="32"/>
          <w:szCs w:val="32"/>
        </w:rPr>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始兴县</w:t>
      </w:r>
      <w:r>
        <w:rPr>
          <w:rFonts w:hint="eastAsia" w:ascii="方正小标宋简体" w:hAnsi="方正小标宋简体" w:eastAsia="方正小标宋简体" w:cs="方正小标宋简体"/>
          <w:color w:val="000000"/>
          <w:kern w:val="0"/>
          <w:sz w:val="44"/>
          <w:szCs w:val="44"/>
          <w:lang w:eastAsia="zh-CN"/>
        </w:rPr>
        <w:t>市场监督管理局</w:t>
      </w:r>
      <w:r>
        <w:rPr>
          <w:rFonts w:ascii="方正小标宋简体" w:hAnsi="方正小标宋简体" w:eastAsia="方正小标宋简体" w:cs="方正小标宋简体"/>
          <w:color w:val="000000"/>
          <w:kern w:val="0"/>
          <w:sz w:val="44"/>
          <w:szCs w:val="44"/>
        </w:rPr>
        <w:t>2021</w:t>
      </w:r>
      <w:r>
        <w:rPr>
          <w:rFonts w:hint="eastAsia" w:ascii="方正小标宋简体" w:hAnsi="方正小标宋简体" w:eastAsia="方正小标宋简体" w:cs="方正小标宋简体"/>
          <w:color w:val="000000"/>
          <w:kern w:val="0"/>
          <w:sz w:val="44"/>
          <w:szCs w:val="44"/>
        </w:rPr>
        <w:t>年度行政许可</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实施和监督管理情况报告</w:t>
      </w:r>
    </w:p>
    <w:p>
      <w:pPr>
        <w:widowControl/>
        <w:spacing w:line="560" w:lineRule="exact"/>
        <w:jc w:val="center"/>
        <w:rPr>
          <w:rFonts w:ascii="仿宋_GB2312" w:hAnsi="仿宋_GB2312" w:eastAsia="仿宋_GB2312" w:cs="仿宋_GB2312"/>
          <w:sz w:val="32"/>
          <w:szCs w:val="32"/>
        </w:rPr>
      </w:pP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县政务服务数据管理局：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根据《始兴县人民政府办公室关于报送</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年度行政许可实施和监督管理情况检查工作的通知》要求，现将我单位</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年度行政许可实施和监督管理情况报告如下：</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kern w:val="0"/>
          <w:sz w:val="32"/>
          <w:szCs w:val="32"/>
        </w:rPr>
        <w:t>一、基本情况</w:t>
      </w:r>
      <w:r>
        <w:rPr>
          <w:rFonts w:ascii="仿宋_GB2312" w:hAnsi="仿宋_GB2312" w:eastAsia="仿宋_GB2312" w:cs="仿宋_GB2312"/>
          <w:color w:val="000000"/>
          <w:kern w:val="0"/>
          <w:sz w:val="32"/>
          <w:szCs w:val="32"/>
        </w:rPr>
        <w:t xml:space="preserve"> </w:t>
      </w:r>
    </w:p>
    <w:p>
      <w:pPr>
        <w:pStyle w:val="10"/>
        <w:keepNext w:val="0"/>
        <w:keepLines w:val="0"/>
        <w:pageBreakBefore w:val="0"/>
        <w:widowControl w:val="0"/>
        <w:kinsoku/>
        <w:wordWrap/>
        <w:overflowPunct/>
        <w:topLinePunct w:val="0"/>
        <w:autoSpaceDE/>
        <w:autoSpaceDN/>
        <w:bidi w:val="0"/>
        <w:adjustRightInd w:val="0"/>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000000"/>
          <w:kern w:val="0"/>
          <w:sz w:val="32"/>
          <w:szCs w:val="32"/>
        </w:rPr>
        <w:t>（一）现有事项及办理情况。</w:t>
      </w:r>
      <w:r>
        <w:rPr>
          <w:rFonts w:hint="eastAsia" w:ascii="仿宋_GB2312" w:hAnsi="仿宋_GB2312" w:eastAsia="仿宋_GB2312" w:cs="仿宋_GB2312"/>
          <w:color w:val="auto"/>
          <w:w w:val="100"/>
          <w:sz w:val="32"/>
          <w:szCs w:val="32"/>
        </w:rPr>
        <w:t>我</w:t>
      </w:r>
      <w:r>
        <w:rPr>
          <w:rFonts w:hint="eastAsia" w:ascii="仿宋_GB2312" w:hAnsi="仿宋_GB2312" w:eastAsia="仿宋_GB2312" w:cs="仿宋_GB2312"/>
          <w:color w:val="auto"/>
          <w:w w:val="100"/>
          <w:sz w:val="32"/>
          <w:szCs w:val="32"/>
          <w:lang w:eastAsia="zh-CN"/>
        </w:rPr>
        <w:t>局</w:t>
      </w:r>
      <w:r>
        <w:rPr>
          <w:rFonts w:hint="eastAsia" w:ascii="仿宋_GB2312" w:hAnsi="仿宋_GB2312" w:eastAsia="仿宋_GB2312" w:cs="仿宋_GB2312"/>
          <w:color w:val="auto"/>
          <w:w w:val="100"/>
          <w:sz w:val="32"/>
          <w:szCs w:val="32"/>
        </w:rPr>
        <w:t>现有行政许可审批事项</w:t>
      </w:r>
      <w:r>
        <w:rPr>
          <w:rFonts w:hint="eastAsia" w:ascii="仿宋_GB2312" w:hAnsi="仿宋_GB2312" w:cs="仿宋_GB2312"/>
          <w:color w:val="auto"/>
          <w:w w:val="100"/>
          <w:sz w:val="32"/>
          <w:szCs w:val="32"/>
          <w:lang w:val="en-US" w:eastAsia="zh-CN"/>
        </w:rPr>
        <w:t>10</w:t>
      </w:r>
      <w:r>
        <w:rPr>
          <w:rFonts w:hint="eastAsia" w:ascii="仿宋_GB2312" w:hAnsi="仿宋_GB2312" w:eastAsia="仿宋_GB2312" w:cs="仿宋_GB2312"/>
          <w:color w:val="auto"/>
          <w:w w:val="100"/>
          <w:sz w:val="32"/>
          <w:szCs w:val="32"/>
        </w:rPr>
        <w:t>项已进驻网上办事大厅，包括：企业登记注册，个体工商户登记，农民专业合作社登记注册，</w:t>
      </w:r>
      <w:r>
        <w:rPr>
          <w:rFonts w:hint="eastAsia" w:ascii="仿宋_GB2312" w:hAnsi="仿宋_GB2312" w:cs="仿宋_GB2312"/>
          <w:color w:val="auto"/>
          <w:w w:val="100"/>
          <w:sz w:val="32"/>
          <w:szCs w:val="32"/>
          <w:lang w:eastAsia="zh-CN"/>
        </w:rPr>
        <w:t>计量标准器具核准、特种设备使用登记、</w:t>
      </w:r>
      <w:r>
        <w:rPr>
          <w:rFonts w:hint="eastAsia" w:ascii="仿宋_GB2312" w:hAnsi="仿宋_GB2312" w:cs="仿宋"/>
          <w:color w:val="auto"/>
          <w:w w:val="100"/>
          <w:sz w:val="32"/>
          <w:szCs w:val="32"/>
          <w:lang w:eastAsia="zh-CN"/>
        </w:rPr>
        <w:t>第三类医疗器械经营许可、食品经营许可、药品零售许可、食品生产加工小作坊登记、特殊药品的购用、使用、经营、生产和邮寄、运输审批，</w:t>
      </w:r>
      <w:r>
        <w:rPr>
          <w:rFonts w:hint="eastAsia" w:ascii="仿宋_GB2312" w:hAnsi="仿宋_GB2312" w:eastAsia="仿宋_GB2312" w:cs="仿宋_GB2312"/>
          <w:bCs/>
          <w:color w:val="auto"/>
          <w:w w:val="100"/>
          <w:sz w:val="32"/>
          <w:szCs w:val="32"/>
          <w:lang w:val="zh-CN"/>
        </w:rPr>
        <w:t>事项网上服务深度为三级</w:t>
      </w:r>
      <w:r>
        <w:rPr>
          <w:rFonts w:hint="eastAsia" w:ascii="仿宋_GB2312" w:hAnsi="仿宋_GB2312" w:eastAsia="仿宋_GB2312" w:cs="仿宋_GB2312"/>
          <w:color w:val="auto"/>
          <w:w w:val="100"/>
          <w:sz w:val="32"/>
          <w:szCs w:val="32"/>
        </w:rPr>
        <w:t>。我</w:t>
      </w:r>
      <w:r>
        <w:rPr>
          <w:rFonts w:hint="eastAsia" w:ascii="仿宋_GB2312" w:hAnsi="仿宋_GB2312" w:eastAsia="仿宋_GB2312" w:cs="仿宋_GB2312"/>
          <w:color w:val="auto"/>
          <w:w w:val="100"/>
          <w:sz w:val="32"/>
          <w:szCs w:val="32"/>
          <w:lang w:eastAsia="zh-CN"/>
        </w:rPr>
        <w:t>局</w:t>
      </w:r>
      <w:r>
        <w:rPr>
          <w:rFonts w:hint="eastAsia" w:ascii="仿宋_GB2312" w:hAnsi="仿宋_GB2312" w:eastAsia="仿宋_GB2312"/>
          <w:color w:val="auto"/>
          <w:w w:val="100"/>
          <w:sz w:val="32"/>
        </w:rPr>
        <w:t>已进驻</w:t>
      </w:r>
      <w:r>
        <w:rPr>
          <w:rFonts w:hint="eastAsia" w:ascii="仿宋_GB2312" w:hAnsi="仿宋_GB2312"/>
          <w:color w:val="auto"/>
          <w:w w:val="100"/>
          <w:sz w:val="32"/>
          <w:lang w:eastAsia="zh-CN"/>
        </w:rPr>
        <w:t>县</w:t>
      </w:r>
      <w:r>
        <w:rPr>
          <w:rFonts w:hint="eastAsia" w:ascii="仿宋_GB2312" w:hAnsi="仿宋_GB2312" w:eastAsia="仿宋_GB2312"/>
          <w:color w:val="auto"/>
          <w:w w:val="100"/>
          <w:sz w:val="32"/>
        </w:rPr>
        <w:t>行政服务中心</w:t>
      </w:r>
      <w:r>
        <w:rPr>
          <w:rFonts w:hint="eastAsia" w:ascii="仿宋_GB2312" w:hAnsi="仿宋_GB2312" w:eastAsia="仿宋_GB2312" w:cs="仿宋_GB2312"/>
          <w:color w:val="auto"/>
          <w:w w:val="100"/>
          <w:sz w:val="32"/>
          <w:szCs w:val="32"/>
        </w:rPr>
        <w:t>。全年行政许可、非行政许可审批的申请、受理和办结数量详见附表，登记类事项没有未受理、未按时办结情况。</w:t>
      </w:r>
    </w:p>
    <w:p>
      <w:pPr>
        <w:pStyle w:val="10"/>
        <w:keepNext w:val="0"/>
        <w:keepLines w:val="0"/>
        <w:pageBreakBefore w:val="0"/>
        <w:widowControl w:val="0"/>
        <w:kinsoku/>
        <w:wordWrap/>
        <w:overflowPunct/>
        <w:topLinePunct w:val="0"/>
        <w:autoSpaceDE/>
        <w:autoSpaceDN/>
        <w:bidi w:val="0"/>
        <w:adjustRightInd w:val="0"/>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olor w:val="auto"/>
          <w:w w:val="100"/>
          <w:sz w:val="32"/>
          <w:szCs w:val="32"/>
        </w:rPr>
      </w:pPr>
      <w:r>
        <w:rPr>
          <w:rFonts w:hint="eastAsia" w:ascii="仿宋_GB2312" w:hAnsi="仿宋_GB2312" w:eastAsia="仿宋_GB2312" w:cs="仿宋_GB2312"/>
          <w:color w:val="000000"/>
          <w:kern w:val="0"/>
          <w:sz w:val="32"/>
          <w:szCs w:val="32"/>
        </w:rPr>
        <w:t>（二）依法实施情况。</w:t>
      </w:r>
      <w:r>
        <w:rPr>
          <w:rFonts w:hint="eastAsia" w:ascii="仿宋_GB2312" w:hAnsi="仿宋_GB2312" w:eastAsia="仿宋_GB2312"/>
          <w:color w:val="auto"/>
          <w:w w:val="100"/>
          <w:sz w:val="32"/>
          <w:szCs w:val="32"/>
        </w:rPr>
        <w:t>我局依据</w:t>
      </w:r>
      <w:r>
        <w:rPr>
          <w:rFonts w:hint="eastAsia" w:ascii="仿宋_GB2312" w:hAnsi="仿宋_GB2312" w:eastAsia="仿宋_GB2312" w:cs="仿宋_GB2312"/>
          <w:color w:val="auto"/>
          <w:w w:val="100"/>
          <w:sz w:val="32"/>
          <w:szCs w:val="32"/>
        </w:rPr>
        <w:t>《中华人民共和国公司法》、《中华人民共和国公司登记管理条例》、《企业名称登记管理规定》、《企业名称登记管理实施办法》、《企业法人登记管理条例》、《企业法人登记管理条例施行细则》、《个体工商户名称登记管理办法》、《个体工商户条例》、《中华人民共和国个人独资企业法》、《中华人民共和国合伙企业法》、《农民专业合作社登记管理条例》</w:t>
      </w:r>
      <w:r>
        <w:rPr>
          <w:rFonts w:hint="eastAsia" w:ascii="仿宋_GB2312" w:hAnsi="仿宋_GB2312" w:eastAsia="仿宋_GB2312"/>
          <w:color w:val="auto"/>
          <w:w w:val="100"/>
          <w:sz w:val="32"/>
          <w:szCs w:val="32"/>
        </w:rPr>
        <w:t>、</w:t>
      </w:r>
      <w:r>
        <w:rPr>
          <w:rFonts w:hint="eastAsia" w:ascii="仿宋_GB2312" w:hAnsi="仿宋_GB2312" w:eastAsia="仿宋_GB2312" w:cs="仿宋_GB2312"/>
          <w:color w:val="auto"/>
          <w:w w:val="100"/>
          <w:sz w:val="32"/>
          <w:szCs w:val="32"/>
        </w:rPr>
        <w:t>《企业登记程序规定》、《广东省商事登记条例》、</w:t>
      </w:r>
      <w:r>
        <w:rPr>
          <w:rFonts w:hint="eastAsia" w:ascii="仿宋_GB2312" w:hAnsi="仿宋_GB2312" w:eastAsia="仿宋_GB2312"/>
          <w:color w:val="auto"/>
          <w:w w:val="100"/>
          <w:sz w:val="32"/>
          <w:szCs w:val="32"/>
        </w:rPr>
        <w:t>《</w:t>
      </w:r>
      <w:r>
        <w:rPr>
          <w:rFonts w:hint="eastAsia" w:ascii="仿宋_GB2312" w:hAnsi="仿宋_GB2312" w:eastAsia="仿宋_GB2312" w:cs="仿宋_GB2312"/>
          <w:color w:val="auto"/>
          <w:w w:val="100"/>
          <w:sz w:val="32"/>
          <w:szCs w:val="32"/>
          <w:shd w:val="clear" w:color="auto" w:fill="F9F8F7"/>
        </w:rPr>
        <w:t>广东省工商行政管理局关于修订&lt;商事登记提交材料规范&gt;和&lt;商事登记申请文书规范&gt;的通知</w:t>
      </w:r>
      <w:r>
        <w:rPr>
          <w:rFonts w:hint="eastAsia" w:ascii="仿宋_GB2312" w:hAnsi="仿宋_GB2312" w:eastAsia="仿宋_GB2312"/>
          <w:color w:val="auto"/>
          <w:w w:val="100"/>
          <w:sz w:val="32"/>
          <w:szCs w:val="32"/>
        </w:rPr>
        <w:t>》</w:t>
      </w:r>
      <w:r>
        <w:rPr>
          <w:rFonts w:hint="eastAsia" w:ascii="仿宋_GB2312" w:hAnsi="仿宋_GB2312"/>
          <w:color w:val="auto"/>
          <w:w w:val="100"/>
          <w:sz w:val="32"/>
          <w:szCs w:val="32"/>
          <w:lang w:eastAsia="zh-CN"/>
        </w:rPr>
        <w:t>、《中华人民共和国特种设备安全法》、《中华人民共和国食品安全法》、《广东省食品药品监督管理局关于食品经营许可的实施细则（试行）》、《中华人民共和国药品管理法实施条例》、《医疗器械经营监督管理办法》</w:t>
      </w:r>
      <w:r>
        <w:rPr>
          <w:rFonts w:hint="eastAsia" w:ascii="仿宋_GB2312" w:hAnsi="仿宋_GB2312" w:eastAsia="仿宋_GB2312" w:cs="仿宋_GB2312"/>
          <w:color w:val="auto"/>
          <w:w w:val="100"/>
          <w:sz w:val="32"/>
          <w:szCs w:val="32"/>
        </w:rPr>
        <w:t>等法律法规规定</w:t>
      </w:r>
      <w:r>
        <w:rPr>
          <w:rFonts w:hint="eastAsia" w:ascii="仿宋_GB2312" w:hAnsi="仿宋_GB2312" w:eastAsia="仿宋_GB2312"/>
          <w:color w:val="auto"/>
          <w:w w:val="100"/>
          <w:sz w:val="32"/>
          <w:szCs w:val="32"/>
        </w:rPr>
        <w:t>，严格按照法律法规所赋予的审批权限、程序、环节、条件执行。着力规范窗口服务行为，统一规范了全</w:t>
      </w:r>
      <w:r>
        <w:rPr>
          <w:rFonts w:hint="eastAsia" w:ascii="仿宋_GB2312" w:hAnsi="仿宋_GB2312"/>
          <w:color w:val="auto"/>
          <w:w w:val="100"/>
          <w:sz w:val="32"/>
          <w:szCs w:val="32"/>
          <w:lang w:eastAsia="zh-CN"/>
        </w:rPr>
        <w:t>县</w:t>
      </w:r>
      <w:r>
        <w:rPr>
          <w:rFonts w:hint="eastAsia" w:ascii="仿宋_GB2312" w:hAnsi="仿宋_GB2312" w:eastAsia="仿宋_GB2312"/>
          <w:color w:val="auto"/>
          <w:w w:val="100"/>
          <w:sz w:val="32"/>
          <w:szCs w:val="32"/>
        </w:rPr>
        <w:t>市场主体登记注册条件、程序、提交材料、文书范本，以及政务公开的内容与形式等。同时，登记窗口</w:t>
      </w:r>
      <w:r>
        <w:rPr>
          <w:rFonts w:hint="eastAsia" w:ascii="仿宋_GB2312" w:hAnsi="仿宋_GB2312"/>
          <w:color w:val="auto"/>
          <w:w w:val="100"/>
          <w:sz w:val="32"/>
          <w:szCs w:val="32"/>
          <w:lang w:eastAsia="zh-CN"/>
        </w:rPr>
        <w:t>企业注册登记</w:t>
      </w:r>
      <w:r>
        <w:rPr>
          <w:rFonts w:hint="eastAsia" w:ascii="仿宋_GB2312" w:hAnsi="仿宋_GB2312" w:eastAsia="仿宋_GB2312" w:cs="仿宋_GB2312"/>
          <w:color w:val="auto"/>
          <w:w w:val="100"/>
          <w:sz w:val="32"/>
          <w:szCs w:val="32"/>
        </w:rPr>
        <w:t>全面实施了</w:t>
      </w:r>
      <w:r>
        <w:rPr>
          <w:rFonts w:hint="eastAsia" w:ascii="仿宋_GB2312" w:hAnsi="仿宋_GB2312" w:cs="仿宋_GB2312"/>
          <w:color w:val="auto"/>
          <w:w w:val="100"/>
          <w:sz w:val="32"/>
          <w:szCs w:val="32"/>
          <w:lang w:eastAsia="zh-CN"/>
        </w:rPr>
        <w:t>审核合一，</w:t>
      </w:r>
      <w:r>
        <w:rPr>
          <w:rFonts w:hint="eastAsia" w:ascii="仿宋_GB2312" w:hAnsi="仿宋_GB2312" w:eastAsia="仿宋_GB2312"/>
          <w:color w:val="auto"/>
          <w:w w:val="100"/>
          <w:sz w:val="32"/>
          <w:szCs w:val="32"/>
        </w:rPr>
        <w:t>并向社会公开承诺，对于申请材料齐全，符合法定形式的，马上办理，当场办结。申请人在网上提交的登记材料通过后，只需“跑一次”登记窗口，即可办理并领取营业执照</w:t>
      </w:r>
      <w:r>
        <w:rPr>
          <w:rFonts w:hint="eastAsia" w:ascii="仿宋_GB2312" w:hAnsi="仿宋_GB2312" w:eastAsia="仿宋_GB2312"/>
          <w:color w:val="auto"/>
          <w:w w:val="100"/>
          <w:sz w:val="32"/>
          <w:szCs w:val="32"/>
          <w:lang w:val="zh-CN"/>
        </w:rPr>
        <w:t>。</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公开公示情况。根据信息公开要求，群众只要通过政府网站即可查询我单位办理审批的行政审批和非行政审批情况。而且广东政务服务网中公开公示了我单位行政审批事项和非行政事项的办事指南，其中有各事项的实施主体，依据流程，办理条件及办事时限、收费标准，咨询投诉方式等。向公众提供网上登记申请、登记信息公开及登记指南、文书表格下载等网上服务。</w:t>
      </w:r>
    </w:p>
    <w:p>
      <w:pPr>
        <w:widowControl/>
        <w:spacing w:line="56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（四）监督管理情况。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kern w:val="0"/>
          <w:sz w:val="32"/>
          <w:szCs w:val="32"/>
          <w:highlight w:val="yellow"/>
        </w:rPr>
      </w:pPr>
      <w:r>
        <w:rPr>
          <w:rFonts w:hint="eastAsia" w:ascii="BatangChe" w:hAnsi="BatangChe" w:eastAsia="仿宋_GB2312" w:cs="仿宋_GB2312"/>
          <w:b/>
          <w:bCs/>
          <w:kern w:val="2"/>
          <w:sz w:val="32"/>
          <w:szCs w:val="32"/>
          <w:lang w:val="en-US" w:eastAsia="zh-CN" w:bidi="ar-SA"/>
        </w:rPr>
        <w:t>一是</w:t>
      </w:r>
      <w:r>
        <w:rPr>
          <w:rFonts w:hint="eastAsia" w:ascii="BatangChe" w:hAnsi="BatangChe" w:eastAsia="仿宋_GB2312" w:cs="仿宋_GB2312"/>
          <w:kern w:val="2"/>
          <w:sz w:val="32"/>
          <w:szCs w:val="32"/>
          <w:lang w:val="en-US" w:eastAsia="zh-CN" w:bidi="ar-SA"/>
        </w:rPr>
        <w:t>扎实做好食品餐饮监管工作。2021年共组织参与重大活动食品安全保障工作10次，移送案件16宗，全县共有3家餐饮单位升A级；开展智慧监管工作，完成学校、幼儿园食堂互联网+明厨亮灶67家；全年食品餐饮环节监督性抽检不合格率3.3%，同比下降0.7%；指导11家餐饮单位参加韶关市2021年“以奖代补”促进餐饮单位开展消费宣传优惠活动。</w:t>
      </w:r>
      <w:r>
        <w:rPr>
          <w:rFonts w:hint="eastAsia" w:ascii="BatangChe" w:hAnsi="BatangChe" w:eastAsia="仿宋_GB2312" w:cs="仿宋_GB2312"/>
          <w:b/>
          <w:bCs/>
          <w:kern w:val="2"/>
          <w:sz w:val="32"/>
          <w:szCs w:val="32"/>
          <w:lang w:val="en-US" w:eastAsia="zh-CN" w:bidi="ar-SA"/>
        </w:rPr>
        <w:t>二是</w:t>
      </w:r>
      <w:r>
        <w:rPr>
          <w:rFonts w:hint="eastAsia" w:ascii="BatangChe" w:hAnsi="BatangChe" w:eastAsia="仿宋_GB2312" w:cs="仿宋_GB2312"/>
          <w:kern w:val="2"/>
          <w:sz w:val="32"/>
          <w:szCs w:val="32"/>
          <w:lang w:val="en-US" w:eastAsia="zh-CN" w:bidi="ar-SA"/>
        </w:rPr>
        <w:t>开展食品生产流通监管工作。做好食品生产企业、小作坊、商超、农贸市场、冷库企业以及其他食品单位的疫情防控工作，并且做好核酸检测和食品从业人员的新冠疫苗接种工作。推进农贸市场食品快检室规范化建设，切实保障群众“菜篮子”安全，目前，快检室硬件设施已全面完工。</w:t>
      </w:r>
      <w:r>
        <w:rPr>
          <w:rFonts w:hint="eastAsia" w:ascii="BatangChe" w:hAnsi="BatangChe" w:eastAsia="仿宋_GB2312" w:cs="仿宋_GB2312"/>
          <w:b/>
          <w:bCs/>
          <w:kern w:val="2"/>
          <w:sz w:val="32"/>
          <w:szCs w:val="32"/>
          <w:lang w:val="en-US" w:eastAsia="zh-CN" w:bidi="ar-SA"/>
        </w:rPr>
        <w:t>三是</w:t>
      </w:r>
      <w:r>
        <w:rPr>
          <w:rFonts w:hint="eastAsia" w:ascii="BatangChe" w:hAnsi="BatangChe" w:eastAsia="仿宋_GB2312" w:cs="仿宋_GB2312"/>
          <w:kern w:val="2"/>
          <w:sz w:val="32"/>
          <w:szCs w:val="32"/>
          <w:lang w:val="en-US" w:eastAsia="zh-CN" w:bidi="ar-SA"/>
        </w:rPr>
        <w:t>开展药品监管工作。加强药品、化妆品、医疗器械流通使用环节监管工作，2021年，共检查药品流通使用单位105家次，化妆品经营企业205家次，医疗器械生产单位13家次、流通单位72家次、使用单位58家次。开展疫苗储存运输环节监督检查115次，发现隐患2个，均已整改完毕。</w:t>
      </w:r>
      <w:r>
        <w:rPr>
          <w:rFonts w:hint="eastAsia" w:ascii="BatangChe" w:hAnsi="BatangChe" w:eastAsia="仿宋_GB2312" w:cs="仿宋_GB2312"/>
          <w:b/>
          <w:bCs/>
          <w:kern w:val="2"/>
          <w:sz w:val="32"/>
          <w:szCs w:val="32"/>
          <w:lang w:val="en-US" w:eastAsia="zh-CN" w:bidi="ar-SA"/>
        </w:rPr>
        <w:t>四是</w:t>
      </w:r>
      <w:r>
        <w:rPr>
          <w:rFonts w:hint="eastAsia" w:ascii="BatangChe" w:hAnsi="BatangChe" w:eastAsia="仿宋_GB2312" w:cs="仿宋_GB2312"/>
          <w:kern w:val="2"/>
          <w:sz w:val="32"/>
          <w:szCs w:val="32"/>
          <w:lang w:val="en-US" w:eastAsia="zh-CN" w:bidi="ar-SA"/>
        </w:rPr>
        <w:t>扎实开展信用风险和网络监管工作。做好企业年报公示工作，企业年报公示率98.68%。全年出动执法人员1750人次开展无证无照专项整治行动。检查经营户4165户，引导办理营业执照12户，立案查处无照无证经营行为案件14宗，结案14宗，罚没16.2891万元。开展农贸市场疫情防控专项整治行动，检查活禽经营市场数1392个次，活禽经营者数4335个次，清洁消毒市场2670个次。</w:t>
      </w:r>
      <w:r>
        <w:rPr>
          <w:rFonts w:hint="eastAsia" w:ascii="BatangChe" w:hAnsi="BatangChe" w:eastAsia="仿宋_GB2312" w:cs="仿宋_GB2312"/>
          <w:b/>
          <w:bCs/>
          <w:kern w:val="2"/>
          <w:sz w:val="32"/>
          <w:szCs w:val="32"/>
          <w:lang w:val="en-US" w:eastAsia="zh-CN" w:bidi="ar-SA"/>
        </w:rPr>
        <w:t>五是</w:t>
      </w:r>
      <w:r>
        <w:rPr>
          <w:rFonts w:hint="eastAsia" w:ascii="BatangChe" w:hAnsi="BatangChe" w:eastAsia="仿宋_GB2312" w:cs="仿宋_GB2312"/>
          <w:kern w:val="2"/>
          <w:sz w:val="32"/>
          <w:szCs w:val="32"/>
          <w:lang w:val="en-US" w:eastAsia="zh-CN" w:bidi="ar-SA"/>
        </w:rPr>
        <w:t>做好质量与标准化监管工作。开展眼镜、集贸市场电子计价秤、加油机计量及油品质量等民生计量专项整治工作，检查眼镜店12家次，检查相关计量器具18台（套），检查电子计价秤使用单位36家，电子计价秤96台，检查加油站15家，2家油站获得三级计量体系认证。</w:t>
      </w:r>
      <w:r>
        <w:rPr>
          <w:rFonts w:hint="eastAsia" w:ascii="BatangChe" w:hAnsi="BatangChe" w:eastAsia="仿宋_GB2312" w:cs="仿宋_GB2312"/>
          <w:b/>
          <w:bCs/>
          <w:kern w:val="2"/>
          <w:sz w:val="32"/>
          <w:szCs w:val="32"/>
          <w:lang w:val="en-US" w:eastAsia="zh-CN" w:bidi="ar-SA"/>
        </w:rPr>
        <w:t>六是</w:t>
      </w:r>
      <w:r>
        <w:rPr>
          <w:rFonts w:hint="eastAsia" w:ascii="BatangChe" w:hAnsi="BatangChe" w:eastAsia="仿宋_GB2312" w:cs="仿宋_GB2312"/>
          <w:kern w:val="2"/>
          <w:sz w:val="32"/>
          <w:szCs w:val="32"/>
          <w:lang w:val="en-US" w:eastAsia="zh-CN" w:bidi="ar-SA"/>
        </w:rPr>
        <w:t>开展特种设备监管工作。2021年共出动安全监察人员804人次，检查特种设备使用单位221家次，填写《特种设备现场安全监督检查记录》221份。检查特种设备311台/套，下达指令书26份，排查整治一般隐患181台套，严重隐患39台套，已完成整改209台套，2021年全年未发生特种设备安全事故。</w:t>
      </w:r>
      <w:r>
        <w:rPr>
          <w:rFonts w:hint="eastAsia" w:ascii="BatangChe" w:hAnsi="BatangChe" w:eastAsia="仿宋_GB2312" w:cs="仿宋_GB2312"/>
          <w:b/>
          <w:bCs/>
          <w:kern w:val="2"/>
          <w:sz w:val="32"/>
          <w:szCs w:val="32"/>
          <w:lang w:val="en-US" w:eastAsia="zh-CN" w:bidi="ar-SA"/>
        </w:rPr>
        <w:t>七是</w:t>
      </w:r>
      <w:r>
        <w:rPr>
          <w:rFonts w:hint="eastAsia" w:ascii="BatangChe" w:hAnsi="BatangChe" w:eastAsia="仿宋_GB2312" w:cs="仿宋_GB2312"/>
          <w:kern w:val="2"/>
          <w:sz w:val="32"/>
          <w:szCs w:val="32"/>
          <w:lang w:val="en-US" w:eastAsia="zh-CN" w:bidi="ar-SA"/>
        </w:rPr>
        <w:t>做好广告和知识产权监管工作。协助办理商标注册申请29件，始兴商标有效注册量已达2502件,完成地理标志证明商标申请3件,新增贯标认证1家，完成知识产权质押融资12000万元。今年以来协助处理商标侵权案件2宗，罚款6万元，广告案件4宗，罚款2.94万元。</w:t>
      </w:r>
      <w:r>
        <w:rPr>
          <w:rFonts w:hint="eastAsia" w:ascii="BatangChe" w:hAnsi="BatangChe" w:eastAsia="仿宋_GB2312" w:cs="仿宋_GB2312"/>
          <w:b/>
          <w:bCs/>
          <w:kern w:val="2"/>
          <w:sz w:val="32"/>
          <w:szCs w:val="32"/>
          <w:lang w:val="en-US" w:eastAsia="zh-CN" w:bidi="ar-SA"/>
        </w:rPr>
        <w:t>八是</w:t>
      </w:r>
      <w:r>
        <w:rPr>
          <w:rFonts w:hint="eastAsia" w:ascii="BatangChe" w:hAnsi="BatangChe" w:eastAsia="仿宋_GB2312" w:cs="仿宋_GB2312"/>
          <w:kern w:val="2"/>
          <w:sz w:val="32"/>
          <w:szCs w:val="32"/>
          <w:lang w:val="en-US" w:eastAsia="zh-CN" w:bidi="ar-SA"/>
        </w:rPr>
        <w:t>做好价格和反不正当竞争工作。2021年共出动执法人员67人次，检查收费主体21家次，行业协会3家，水电气暖公用事业等主体12家次，中介机构11家次，转供电主体7家次，立案查处转供电领域价格违法行为2宗，罚没金额70万元。做好疫情防控及节假日期间价格监管工作，全年共出动执法人员216人次，检查市场主体358个次，与其他部门联合检查9次，处理各类价格投诉30宗。</w:t>
      </w:r>
      <w:r>
        <w:rPr>
          <w:rFonts w:hint="eastAsia" w:ascii="BatangChe" w:hAnsi="BatangChe" w:eastAsia="仿宋_GB2312" w:cs="仿宋_GB2312"/>
          <w:b/>
          <w:bCs/>
          <w:kern w:val="2"/>
          <w:sz w:val="32"/>
          <w:szCs w:val="32"/>
          <w:lang w:val="en-US" w:eastAsia="zh-CN" w:bidi="ar-SA"/>
        </w:rPr>
        <w:t>九是</w:t>
      </w:r>
      <w:r>
        <w:rPr>
          <w:rFonts w:hint="eastAsia" w:ascii="BatangChe" w:hAnsi="BatangChe" w:eastAsia="仿宋_GB2312" w:cs="仿宋_GB2312"/>
          <w:kern w:val="2"/>
          <w:sz w:val="32"/>
          <w:szCs w:val="32"/>
          <w:lang w:val="en-US" w:eastAsia="zh-CN" w:bidi="ar-SA"/>
        </w:rPr>
        <w:t>积极开展消费维权活动。组织开展3.15活动。发放法律法规宣传小册31000余份，活动当天对过期食品、药品、化妆品、医疗器械、工业产品及商标侵权等相关物品现场销毁活动，货值共51.9123万元。今年以来，通过12345、12315平台转办投诉案件、来电来访344宗，成功调解174件，引导消费者通过司法途径解决170宗，案件办结率100%，为消费者挽回损失4.94万元，获赠“维权卫士，高效服务”等锦旗四面。</w:t>
      </w:r>
      <w:r>
        <w:rPr>
          <w:rFonts w:hint="eastAsia" w:ascii="BatangChe" w:hAnsi="BatangChe" w:eastAsia="仿宋_GB2312" w:cs="仿宋_GB2312"/>
          <w:b/>
          <w:bCs/>
          <w:kern w:val="2"/>
          <w:sz w:val="32"/>
          <w:szCs w:val="32"/>
          <w:lang w:val="en-US" w:eastAsia="zh-CN" w:bidi="ar-SA"/>
        </w:rPr>
        <w:t>十是</w:t>
      </w:r>
      <w:r>
        <w:rPr>
          <w:rFonts w:hint="eastAsia" w:ascii="BatangChe" w:hAnsi="BatangChe" w:eastAsia="仿宋_GB2312" w:cs="仿宋_GB2312"/>
          <w:kern w:val="2"/>
          <w:sz w:val="32"/>
          <w:szCs w:val="32"/>
          <w:lang w:val="en-US" w:eastAsia="zh-CN" w:bidi="ar-SA"/>
        </w:rPr>
        <w:t>做好行政执法工作。2021年，全年立案203宗，其中食品案件91宗，药械化案件30宗，商标侵权案件2宗；罚没款 240.09876万元。去年立案132宗，立案数量同比增长53.78%。</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实施效果情况。市场准入审批大幅减少。2016年9月3日，第十二届全国人民代表大会常务委员会第二十二次会议通过了《修改〈中华人民共和国外资企业法〉等四部法律的决定》（中华人民共和国主席令第51号），对《中华人民共和国中外合资经营企业法》《中华人民共和国中外合作经营企业法》《中华人民共和国外资企业法》以及《中华人民共和国台湾同胞投资保护法》相关行政审批条款进行修改，将不涉及国家规定实施准入特别管理措施的外商投资企业的设立和变更，由审批改为备案管理。据此，工商总局对《工商总局关于严格落实先照后证改革严格执行工商登记前置审批事项的通知》（工商企注字〔2015〕65号）附件《工商登记前置审批事项目录》和《企业变更登记、注销登记前置审批指导目录》再次进行了调整。在“先照后证”改革带动下，工商部门加快涉及市场准入的行政审批事项“减、放、转、优”，实现市场主体“法无禁止即可为”。对于企业登记注册向社会公开承诺，对于申请材料齐全，符合法定形式的，马上办理，当场办结。申请人在网上提交的登记材料通过后，只需“跑一次”登记窗口，即可办理并领取营业执照，大大缩短了办理时间，有效提高了工作效率，得到行政相对人的充分认可和肯定。截至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年12月31日，我县累计发展内资企业</w:t>
      </w:r>
      <w:r>
        <w:rPr>
          <w:rFonts w:hint="eastAsia" w:ascii="仿宋_GB2312" w:hAnsi="仿宋_GB2312" w:eastAsia="仿宋_GB2312" w:cs="仿宋_GB2312"/>
          <w:color w:val="000000"/>
          <w:kern w:val="0"/>
          <w:sz w:val="32"/>
          <w:szCs w:val="32"/>
          <w:lang w:val="en-US" w:eastAsia="zh-CN"/>
        </w:rPr>
        <w:t>2241</w:t>
      </w:r>
      <w:r>
        <w:rPr>
          <w:rFonts w:hint="eastAsia" w:ascii="仿宋_GB2312" w:hAnsi="仿宋_GB2312" w:eastAsia="仿宋_GB2312" w:cs="仿宋_GB2312"/>
          <w:color w:val="000000"/>
          <w:kern w:val="0"/>
          <w:sz w:val="32"/>
          <w:szCs w:val="32"/>
        </w:rPr>
        <w:t>户，个体工商户</w:t>
      </w:r>
      <w:r>
        <w:rPr>
          <w:rFonts w:hint="eastAsia" w:ascii="仿宋_GB2312" w:hAnsi="仿宋_GB2312" w:eastAsia="仿宋_GB2312" w:cs="仿宋_GB2312"/>
          <w:color w:val="000000"/>
          <w:kern w:val="0"/>
          <w:sz w:val="32"/>
          <w:szCs w:val="32"/>
          <w:lang w:val="en-US" w:eastAsia="zh-CN"/>
        </w:rPr>
        <w:t>10731</w:t>
      </w:r>
      <w:r>
        <w:rPr>
          <w:rFonts w:hint="eastAsia" w:ascii="仿宋_GB2312" w:hAnsi="仿宋_GB2312" w:eastAsia="仿宋_GB2312" w:cs="仿宋_GB2312"/>
          <w:color w:val="000000"/>
          <w:kern w:val="0"/>
          <w:sz w:val="32"/>
          <w:szCs w:val="32"/>
        </w:rPr>
        <w:t>户，农民专业合作社</w:t>
      </w:r>
      <w:r>
        <w:rPr>
          <w:rFonts w:hint="eastAsia" w:ascii="仿宋_GB2312" w:hAnsi="仿宋_GB2312" w:eastAsia="仿宋_GB2312" w:cs="仿宋_GB2312"/>
          <w:color w:val="000000"/>
          <w:kern w:val="0"/>
          <w:sz w:val="32"/>
          <w:szCs w:val="32"/>
          <w:lang w:val="en-US" w:eastAsia="zh-CN"/>
        </w:rPr>
        <w:t>340</w:t>
      </w:r>
      <w:r>
        <w:rPr>
          <w:rFonts w:hint="eastAsia" w:ascii="仿宋_GB2312" w:hAnsi="仿宋_GB2312" w:eastAsia="仿宋_GB2312" w:cs="仿宋_GB2312"/>
          <w:color w:val="000000"/>
          <w:kern w:val="0"/>
          <w:sz w:val="32"/>
          <w:szCs w:val="32"/>
        </w:rPr>
        <w:t>户。</w:t>
      </w:r>
    </w:p>
    <w:p>
      <w:pPr>
        <w:widowControl/>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二、工作亮点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eastAsia="zh-CN"/>
        </w:rPr>
        <w:t>，我单位对新设立企业提供两枚印章（公章和财务章）免费刻章服务</w:t>
      </w:r>
      <w:r>
        <w:rPr>
          <w:rFonts w:hint="eastAsia" w:ascii="仿宋_GB2312" w:hAnsi="仿宋_GB2312" w:eastAsia="仿宋_GB2312" w:cs="仿宋_GB2312"/>
          <w:color w:val="000000"/>
          <w:kern w:val="0"/>
          <w:sz w:val="32"/>
          <w:szCs w:val="32"/>
        </w:rPr>
        <w:t>。</w:t>
      </w:r>
    </w:p>
    <w:p>
      <w:pPr>
        <w:widowControl/>
        <w:numPr>
          <w:ilvl w:val="0"/>
          <w:numId w:val="1"/>
        </w:num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存在问题和困难</w:t>
      </w:r>
      <w:r>
        <w:rPr>
          <w:rFonts w:ascii="仿宋_GB2312" w:hAnsi="仿宋_GB2312" w:eastAsia="仿宋_GB2312" w:cs="仿宋_GB2312"/>
          <w:color w:val="000000"/>
          <w:kern w:val="0"/>
          <w:sz w:val="32"/>
          <w:szCs w:val="32"/>
        </w:rPr>
        <w:t xml:space="preserve"> </w:t>
      </w:r>
      <w:bookmarkStart w:id="0" w:name="_GoBack"/>
      <w:bookmarkEnd w:id="0"/>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企业电子营业执照推广应用存在困难。电子营业执照已经可以核发，但因功能单一、社会认可度低、使用不够方便，应引导、拓展其在电子商务、电子政务领域方面的应用。</w:t>
      </w:r>
      <w:r>
        <w:rPr>
          <w:rFonts w:ascii="仿宋_GB2312" w:hAnsi="仿宋_GB2312" w:eastAsia="仿宋_GB2312" w:cs="仿宋_GB2312"/>
          <w:color w:val="000000"/>
          <w:kern w:val="0"/>
          <w:sz w:val="32"/>
          <w:szCs w:val="32"/>
        </w:rPr>
        <w:t xml:space="preserve"> </w:t>
      </w:r>
    </w:p>
    <w:p>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kern w:val="0"/>
          <w:sz w:val="32"/>
          <w:szCs w:val="32"/>
        </w:rPr>
        <w:t>四、下一步工作措施及有关建议</w:t>
      </w:r>
      <w:r>
        <w:rPr>
          <w:rFonts w:ascii="仿宋_GB2312" w:hAnsi="仿宋_GB2312" w:eastAsia="仿宋_GB2312" w:cs="仿宋_GB2312"/>
          <w:color w:val="000000"/>
          <w:kern w:val="0"/>
          <w:sz w:val="32"/>
          <w:szCs w:val="32"/>
        </w:rPr>
        <w:t xml:space="preserve"> </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各部门要加大对电子证照的互通互认，相关的法律法规要及时修订。</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right="640"/>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始兴县市场监督管理局</w:t>
      </w:r>
    </w:p>
    <w:p>
      <w:pPr>
        <w:widowControl/>
        <w:spacing w:line="560" w:lineRule="exact"/>
        <w:ind w:right="840" w:rightChars="400"/>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                         </w:t>
      </w:r>
      <w:r>
        <w:rPr>
          <w:rFonts w:ascii="仿宋_GB2312" w:hAnsi="仿宋_GB2312" w:eastAsia="仿宋_GB2312" w:cs="仿宋_GB2312"/>
          <w:color w:val="000000"/>
          <w:kern w:val="0"/>
          <w:sz w:val="32"/>
          <w:szCs w:val="32"/>
        </w:rPr>
        <w:t>2022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4</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C97F1"/>
    <w:multiLevelType w:val="singleLevel"/>
    <w:tmpl w:val="AFBC97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BA546B0"/>
    <w:rsid w:val="00373D7E"/>
    <w:rsid w:val="007430D8"/>
    <w:rsid w:val="00DC0BE7"/>
    <w:rsid w:val="00E64196"/>
    <w:rsid w:val="00FE084E"/>
    <w:rsid w:val="054322B5"/>
    <w:rsid w:val="0BA546B0"/>
    <w:rsid w:val="1E887EB1"/>
    <w:rsid w:val="39BE4B1B"/>
    <w:rsid w:val="58EC4915"/>
    <w:rsid w:val="5B9B2B82"/>
    <w:rsid w:val="5EF76146"/>
    <w:rsid w:val="73F5525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locked/>
    <w:uiPriority w:val="0"/>
    <w:pPr>
      <w:keepNext/>
      <w:keepLines/>
      <w:spacing w:before="40" w:after="0"/>
      <w:outlineLvl w:val="2"/>
    </w:pPr>
    <w:rPr>
      <w:rFonts w:ascii="Calibri Light" w:hAnsi="Calibri Light" w:eastAsia="宋体" w:cs="Times New Roman"/>
      <w:color w:val="1F4E79"/>
      <w:sz w:val="24"/>
      <w:szCs w:val="24"/>
      <w:lang w:eastAsia="en-US"/>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uiPriority w:val="99"/>
    <w:pPr>
      <w:spacing w:line="320" w:lineRule="exact"/>
      <w:jc w:val="center"/>
    </w:pPr>
    <w:rPr>
      <w:rFonts w:hint="eastAsia"/>
      <w:szCs w:val="24"/>
    </w:rPr>
  </w:style>
  <w:style w:type="paragraph" w:styleId="4">
    <w:name w:val="footer"/>
    <w:basedOn w:val="1"/>
    <w:link w:val="8"/>
    <w:qFormat/>
    <w:uiPriority w:val="99"/>
    <w:pPr>
      <w:tabs>
        <w:tab w:val="center" w:pos="4153"/>
        <w:tab w:val="right" w:pos="8306"/>
      </w:tabs>
      <w:snapToGrid w:val="0"/>
      <w:jc w:val="left"/>
    </w:pPr>
    <w:rPr>
      <w:sz w:val="18"/>
    </w:rPr>
  </w:style>
  <w:style w:type="paragraph" w:styleId="5">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Footer Char"/>
    <w:basedOn w:val="6"/>
    <w:link w:val="4"/>
    <w:semiHidden/>
    <w:qFormat/>
    <w:uiPriority w:val="99"/>
    <w:rPr>
      <w:rFonts w:ascii="Calibri" w:hAnsi="Calibri"/>
      <w:sz w:val="18"/>
      <w:szCs w:val="18"/>
    </w:rPr>
  </w:style>
  <w:style w:type="character" w:customStyle="1" w:styleId="9">
    <w:name w:val="Header Char"/>
    <w:basedOn w:val="6"/>
    <w:link w:val="5"/>
    <w:semiHidden/>
    <w:qFormat/>
    <w:uiPriority w:val="99"/>
    <w:rPr>
      <w:rFonts w:ascii="Calibri" w:hAnsi="Calibri"/>
      <w:sz w:val="18"/>
      <w:szCs w:val="18"/>
    </w:rPr>
  </w:style>
  <w:style w:type="paragraph" w:customStyle="1" w:styleId="10">
    <w:name w:val="正文 New"/>
    <w:uiPriority w:val="0"/>
    <w:pPr>
      <w:widowControl w:val="0"/>
      <w:jc w:val="both"/>
    </w:pPr>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133</Words>
  <Characters>759</Characters>
  <Lines>0</Lines>
  <Paragraphs>0</Paragraphs>
  <TotalTime>5</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2022-04-19T00:43:00Z</dcterms:created>
  <dc:creator>北山老虎</dc:creator>
  <cp:lastModifiedBy>LENOVO</cp:lastModifiedBy>
  <dcterms:modified xsi:type="dcterms:W3CDTF">2022-04-25T03:08:22Z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