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hint="eastAsia" w:eastAsia="黑体"/>
          <w:sz w:val="44"/>
          <w:szCs w:val="32"/>
        </w:rPr>
      </w:pPr>
      <w:bookmarkStart w:id="2740" w:name="_GoBack"/>
      <w:bookmarkEnd w:id="2740"/>
    </w:p>
    <w:p>
      <w:pPr>
        <w:rPr>
          <w:rFonts w:hint="eastAsia" w:eastAsia="黑体"/>
          <w:sz w:val="44"/>
          <w:szCs w:val="32"/>
        </w:rPr>
      </w:pPr>
    </w:p>
    <w:p>
      <w:pPr>
        <w:rPr>
          <w:rFonts w:hint="eastAsia" w:eastAsia="黑体"/>
          <w:sz w:val="44"/>
          <w:szCs w:val="32"/>
        </w:rPr>
      </w:pPr>
    </w:p>
    <w:p>
      <w:pPr>
        <w:rPr>
          <w:rFonts w:hint="eastAsia" w:eastAsia="黑体"/>
          <w:sz w:val="44"/>
          <w:szCs w:val="32"/>
        </w:rPr>
      </w:pPr>
    </w:p>
    <w:p>
      <w:pPr>
        <w:rPr>
          <w:rFonts w:hint="eastAsia" w:eastAsia="黑体"/>
          <w:sz w:val="44"/>
          <w:szCs w:val="32"/>
        </w:rPr>
      </w:pPr>
    </w:p>
    <w:p>
      <w:pPr>
        <w:spacing w:line="800" w:lineRule="exact"/>
        <w:jc w:val="center"/>
        <w:rPr>
          <w:rFonts w:hint="eastAsia" w:ascii="方正小标宋_GBK" w:eastAsia="方正小标宋_GBK"/>
          <w:color w:val="000000"/>
          <w:sz w:val="44"/>
          <w:szCs w:val="44"/>
        </w:rPr>
      </w:pPr>
    </w:p>
    <w:p>
      <w:pPr>
        <w:jc w:val="center"/>
        <w:rPr>
          <w:rFonts w:hint="eastAsia" w:ascii="仿宋_GB2312" w:eastAsia="仿宋_GB2312"/>
          <w:color w:val="000000"/>
          <w:sz w:val="32"/>
          <w:szCs w:val="32"/>
          <w:lang w:eastAsia="zh-CN"/>
        </w:rPr>
      </w:pPr>
      <w:r>
        <w:rPr>
          <w:rFonts w:hint="eastAsia" w:ascii="仿宋_GB2312"/>
          <w:color w:val="000000"/>
          <w:sz w:val="32"/>
          <w:szCs w:val="32"/>
          <w:lang w:val="en-US" w:eastAsia="zh-CN"/>
        </w:rPr>
        <w:t>韶府办〔2022〕1号</w:t>
      </w:r>
    </w:p>
    <w:p>
      <w:pPr>
        <w:spacing w:line="560" w:lineRule="exact"/>
        <w:jc w:val="center"/>
        <w:rPr>
          <w:rFonts w:hint="eastAsia" w:ascii="方正小标宋_GBK" w:eastAsia="方正小标宋_GBK"/>
          <w:color w:val="000000"/>
          <w:sz w:val="44"/>
          <w:szCs w:val="44"/>
        </w:rPr>
      </w:pPr>
    </w:p>
    <w:p>
      <w:pPr>
        <w:snapToGrid w:val="0"/>
        <w:spacing w:line="600" w:lineRule="exact"/>
        <w:rPr>
          <w:rFonts w:hint="eastAsia"/>
          <w:spacing w:val="-6"/>
        </w:rPr>
      </w:pPr>
    </w:p>
    <w:p>
      <w:pPr>
        <w:snapToGrid w:val="0"/>
        <w:spacing w:line="600" w:lineRule="exact"/>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eastAsia="方正小标宋简体"/>
          <w:sz w:val="44"/>
        </w:rPr>
        <w:t>韶关市人民政府办公室关于</w:t>
      </w:r>
      <w:r>
        <w:rPr>
          <w:rFonts w:hint="eastAsia" w:ascii="方正小标宋简体" w:hAnsi="方正小标宋简体" w:eastAsia="方正小标宋简体" w:cs="方正小标宋简体"/>
          <w:sz w:val="44"/>
          <w:szCs w:val="44"/>
          <w:highlight w:val="none"/>
          <w:lang w:val="en-US" w:eastAsia="zh-CN"/>
        </w:rPr>
        <w:t>印发韶关市</w:t>
      </w:r>
    </w:p>
    <w:p>
      <w:pPr>
        <w:snapToGrid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highlight w:val="none"/>
          <w:lang w:val="en-US" w:eastAsia="zh-CN"/>
        </w:rPr>
        <w:t>生态环境保护“十四五”规划的通知</w:t>
      </w:r>
    </w:p>
    <w:p>
      <w:pPr>
        <w:snapToGrid w:val="0"/>
        <w:spacing w:line="800" w:lineRule="exact"/>
        <w:rPr>
          <w:rFonts w:hint="eastAsia"/>
        </w:rPr>
      </w:pPr>
    </w:p>
    <w:p>
      <w:pPr>
        <w:widowControl w:val="0"/>
        <w:wordWrap/>
        <w:adjustRightInd/>
        <w:spacing w:line="560" w:lineRule="exact"/>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各县（市、区）人民政府，市政府各部门、各直属机构，</w:t>
      </w:r>
      <w:r>
        <w:rPr>
          <w:rFonts w:hint="eastAsia" w:ascii="楷体_GB2312" w:hAnsi="楷体_GB2312" w:eastAsia="楷体_GB2312" w:cs="楷体_GB2312"/>
          <w:sz w:val="32"/>
          <w:szCs w:val="32"/>
        </w:rPr>
        <w:t>中省驻韶</w:t>
      </w:r>
      <w:r>
        <w:rPr>
          <w:rFonts w:hint="eastAsia" w:ascii="楷体_GB2312" w:hAnsi="楷体_GB2312" w:eastAsia="楷体_GB2312" w:cs="楷体_GB2312"/>
          <w:sz w:val="32"/>
          <w:szCs w:val="32"/>
          <w:lang w:eastAsia="zh-CN"/>
        </w:rPr>
        <w:t>各</w:t>
      </w:r>
      <w:r>
        <w:rPr>
          <w:rFonts w:hint="eastAsia" w:ascii="楷体_GB2312" w:hAnsi="楷体_GB2312" w:eastAsia="楷体_GB2312" w:cs="楷体_GB2312"/>
          <w:sz w:val="32"/>
          <w:szCs w:val="32"/>
        </w:rPr>
        <w:t>单位：</w:t>
      </w:r>
    </w:p>
    <w:p>
      <w:pPr>
        <w:widowControl w:val="0"/>
        <w:wordWrap/>
        <w:adjustRightInd/>
        <w:snapToGrid/>
        <w:spacing w:before="0" w:after="0" w:line="560" w:lineRule="exact"/>
        <w:ind w:left="0" w:leftChars="0" w:right="0" w:firstLine="640" w:firstLineChars="200"/>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经市人民政府同意，现将《韶关市生态环境保护“十四五”规划》印发给你们，请认真组织实施。实施过程中遇到的问题，请径向市生态环境局反映。</w:t>
      </w:r>
    </w:p>
    <w:p>
      <w:pPr>
        <w:spacing w:line="600" w:lineRule="exact"/>
        <w:rPr>
          <w:rFonts w:hint="eastAsia" w:ascii="楷体_GB2312" w:hAnsi="楷体_GB2312" w:eastAsia="楷体_GB2312" w:cs="楷体_GB2312"/>
          <w:sz w:val="32"/>
          <w:szCs w:val="32"/>
        </w:rPr>
      </w:pPr>
    </w:p>
    <w:p>
      <w:pPr>
        <w:spacing w:line="600" w:lineRule="exact"/>
        <w:rPr>
          <w:rFonts w:hint="eastAsia" w:ascii="楷体_GB2312" w:hAnsi="楷体_GB2312" w:eastAsia="楷体_GB2312" w:cs="楷体_GB2312"/>
        </w:rPr>
      </w:pPr>
      <w:r>
        <w:rPr>
          <w:rFonts w:hint="eastAsia" w:ascii="楷体_GB2312" w:hAnsi="楷体_GB2312" w:eastAsia="楷体_GB2312" w:cs="楷体_GB2312"/>
          <w:szCs w:val="44"/>
        </w:rPr>
        <w:t xml:space="preserve">  </w:t>
      </w:r>
    </w:p>
    <w:p>
      <w:pPr>
        <w:snapToGrid w:val="0"/>
        <w:spacing w:line="600" w:lineRule="exact"/>
        <w:ind w:right="590"/>
        <w:jc w:val="right"/>
        <w:rPr>
          <w:rFonts w:hint="eastAsia" w:ascii="楷体_GB2312" w:hAnsi="楷体_GB2312" w:eastAsia="楷体_GB2312" w:cs="楷体_GB2312"/>
        </w:rPr>
      </w:pPr>
      <w:r>
        <w:rPr>
          <w:rFonts w:hint="eastAsia" w:ascii="楷体_GB2312" w:hAnsi="楷体_GB2312" w:eastAsia="楷体_GB2312" w:cs="楷体_GB2312"/>
        </w:rPr>
        <w:t>韶关市人民政府办公室</w:t>
      </w:r>
    </w:p>
    <w:p>
      <w:pPr>
        <w:snapToGrid w:val="0"/>
        <w:spacing w:line="600" w:lineRule="exact"/>
        <w:ind w:right="1189"/>
        <w:jc w:val="right"/>
        <w:rPr>
          <w:rFonts w:hint="eastAsia" w:ascii="楷体_GB2312" w:hAnsi="楷体_GB2312" w:eastAsia="楷体_GB2312" w:cs="楷体_GB2312"/>
        </w:rPr>
      </w:pPr>
      <w:r>
        <w:rPr>
          <w:rFonts w:hint="eastAsia" w:ascii="楷体_GB2312" w:hAnsi="楷体_GB2312" w:eastAsia="楷体_GB2312" w:cs="楷体_GB2312"/>
        </w:rPr>
        <w:t>202</w:t>
      </w:r>
      <w:r>
        <w:rPr>
          <w:rFonts w:hint="eastAsia" w:ascii="楷体_GB2312" w:hAnsi="楷体_GB2312" w:eastAsia="楷体_GB2312" w:cs="楷体_GB2312"/>
          <w:lang w:val="en-US" w:eastAsia="zh-CN"/>
        </w:rPr>
        <w:t>2</w:t>
      </w:r>
      <w:r>
        <w:rPr>
          <w:rFonts w:hint="eastAsia" w:ascii="楷体_GB2312" w:hAnsi="楷体_GB2312" w:eastAsia="楷体_GB2312" w:cs="楷体_GB2312"/>
        </w:rPr>
        <w:t>年</w:t>
      </w:r>
      <w:r>
        <w:rPr>
          <w:rFonts w:hint="eastAsia" w:ascii="楷体_GB2312" w:hAnsi="楷体_GB2312" w:eastAsia="楷体_GB2312" w:cs="楷体_GB2312"/>
          <w:lang w:val="en-US" w:eastAsia="zh-CN"/>
        </w:rPr>
        <w:t>3</w:t>
      </w:r>
      <w:r>
        <w:rPr>
          <w:rFonts w:hint="eastAsia" w:ascii="楷体_GB2312" w:hAnsi="楷体_GB2312" w:eastAsia="楷体_GB2312" w:cs="楷体_GB2312"/>
        </w:rPr>
        <w:t>月</w:t>
      </w:r>
      <w:r>
        <w:rPr>
          <w:rFonts w:hint="eastAsia" w:ascii="楷体_GB2312" w:hAnsi="楷体_GB2312" w:eastAsia="楷体_GB2312" w:cs="楷体_GB2312"/>
          <w:lang w:val="en-US" w:eastAsia="zh-CN"/>
        </w:rPr>
        <w:t>2</w:t>
      </w:r>
      <w:r>
        <w:rPr>
          <w:rFonts w:hint="eastAsia" w:ascii="楷体_GB2312" w:hAnsi="楷体_GB2312" w:eastAsia="楷体_GB2312" w:cs="楷体_GB2312"/>
        </w:rPr>
        <w:t>日</w:t>
      </w:r>
    </w:p>
    <w:p>
      <w:pPr>
        <w:pStyle w:val="2"/>
        <w:rPr>
          <w:rFonts w:hint="eastAsia" w:ascii="仿宋_GB2312"/>
        </w:rPr>
      </w:pPr>
    </w:p>
    <w:p>
      <w:pPr>
        <w:spacing w:line="0" w:lineRule="atLeast"/>
        <w:ind w:right="27"/>
        <w:rPr>
          <w:rFonts w:hint="eastAsia" w:eastAsia="黑体"/>
        </w:rPr>
      </w:pPr>
    </w:p>
    <w:p>
      <w:pPr>
        <w:pStyle w:val="2"/>
        <w:rPr>
          <w:rFonts w:hint="eastAsia" w:eastAsia="黑体"/>
        </w:rPr>
      </w:pPr>
    </w:p>
    <w:p>
      <w:pPr>
        <w:pStyle w:val="2"/>
        <w:rPr>
          <w:rFonts w:hint="eastAsia" w:eastAsia="黑体"/>
        </w:rPr>
      </w:pPr>
    </w:p>
    <w:p>
      <w:pPr>
        <w:pStyle w:val="2"/>
        <w:rPr>
          <w:rFonts w:hint="eastAsia" w:eastAsia="黑体"/>
        </w:rPr>
      </w:pPr>
    </w:p>
    <w:p>
      <w:pPr>
        <w:ind w:firstLine="0" w:firstLineChars="0"/>
        <w:jc w:val="center"/>
        <w:rPr>
          <w:rFonts w:hint="eastAsia" w:ascii="方正小标宋简体" w:hAnsi="方正小标宋简体" w:eastAsia="方正小标宋简体" w:cs="方正小标宋简体"/>
          <w:color w:val="auto"/>
          <w:sz w:val="52"/>
          <w:szCs w:val="52"/>
        </w:rPr>
      </w:pPr>
    </w:p>
    <w:p>
      <w:pPr>
        <w:pStyle w:val="2"/>
        <w:rPr>
          <w:rFonts w:hint="eastAsia"/>
        </w:rPr>
      </w:pPr>
    </w:p>
    <w:p>
      <w:pPr>
        <w:ind w:firstLine="0" w:firstLineChars="0"/>
        <w:jc w:val="center"/>
        <w:rPr>
          <w:rFonts w:hint="eastAsia" w:ascii="方正小标宋简体" w:hAnsi="方正小标宋简体" w:eastAsia="方正小标宋简体" w:cs="方正小标宋简体"/>
          <w:color w:val="auto"/>
          <w:sz w:val="52"/>
          <w:szCs w:val="52"/>
        </w:rPr>
      </w:pPr>
    </w:p>
    <w:p>
      <w:pPr>
        <w:pStyle w:val="2"/>
        <w:rPr>
          <w:rFonts w:hint="eastAsia" w:ascii="方正小标宋简体" w:hAnsi="方正小标宋简体" w:eastAsia="方正小标宋简体" w:cs="方正小标宋简体"/>
          <w:color w:val="auto"/>
          <w:sz w:val="52"/>
          <w:szCs w:val="52"/>
        </w:rPr>
      </w:pPr>
    </w:p>
    <w:p>
      <w:pPr>
        <w:pStyle w:val="2"/>
        <w:rPr>
          <w:rFonts w:hint="eastAsia" w:ascii="方正小标宋简体" w:hAnsi="方正小标宋简体" w:eastAsia="方正小标宋简体" w:cs="方正小标宋简体"/>
          <w:color w:val="auto"/>
          <w:sz w:val="52"/>
          <w:szCs w:val="52"/>
        </w:rPr>
      </w:pPr>
    </w:p>
    <w:p>
      <w:pPr>
        <w:ind w:firstLine="0" w:firstLineChars="0"/>
        <w:jc w:val="center"/>
        <w:rPr>
          <w:rFonts w:hint="eastAsia" w:ascii="方正小标宋简体" w:hAnsi="方正小标宋简体" w:eastAsia="方正小标宋简体" w:cs="方正小标宋简体"/>
          <w:color w:val="auto"/>
          <w:sz w:val="44"/>
          <w:szCs w:val="44"/>
        </w:rPr>
      </w:pPr>
    </w:p>
    <w:p>
      <w:pPr>
        <w:ind w:firstLine="0" w:firstLineChars="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韶关市生态环境保护</w:t>
      </w:r>
      <w:r>
        <w:rPr>
          <w:rFonts w:hint="eastAsia" w:ascii="方正小标宋简体" w:hAnsi="方正小标宋简体" w:eastAsia="方正小标宋简体" w:cs="方正小标宋简体"/>
          <w:color w:val="auto"/>
          <w:sz w:val="44"/>
          <w:szCs w:val="44"/>
          <w:lang w:eastAsia="zh-CN"/>
        </w:rPr>
        <w:t>“</w:t>
      </w:r>
      <w:r>
        <w:rPr>
          <w:rFonts w:hint="eastAsia" w:ascii="方正小标宋简体" w:hAnsi="方正小标宋简体" w:eastAsia="方正小标宋简体" w:cs="方正小标宋简体"/>
          <w:color w:val="auto"/>
          <w:sz w:val="44"/>
          <w:szCs w:val="44"/>
        </w:rPr>
        <w:t>十四五</w:t>
      </w:r>
      <w:r>
        <w:rPr>
          <w:rFonts w:hint="eastAsia" w:ascii="方正小标宋简体" w:hAnsi="方正小标宋简体" w:eastAsia="方正小标宋简体" w:cs="方正小标宋简体"/>
          <w:color w:val="auto"/>
          <w:sz w:val="44"/>
          <w:szCs w:val="44"/>
          <w:lang w:eastAsia="zh-CN"/>
        </w:rPr>
        <w:t>”</w:t>
      </w:r>
      <w:r>
        <w:rPr>
          <w:rFonts w:hint="eastAsia" w:ascii="方正小标宋简体" w:hAnsi="方正小标宋简体" w:eastAsia="方正小标宋简体" w:cs="方正小标宋简体"/>
          <w:color w:val="auto"/>
          <w:sz w:val="44"/>
          <w:szCs w:val="44"/>
        </w:rPr>
        <w:t>规划</w:t>
      </w:r>
    </w:p>
    <w:p>
      <w:pPr>
        <w:spacing w:beforeLines="100"/>
        <w:ind w:firstLine="0" w:firstLineChars="0"/>
        <w:jc w:val="center"/>
        <w:rPr>
          <w:rFonts w:hint="eastAsia" w:ascii="楷体_GB2312" w:hAnsi="楷体_GB2312" w:eastAsia="楷体_GB2312" w:cs="楷体_GB2312"/>
          <w:color w:val="auto"/>
          <w:sz w:val="44"/>
          <w:szCs w:val="44"/>
          <w:lang w:val="en-US" w:eastAsia="zh-CN"/>
        </w:rPr>
      </w:pPr>
    </w:p>
    <w:p>
      <w:pPr>
        <w:adjustRightInd w:val="0"/>
        <w:snapToGrid w:val="0"/>
        <w:spacing w:line="360" w:lineRule="auto"/>
        <w:jc w:val="center"/>
        <w:rPr>
          <w:rFonts w:hint="default" w:ascii="Times New Roman" w:hAnsi="Times New Roman" w:eastAsia="仿宋_GB2312" w:cs="Times New Roman"/>
          <w:color w:val="auto"/>
          <w:sz w:val="32"/>
          <w:szCs w:val="32"/>
        </w:rPr>
      </w:pPr>
    </w:p>
    <w:p>
      <w:pPr>
        <w:adjustRightInd w:val="0"/>
        <w:snapToGrid w:val="0"/>
        <w:spacing w:line="360" w:lineRule="auto"/>
        <w:jc w:val="center"/>
        <w:rPr>
          <w:rFonts w:hint="default" w:ascii="Times New Roman" w:hAnsi="Times New Roman" w:eastAsia="仿宋_GB2312" w:cs="Times New Roman"/>
          <w:color w:val="auto"/>
          <w:sz w:val="32"/>
          <w:szCs w:val="32"/>
        </w:rPr>
      </w:pPr>
    </w:p>
    <w:p>
      <w:pPr>
        <w:adjustRightInd w:val="0"/>
        <w:snapToGrid w:val="0"/>
        <w:spacing w:line="360" w:lineRule="auto"/>
        <w:jc w:val="center"/>
        <w:rPr>
          <w:rFonts w:hint="default" w:ascii="Times New Roman" w:hAnsi="Times New Roman" w:eastAsia="仿宋_GB2312" w:cs="Times New Roman"/>
          <w:color w:val="auto"/>
          <w:sz w:val="32"/>
          <w:szCs w:val="32"/>
        </w:rPr>
      </w:pPr>
    </w:p>
    <w:p>
      <w:pPr>
        <w:adjustRightInd w:val="0"/>
        <w:snapToGrid w:val="0"/>
        <w:spacing w:line="360" w:lineRule="auto"/>
        <w:jc w:val="center"/>
        <w:rPr>
          <w:rFonts w:hint="default" w:ascii="Times New Roman" w:hAnsi="Times New Roman" w:eastAsia="仿宋_GB2312" w:cs="Times New Roman"/>
          <w:color w:val="auto"/>
          <w:sz w:val="32"/>
          <w:szCs w:val="32"/>
        </w:rPr>
      </w:pPr>
    </w:p>
    <w:p>
      <w:pPr>
        <w:adjustRightInd w:val="0"/>
        <w:snapToGrid w:val="0"/>
        <w:spacing w:line="360" w:lineRule="auto"/>
        <w:ind w:firstLine="320" w:firstLineChars="100"/>
        <w:jc w:val="both"/>
        <w:rPr>
          <w:rFonts w:hint="default" w:ascii="Times New Roman" w:hAnsi="Times New Roman" w:eastAsia="仿宋_GB2312" w:cs="Times New Roman"/>
          <w:color w:val="auto"/>
          <w:sz w:val="32"/>
          <w:szCs w:val="32"/>
        </w:rPr>
      </w:pPr>
    </w:p>
    <w:p>
      <w:pPr>
        <w:adjustRightInd w:val="0"/>
        <w:snapToGrid w:val="0"/>
        <w:spacing w:line="360" w:lineRule="auto"/>
        <w:jc w:val="center"/>
        <w:rPr>
          <w:rFonts w:hint="default" w:ascii="Times New Roman" w:hAnsi="Times New Roman" w:eastAsia="仿宋_GB2312" w:cs="Times New Roman"/>
          <w:color w:val="auto"/>
          <w:sz w:val="32"/>
          <w:szCs w:val="32"/>
        </w:rPr>
      </w:pPr>
    </w:p>
    <w:p>
      <w:pPr>
        <w:adjustRightInd w:val="0"/>
        <w:snapToGrid w:val="0"/>
        <w:spacing w:line="360" w:lineRule="auto"/>
        <w:jc w:val="center"/>
        <w:rPr>
          <w:rFonts w:hint="default" w:ascii="Times New Roman" w:hAnsi="Times New Roman" w:eastAsia="仿宋_GB2312" w:cs="Times New Roman"/>
          <w:color w:val="auto"/>
          <w:sz w:val="32"/>
          <w:szCs w:val="32"/>
        </w:rPr>
      </w:pPr>
    </w:p>
    <w:p>
      <w:pPr>
        <w:jc w:val="center"/>
        <w:rPr>
          <w:rFonts w:hint="eastAsia" w:ascii="楷体_GB2312" w:hAnsi="楷体_GB2312" w:eastAsia="楷体_GB2312" w:cs="楷体_GB2312"/>
          <w:color w:val="auto"/>
          <w:sz w:val="32"/>
          <w:szCs w:val="32"/>
          <w:lang w:val="en-US" w:eastAsia="zh-CN"/>
        </w:rPr>
        <w:sectPr>
          <w:footerReference r:id="rId9" w:type="first"/>
          <w:headerReference r:id="rId5" w:type="default"/>
          <w:footerReference r:id="rId7" w:type="default"/>
          <w:headerReference r:id="rId6" w:type="even"/>
          <w:footerReference r:id="rId8" w:type="even"/>
          <w:pgSz w:w="11906" w:h="16838"/>
          <w:pgMar w:top="1814" w:right="1418" w:bottom="1588" w:left="1418" w:header="1247" w:footer="1247" w:gutter="0"/>
          <w:pgNumType w:fmt="numberInDash"/>
          <w:cols w:space="720" w:num="1"/>
          <w:docGrid w:type="lines" w:linePitch="312" w:charSpace="0"/>
        </w:sectPr>
      </w:pPr>
      <w:r>
        <w:rPr>
          <w:rFonts w:hint="eastAsia" w:ascii="楷体_GB2312" w:hAnsi="楷体_GB2312" w:eastAsia="楷体_GB2312" w:cs="楷体_GB2312"/>
          <w:color w:val="auto"/>
          <w:sz w:val="32"/>
          <w:szCs w:val="32"/>
          <w:lang w:eastAsia="zh-CN"/>
        </w:rPr>
        <w:t>202</w:t>
      </w:r>
      <w:r>
        <w:rPr>
          <w:rFonts w:hint="eastAsia" w:ascii="楷体_GB2312" w:hAnsi="楷体_GB2312" w:eastAsia="楷体_GB2312" w:cs="楷体_GB2312"/>
          <w:color w:val="auto"/>
          <w:sz w:val="32"/>
          <w:szCs w:val="32"/>
          <w:lang w:val="en-US" w:eastAsia="zh-CN"/>
        </w:rPr>
        <w:t>2年3月</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_Toc23951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前　言</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黑体" w:hAnsi="黑体" w:eastAsia="黑体" w:cs="黑体"/>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b w:val="0"/>
          <w:bCs w:val="0"/>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_Toc16993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第一章　规划面临的形势</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_Toc12209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“十三五”生态环境保护成效经验</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8</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_Toc30155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第二节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生态环境保护工作存在的主要问题</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1</w:t>
      </w:r>
      <w:r>
        <w:rPr>
          <w:rFonts w:hint="eastAsia" w:ascii="楷体_GB2312" w:hAnsi="楷体_GB2312" w:eastAsia="楷体_GB2312" w:cs="楷体_GB2312"/>
          <w:sz w:val="32"/>
          <w:szCs w:val="32"/>
        </w:rPr>
        <w:fldChar w:fldCharType="end"/>
      </w:r>
      <w:r>
        <w:rPr>
          <w:rFonts w:hint="eastAsia" w:ascii="仿宋_GB2312" w:hAnsi="仿宋_GB2312" w:eastAsia="仿宋_GB2312" w:cs="仿宋_GB2312"/>
          <w:sz w:val="32"/>
          <w:szCs w:val="32"/>
          <w:lang w:val="en-US" w:eastAsia="zh-CN"/>
        </w:rPr>
        <w:t>4</w:t>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eastAsia="楷体_GB231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_Toc31308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“十四五“生态环境保护面临机遇</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1</w:t>
      </w:r>
      <w:r>
        <w:rPr>
          <w:rFonts w:hint="eastAsia" w:ascii="楷体_GB2312" w:hAnsi="楷体_GB2312" w:eastAsia="楷体_GB2312" w:cs="楷体_GB2312"/>
          <w:sz w:val="32"/>
          <w:szCs w:val="32"/>
        </w:rPr>
        <w:fldChar w:fldCharType="end"/>
      </w:r>
      <w:r>
        <w:rPr>
          <w:rFonts w:hint="eastAsia" w:ascii="仿宋_GB2312" w:hAnsi="仿宋_GB2312" w:eastAsia="仿宋_GB2312" w:cs="仿宋_GB2312"/>
          <w:sz w:val="32"/>
          <w:szCs w:val="32"/>
          <w:lang w:val="en-US" w:eastAsia="zh-CN"/>
        </w:rPr>
        <w:t>8</w:t>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_Toc9615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第二章　总体要求</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黑体" w:hAnsi="黑体" w:eastAsia="黑体" w:cs="黑体"/>
          <w:b w:val="0"/>
          <w:bCs w:val="0"/>
          <w:sz w:val="32"/>
          <w:szCs w:val="32"/>
        </w:rPr>
        <w:fldChar w:fldCharType="end"/>
      </w:r>
      <w:r>
        <w:rPr>
          <w:rFonts w:hint="eastAsia" w:ascii="仿宋_GB2312" w:hAnsi="仿宋_GB2312" w:eastAsia="仿宋_GB2312" w:cs="仿宋_GB2312"/>
          <w:b w:val="0"/>
          <w:bCs w:val="0"/>
          <w:sz w:val="32"/>
          <w:szCs w:val="32"/>
          <w:lang w:val="en-US" w:eastAsia="zh-CN"/>
        </w:rPr>
        <w:t>2</w:t>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_Toc480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第一节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指导思想</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2</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_Toc24623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第二节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基本原则</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2</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_Toc24819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第三节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主要目标</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3</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_Toc16508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第三章　坚持绿色引领，全面推动高质量发展</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7</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_Toc851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第一节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构建科学有效的国土空间规划体系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_Toc16811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第二节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建立完善生态环境分区管控体系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_Toc12412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第三节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塑造高品质城镇绿色空间</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2</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sz w:val="32"/>
          <w:szCs w:val="32"/>
          <w:lang w:val="en-US" w:eastAsia="zh-CN"/>
        </w:rPr>
        <w:t>8</w:t>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_Toc27435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第四节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打造绿色发展韶关样板</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2</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sz w:val="32"/>
          <w:szCs w:val="32"/>
          <w:lang w:val="en-US" w:eastAsia="zh-CN"/>
        </w:rPr>
        <w:t>9</w:t>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_Toc22435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第四章 加快实施碳达峰行动，推动经济绿色低碳转型</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en-US" w:eastAsia="zh-CN"/>
        </w:rPr>
        <w:t>0</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_Toc26333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 xml:space="preserve">第一节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加快实施碳排放达峰行动</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0</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_Toc31932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深化低碳发展试点示范</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3</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_Toc27692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大力强化绿色科技创新</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3</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_Toc22433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第四节　提升气候变化适应能力</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4</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_Toc16675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第五章 加强细颗粒物控制，引领大气环境质量改善</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en-US" w:eastAsia="zh-CN"/>
        </w:rPr>
        <w:t>5</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_Toc13671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提升大气污染精准防控能力</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_Toc26866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控制移动污染源排放</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6</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_Toc30016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深化工业源污染治理</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_Toc5046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第四节　有效防控面源及其他大气污染物</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3</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sz w:val="32"/>
          <w:szCs w:val="32"/>
          <w:lang w:val="en-US" w:eastAsia="zh-CN"/>
        </w:rPr>
        <w:t>9</w:t>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_Toc1446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第六章 深入打好水污染防治攻坚战，巩固水环境质量</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en-US" w:eastAsia="zh-CN"/>
        </w:rPr>
        <w:t>0</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_Toc16780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全力保障饮用水源安全</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0</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_Toc11171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深化水环境综合治理</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1</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_Toc23351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开展水生态现状调查评估</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_Toc28002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第四节　加强水资源节约利用</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_Toc21720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第七章 深化土壤污染防治，提升人居环境安全</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en-US" w:eastAsia="zh-CN"/>
        </w:rPr>
        <w:t>7</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_Toc644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强化土壤和地下水污染源头防控</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_Toc21387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推进土壤安全利用</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4</w:t>
      </w:r>
      <w:r>
        <w:rPr>
          <w:rFonts w:hint="eastAsia" w:ascii="楷体_GB2312" w:hAnsi="楷体_GB2312" w:eastAsia="楷体_GB2312" w:cs="楷体_GB2312"/>
          <w:sz w:val="32"/>
          <w:szCs w:val="32"/>
        </w:rPr>
        <w:fldChar w:fldCharType="end"/>
      </w:r>
      <w:r>
        <w:rPr>
          <w:rFonts w:hint="eastAsia" w:ascii="仿宋_GB2312" w:hAnsi="仿宋_GB2312" w:eastAsia="仿宋_GB2312" w:cs="仿宋_GB2312"/>
          <w:sz w:val="32"/>
          <w:szCs w:val="32"/>
          <w:lang w:val="en-US" w:eastAsia="zh-CN"/>
        </w:rPr>
        <w:t>9</w:t>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_Toc32704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深化农业农村环境治理</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1</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_Toc21747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第八章 加强生态系统保护修复，筑牢粤北生态屏障</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en-US" w:eastAsia="zh-CN"/>
        </w:rPr>
        <w:t>3</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_Toc24790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筑牢生态安全格局</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3</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_Toc4073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推动实施重大生态保护修复工程</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_Toc27368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维护生物多样性</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_Toc16371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第九章　强化底线思维，有效防范环境风险</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黑体" w:hAnsi="黑体" w:eastAsia="黑体" w:cs="黑体"/>
          <w:b w:val="0"/>
          <w:bCs w:val="0"/>
          <w:sz w:val="32"/>
          <w:szCs w:val="32"/>
        </w:rPr>
        <w:fldChar w:fldCharType="end"/>
      </w:r>
      <w:r>
        <w:rPr>
          <w:rFonts w:hint="eastAsia" w:ascii="仿宋_GB2312" w:hAnsi="仿宋_GB2312" w:eastAsia="仿宋_GB2312" w:cs="仿宋_GB2312"/>
          <w:b w:val="0"/>
          <w:bCs w:val="0"/>
          <w:sz w:val="32"/>
          <w:szCs w:val="32"/>
          <w:lang w:val="en-US" w:eastAsia="zh-CN"/>
        </w:rPr>
        <w:t>9</w:t>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_Toc29353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强化固体废物安全利用处置</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r>
        <w:rPr>
          <w:rFonts w:hint="eastAsia" w:ascii="仿宋_GB2312" w:hAnsi="仿宋_GB2312" w:eastAsia="仿宋_GB2312" w:cs="仿宋_GB2312"/>
          <w:sz w:val="32"/>
          <w:szCs w:val="32"/>
          <w:lang w:val="en-US" w:eastAsia="zh-CN"/>
        </w:rPr>
        <w:t>9</w:t>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_Toc22833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加强重金属和危险化学品风险管控</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1</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_Toc20697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重视新污染物治理</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3</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_Toc9807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第十章　完善监管体系，确保核与辐射安全</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lang w:val="en-US" w:eastAsia="zh-CN"/>
        </w:rPr>
        <w:t>4</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_Toc18048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建立应急联动机制</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4</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_Toc6820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提高核与辐射安全监管能力</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_Toc31937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保障伴生矿辐射环境安全</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_Toc1213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第十一章 坚持改革创新，构建现代环境治理体系</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lang w:val="en-US" w:eastAsia="zh-CN"/>
        </w:rPr>
        <w:t>7</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_Toc17409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完善生态环境管理体制机制</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_Toc6654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发挥市场机制激励引导作用</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6</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sz w:val="32"/>
          <w:szCs w:val="32"/>
          <w:lang w:val="en-US" w:eastAsia="zh-CN"/>
        </w:rPr>
        <w:t>9</w:t>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_Toc20572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探索生态产品价值实现路径</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1</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_Toc26931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第十二章　强化能力建设，夯实生态环境保护基础支撑</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7</w:t>
      </w:r>
      <w:r>
        <w:rPr>
          <w:rFonts w:hint="eastAsia" w:ascii="仿宋_GB2312" w:hAnsi="仿宋_GB2312" w:eastAsia="仿宋_GB2312" w:cs="仿宋_GB2312"/>
          <w:b w:val="0"/>
          <w:bCs w:val="0"/>
          <w:sz w:val="32"/>
          <w:szCs w:val="32"/>
          <w:lang w:val="en-US" w:eastAsia="zh-CN"/>
        </w:rPr>
        <w:t>3</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_Toc31750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构建科学先进的监测预警体系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3</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_Toc16800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构建统一规范的执法监管体系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5</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_Toc23584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构建智慧共享的管控调度体系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6</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_Toc22103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第四节　构建快速响应的环境应急体系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_Toc31234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第五节　构建创新引领的科技支撑体系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lang w:val="en-US" w:eastAsia="zh-CN"/>
        </w:rPr>
        <w:t>7</w:t>
      </w:r>
      <w:r>
        <w:rPr>
          <w:rFonts w:hint="eastAsia" w:ascii="楷体_GB2312" w:hAnsi="楷体_GB2312" w:eastAsia="楷体_GB2312" w:cs="楷体_GB2312"/>
          <w:sz w:val="32"/>
          <w:szCs w:val="32"/>
        </w:rPr>
        <w:fldChar w:fldCharType="end"/>
      </w:r>
      <w:r>
        <w:rPr>
          <w:rFonts w:hint="eastAsia" w:ascii="楷体_GB2312" w:hAnsi="楷体_GB2312" w:eastAsia="楷体_GB2312" w:cs="楷体_GB2312"/>
          <w:sz w:val="32"/>
          <w:szCs w:val="32"/>
          <w:lang w:val="en-US" w:eastAsia="zh-CN"/>
        </w:rPr>
        <w:t>9</w:t>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_Toc18878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第十三章　开展全民行动，积极践行绿色生活方式</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8</w:t>
      </w:r>
      <w:r>
        <w:rPr>
          <w:rFonts w:hint="eastAsia" w:ascii="仿宋_GB2312" w:hAnsi="仿宋_GB2312" w:eastAsia="仿宋_GB2312" w:cs="仿宋_GB2312"/>
          <w:b w:val="0"/>
          <w:bCs w:val="0"/>
          <w:sz w:val="32"/>
          <w:szCs w:val="32"/>
          <w:lang w:val="en-US" w:eastAsia="zh-CN"/>
        </w:rPr>
        <w:t>1</w:t>
      </w:r>
      <w:r>
        <w:rPr>
          <w:rFonts w:hint="eastAsia" w:ascii="黑体" w:hAnsi="黑体" w:eastAsia="黑体" w:cs="黑体"/>
          <w:b w:val="0"/>
          <w:bCs w:val="0"/>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_Toc5440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第一节　增强全民生态环保意识</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1</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_Toc457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第二节　深入践行绿色低碳生活</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2</w:t>
      </w:r>
      <w:r>
        <w:rPr>
          <w:rFonts w:hint="eastAsia" w:ascii="楷体_GB2312" w:hAnsi="楷体_GB2312" w:eastAsia="楷体_GB2312" w:cs="楷体_GB2312"/>
          <w:sz w:val="32"/>
          <w:szCs w:val="32"/>
        </w:rPr>
        <w:fldChar w:fldCharType="end"/>
      </w:r>
    </w:p>
    <w:p>
      <w:pPr>
        <w:pStyle w:val="30"/>
        <w:widowControl/>
        <w:tabs>
          <w:tab w:val="right" w:leader="dot" w:pos="8845"/>
        </w:tabs>
        <w:wordWrap/>
        <w:adjustRightInd/>
        <w:snapToGrid/>
        <w:spacing w:line="560" w:lineRule="exact"/>
        <w:ind w:left="0" w:leftChars="0" w:firstLine="0" w:firstLineChars="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HYPERLINK \l _Toc4466 </w:instrText>
      </w:r>
      <w:r>
        <w:rPr>
          <w:rFonts w:hint="eastAsia" w:ascii="楷体_GB2312" w:hAnsi="楷体_GB2312" w:eastAsia="楷体_GB2312" w:cs="楷体_GB2312"/>
          <w:sz w:val="32"/>
          <w:szCs w:val="32"/>
        </w:rPr>
        <w:fldChar w:fldCharType="separate"/>
      </w:r>
      <w:r>
        <w:rPr>
          <w:rFonts w:hint="eastAsia" w:ascii="楷体_GB2312" w:hAnsi="楷体_GB2312" w:eastAsia="楷体_GB2312" w:cs="楷体_GB2312"/>
          <w:sz w:val="32"/>
          <w:szCs w:val="32"/>
        </w:rPr>
        <w:t>第三节　推进生态环保全民行动</w:t>
      </w:r>
      <w:r>
        <w:rPr>
          <w:rFonts w:hint="eastAsia" w:ascii="楷体_GB2312" w:hAnsi="楷体_GB2312" w:eastAsia="楷体_GB2312" w:cs="楷体_GB2312"/>
          <w:sz w:val="32"/>
          <w:szCs w:val="32"/>
        </w:rPr>
        <w:tab/>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4</w:t>
      </w:r>
      <w:r>
        <w:rPr>
          <w:rFonts w:hint="eastAsia" w:ascii="楷体_GB2312" w:hAnsi="楷体_GB2312" w:eastAsia="楷体_GB2312" w:cs="楷体_GB2312"/>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_Toc23381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第十四章　保障措施</w:t>
      </w:r>
      <w:r>
        <w:rPr>
          <w:rFonts w:hint="eastAsia" w:ascii="黑体" w:hAnsi="黑体" w:eastAsia="黑体" w:cs="黑体"/>
          <w:b w:val="0"/>
          <w:bCs w:val="0"/>
          <w:sz w:val="32"/>
          <w:szCs w:val="32"/>
        </w:rPr>
        <w:tab/>
      </w:r>
      <w:r>
        <w:rPr>
          <w:rFonts w:hint="eastAsia" w:ascii="仿宋_GB2312" w:hAnsi="仿宋_GB2312" w:eastAsia="仿宋_GB2312" w:cs="仿宋_GB2312"/>
          <w:b w:val="0"/>
          <w:bCs w:val="0"/>
          <w:sz w:val="32"/>
          <w:szCs w:val="32"/>
        </w:rPr>
        <w:t>8</w:t>
      </w:r>
      <w:r>
        <w:rPr>
          <w:rFonts w:hint="eastAsia" w:ascii="仿宋_GB2312" w:hAnsi="仿宋_GB2312" w:eastAsia="仿宋_GB2312" w:cs="仿宋_GB2312"/>
          <w:b w:val="0"/>
          <w:bCs w:val="0"/>
          <w:sz w:val="32"/>
          <w:szCs w:val="32"/>
          <w:lang w:val="en-US" w:eastAsia="zh-CN"/>
        </w:rPr>
        <w:t>6</w:t>
      </w:r>
      <w:r>
        <w:rPr>
          <w:rFonts w:hint="eastAsia" w:ascii="黑体" w:hAnsi="黑体" w:eastAsia="黑体" w:cs="黑体"/>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_Toc9538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附表　　规划重点工程项目表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lang w:val="en-US" w:eastAsia="zh-CN"/>
        </w:rPr>
        <w:t>8</w:t>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_Toc19422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附图一. 韶关市水功能区和水环境功能区整合拟定图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9</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_Toc7521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附图二. 韶关市大气环境功能区划图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9</w:t>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_Toc28550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附图三. 韶关市区噪声功能区划图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lang w:val="en-US" w:eastAsia="zh-CN"/>
        </w:rPr>
        <w:t>8</w:t>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_Toc8444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附图四. 韶关市县级以上集中式饮用水源保护区分布图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lang w:val="en-US" w:eastAsia="zh-CN"/>
        </w:rPr>
        <w:t>9</w:t>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_Toc24859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附图五. 韶关市镇级集中式饮用水源保护区分布图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_Toc32428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附图六. 韶关市畜禽养殖禁养区分图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_Toc14810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附图七. 韶关市高污染燃料禁燃区分图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_Toc926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附图八. 韶关市“三线一单”水环境管控单元分区图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_Toc20377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附图九. 韶关市“三线一单”大气环境管控单元分区图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_Toc24126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附图十. 韶关市“三线一单”生态空间管控单元分区图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rPr>
        <w:fldChar w:fldCharType="end"/>
      </w:r>
    </w:p>
    <w:p>
      <w:pPr>
        <w:pStyle w:val="29"/>
        <w:widowControl/>
        <w:tabs>
          <w:tab w:val="right" w:leader="dot" w:pos="8845"/>
        </w:tabs>
        <w:wordWrap/>
        <w:adjustRightInd/>
        <w:snapToGrid/>
        <w:spacing w:line="560" w:lineRule="exact"/>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_Toc20288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附图十一. 韶关市“三线一单”综合管控单元分区图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fldChar w:fldCharType="end"/>
      </w:r>
    </w:p>
    <w:p>
      <w:pPr>
        <w:pStyle w:val="7"/>
        <w:widowControl w:val="0"/>
        <w:tabs>
          <w:tab w:val="right" w:leader="dot" w:pos="8504"/>
        </w:tabs>
        <w:wordWrap/>
        <w:adjustRightInd/>
        <w:snapToGrid/>
        <w:spacing w:line="560" w:lineRule="exact"/>
        <w:ind w:left="0" w:leftChars="0" w:firstLine="0" w:firstLineChars="0"/>
        <w:textAlignment w:val="auto"/>
        <w:outlineLvl w:val="9"/>
        <w:rPr>
          <w:rFonts w:hint="eastAsia" w:ascii="仿宋_GB2312" w:hAnsi="仿宋_GB2312" w:eastAsia="仿宋_GB2312" w:cs="仿宋_GB2312"/>
          <w:bCs/>
          <w:color w:val="auto"/>
          <w:szCs w:val="28"/>
        </w:rPr>
      </w:pPr>
    </w:p>
    <w:p>
      <w:pPr>
        <w:pStyle w:val="8"/>
        <w:ind w:firstLine="640"/>
        <w:rPr>
          <w:rFonts w:hint="eastAsia" w:ascii="仿宋_GB2312" w:hAnsi="仿宋_GB2312" w:eastAsia="仿宋_GB2312" w:cs="仿宋_GB2312"/>
          <w:bCs/>
          <w:color w:val="auto"/>
          <w:szCs w:val="28"/>
        </w:rPr>
        <w:sectPr>
          <w:pgSz w:w="11906" w:h="16838"/>
          <w:pgMar w:top="2098" w:right="1474" w:bottom="1984" w:left="1587" w:header="851" w:footer="850" w:gutter="0"/>
          <w:pgNumType w:fmt="numberInDash"/>
          <w:cols w:space="720" w:num="1"/>
          <w:docGrid w:type="lines" w:linePitch="312" w:charSpace="0"/>
        </w:sectPr>
      </w:pPr>
    </w:p>
    <w:p>
      <w:pPr>
        <w:pStyle w:val="3"/>
        <w:spacing w:line="530" w:lineRule="exact"/>
        <w:rPr>
          <w:rFonts w:hint="eastAsia" w:ascii="方正小标宋简体" w:hAnsi="方正小标宋简体" w:eastAsia="方正小标宋简体" w:cs="方正小标宋简体"/>
          <w:color w:val="auto"/>
          <w:sz w:val="44"/>
          <w:szCs w:val="52"/>
        </w:rPr>
      </w:pPr>
      <w:bookmarkStart w:id="0" w:name="_Toc24234"/>
      <w:bookmarkStart w:id="1" w:name="_Toc7644"/>
      <w:bookmarkStart w:id="2" w:name="_Toc12328"/>
      <w:bookmarkStart w:id="3" w:name="_Toc32574"/>
      <w:bookmarkStart w:id="4" w:name="_Toc21740"/>
      <w:bookmarkStart w:id="5" w:name="_Toc18665"/>
      <w:bookmarkStart w:id="6" w:name="_Toc15070"/>
      <w:bookmarkStart w:id="7" w:name="_Toc5058"/>
      <w:bookmarkStart w:id="8" w:name="_Toc14123"/>
      <w:bookmarkStart w:id="9" w:name="_Toc14276"/>
      <w:bookmarkStart w:id="10" w:name="_Toc14758"/>
      <w:bookmarkStart w:id="11" w:name="_Toc4413"/>
      <w:bookmarkStart w:id="12" w:name="_Toc23629"/>
      <w:bookmarkStart w:id="13" w:name="_Toc5717"/>
      <w:bookmarkStart w:id="14" w:name="_Toc9411"/>
      <w:bookmarkStart w:id="15" w:name="_Toc28944"/>
      <w:bookmarkStart w:id="16" w:name="_Toc1073"/>
      <w:bookmarkStart w:id="17" w:name="_Toc1160"/>
      <w:bookmarkStart w:id="18" w:name="_Toc29379"/>
      <w:bookmarkStart w:id="19" w:name="_Toc21908"/>
      <w:bookmarkStart w:id="20" w:name="_Toc14474"/>
      <w:bookmarkStart w:id="21" w:name="_Toc2617"/>
      <w:bookmarkStart w:id="22" w:name="_Toc29066"/>
      <w:bookmarkStart w:id="23" w:name="_Toc12797"/>
      <w:bookmarkStart w:id="24" w:name="_Toc5820"/>
      <w:bookmarkStart w:id="25" w:name="_Toc57663197"/>
      <w:bookmarkStart w:id="26" w:name="_Toc22110"/>
      <w:bookmarkStart w:id="27" w:name="_Toc1835"/>
      <w:bookmarkStart w:id="28" w:name="_Toc19718"/>
      <w:bookmarkStart w:id="29" w:name="_Toc13428"/>
      <w:bookmarkStart w:id="30" w:name="_Toc6132"/>
      <w:bookmarkStart w:id="31" w:name="_Toc61001216"/>
      <w:bookmarkStart w:id="32" w:name="_Toc61001258"/>
      <w:bookmarkStart w:id="33" w:name="_Toc57663221"/>
      <w:bookmarkStart w:id="34" w:name="_Toc6103"/>
      <w:bookmarkStart w:id="35" w:name="_Toc25672"/>
      <w:bookmarkStart w:id="36" w:name="_Toc27801"/>
      <w:bookmarkStart w:id="37" w:name="_Toc26870"/>
      <w:bookmarkStart w:id="38" w:name="_Toc20008"/>
      <w:bookmarkStart w:id="39" w:name="_Toc20842"/>
      <w:r>
        <w:rPr>
          <w:rFonts w:hint="eastAsia" w:ascii="方正小标宋简体" w:hAnsi="方正小标宋简体" w:eastAsia="方正小标宋简体" w:cs="方正小标宋简体"/>
          <w:color w:val="auto"/>
          <w:sz w:val="44"/>
          <w:szCs w:val="52"/>
        </w:rPr>
        <w:t>前</w:t>
      </w:r>
      <w:r>
        <w:rPr>
          <w:rFonts w:hint="eastAsia" w:ascii="方正小标宋简体" w:hAnsi="方正小标宋简体" w:eastAsia="方正小标宋简体" w:cs="方正小标宋简体"/>
          <w:color w:val="auto"/>
          <w:sz w:val="44"/>
          <w:szCs w:val="52"/>
          <w:lang w:eastAsia="zh-CN"/>
        </w:rPr>
        <w:t>　</w:t>
      </w:r>
      <w:bookmarkEnd w:id="0"/>
      <w:r>
        <w:rPr>
          <w:rFonts w:hint="eastAsia" w:ascii="方正小标宋简体" w:hAnsi="方正小标宋简体" w:eastAsia="方正小标宋简体" w:cs="方正小标宋简体"/>
          <w:color w:val="auto"/>
          <w:sz w:val="44"/>
          <w:szCs w:val="52"/>
        </w:rPr>
        <w:t>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spacing w:line="530" w:lineRule="exact"/>
        <w:rPr>
          <w:rFonts w:hint="eastAsia"/>
        </w:rPr>
      </w:pPr>
    </w:p>
    <w:p>
      <w:pPr>
        <w:pStyle w:val="27"/>
        <w:widowControl w:val="0"/>
        <w:wordWrap/>
        <w:adjustRightInd/>
        <w:snapToGrid/>
        <w:spacing w:line="530" w:lineRule="exact"/>
        <w:textAlignment w:val="auto"/>
        <w:outlineLvl w:val="9"/>
        <w:rPr>
          <w:rFonts w:hint="default"/>
        </w:rPr>
      </w:pPr>
      <w:r>
        <w:rPr>
          <w:rFonts w:hint="default"/>
        </w:rPr>
        <w:t>韶关</w:t>
      </w:r>
      <w:r>
        <w:rPr>
          <w:rFonts w:hint="eastAsia"/>
          <w:lang w:eastAsia="zh-CN"/>
        </w:rPr>
        <w:t>市</w:t>
      </w:r>
      <w:r>
        <w:rPr>
          <w:rFonts w:hint="default"/>
        </w:rPr>
        <w:t>生态地位举足轻重，域内南岭山区是国家生态安全格局</w:t>
      </w:r>
      <w:r>
        <w:rPr>
          <w:rFonts w:hint="eastAsia"/>
          <w:lang w:eastAsia="zh-CN"/>
        </w:rPr>
        <w:t>“</w:t>
      </w:r>
      <w:r>
        <w:rPr>
          <w:rFonts w:hint="default"/>
        </w:rPr>
        <w:t>两屏三带</w:t>
      </w:r>
      <w:r>
        <w:rPr>
          <w:rFonts w:hint="eastAsia"/>
          <w:lang w:eastAsia="zh-CN"/>
        </w:rPr>
        <w:t>”</w:t>
      </w:r>
      <w:r>
        <w:rPr>
          <w:rFonts w:hint="default"/>
        </w:rPr>
        <w:t>中南方丘陵山地带的核心区</w:t>
      </w:r>
      <w:r>
        <w:rPr>
          <w:rFonts w:hint="eastAsia"/>
          <w:lang w:val="en-US" w:eastAsia="zh-CN"/>
        </w:rPr>
        <w:t>,</w:t>
      </w:r>
      <w:r>
        <w:rPr>
          <w:rFonts w:hint="default"/>
        </w:rPr>
        <w:t>具有丰富的</w:t>
      </w:r>
      <w:r>
        <w:rPr>
          <w:rFonts w:hint="eastAsia"/>
          <w:lang w:eastAsia="zh-CN"/>
        </w:rPr>
        <w:t>森</w:t>
      </w:r>
      <w:r>
        <w:rPr>
          <w:rFonts w:hint="default"/>
        </w:rPr>
        <w:t>林资源和独特的生态系统，是广东省最大的再生能源基地和天然生物基因库；作为北江和东江源头，是珠江流域的重要水源涵养区；作为</w:t>
      </w:r>
      <w:r>
        <w:rPr>
          <w:rFonts w:hint="eastAsia"/>
          <w:lang w:eastAsia="zh-CN"/>
        </w:rPr>
        <w:t>广东</w:t>
      </w:r>
      <w:r>
        <w:rPr>
          <w:rFonts w:hint="default"/>
        </w:rPr>
        <w:t>省</w:t>
      </w:r>
      <w:r>
        <w:rPr>
          <w:rFonts w:hint="eastAsia"/>
          <w:lang w:eastAsia="zh-CN"/>
        </w:rPr>
        <w:t>“</w:t>
      </w:r>
      <w:r>
        <w:rPr>
          <w:rFonts w:hint="default"/>
        </w:rPr>
        <w:t>一核一带一区</w:t>
      </w:r>
      <w:r>
        <w:rPr>
          <w:rFonts w:hint="eastAsia"/>
          <w:lang w:eastAsia="zh-CN"/>
        </w:rPr>
        <w:t>”</w:t>
      </w:r>
      <w:r>
        <w:rPr>
          <w:rFonts w:hint="default"/>
        </w:rPr>
        <w:t>区域发展格局的北部生态发展区，是广东</w:t>
      </w:r>
      <w:r>
        <w:rPr>
          <w:rFonts w:hint="eastAsia"/>
          <w:lang w:eastAsia="zh-CN"/>
        </w:rPr>
        <w:t>省</w:t>
      </w:r>
      <w:r>
        <w:rPr>
          <w:rFonts w:hint="default"/>
        </w:rPr>
        <w:t>重要的生态安全屏障。</w:t>
      </w:r>
    </w:p>
    <w:p>
      <w:pPr>
        <w:pStyle w:val="27"/>
        <w:widowControl w:val="0"/>
        <w:wordWrap/>
        <w:adjustRightInd/>
        <w:snapToGrid/>
        <w:spacing w:line="530" w:lineRule="exact"/>
        <w:textAlignment w:val="auto"/>
        <w:outlineLvl w:val="9"/>
        <w:rPr>
          <w:rFonts w:hint="eastAsia"/>
          <w:lang w:eastAsia="zh-CN"/>
        </w:rPr>
      </w:pPr>
      <w:r>
        <w:rPr>
          <w:rFonts w:hint="eastAsia"/>
          <w:lang w:eastAsia="zh-CN"/>
        </w:rPr>
        <w:t>“</w:t>
      </w:r>
      <w:r>
        <w:rPr>
          <w:rFonts w:hint="default"/>
        </w:rPr>
        <w:t>十</w:t>
      </w:r>
      <w:r>
        <w:rPr>
          <w:rFonts w:hint="eastAsia"/>
          <w:lang w:val="en-US" w:eastAsia="zh-CN"/>
        </w:rPr>
        <w:t>三</w:t>
      </w:r>
      <w:r>
        <w:rPr>
          <w:rFonts w:hint="default"/>
        </w:rPr>
        <w:t>五</w:t>
      </w:r>
      <w:r>
        <w:rPr>
          <w:rFonts w:hint="eastAsia"/>
          <w:lang w:eastAsia="zh-CN"/>
        </w:rPr>
        <w:t>”</w:t>
      </w:r>
      <w:r>
        <w:rPr>
          <w:rFonts w:hint="default"/>
        </w:rPr>
        <w:t>时期，</w:t>
      </w:r>
      <w:r>
        <w:rPr>
          <w:rFonts w:hint="eastAsia"/>
        </w:rPr>
        <w:t>韶关市坚定不移恪守生态</w:t>
      </w:r>
      <w:r>
        <w:rPr>
          <w:rFonts w:hint="eastAsia"/>
          <w:lang w:eastAsia="zh-CN"/>
        </w:rPr>
        <w:t>环境质量</w:t>
      </w:r>
      <w:r>
        <w:rPr>
          <w:rFonts w:hint="eastAsia"/>
        </w:rPr>
        <w:t>底线，推进绿色低碳发展，</w:t>
      </w:r>
      <w:r>
        <w:rPr>
          <w:rFonts w:hint="default"/>
        </w:rPr>
        <w:t>以高标准、严要求、硬措施打好打赢蓝天、碧水、净土三大污染防治攻坚战，统筹</w:t>
      </w:r>
      <w:r>
        <w:rPr>
          <w:rFonts w:hint="eastAsia"/>
          <w:lang w:val="en-US" w:eastAsia="zh-CN"/>
        </w:rPr>
        <w:t>推进</w:t>
      </w:r>
      <w:r>
        <w:rPr>
          <w:rFonts w:hint="default"/>
        </w:rPr>
        <w:t>韶关市土壤污染</w:t>
      </w:r>
      <w:r>
        <w:rPr>
          <w:rFonts w:hint="eastAsia"/>
          <w:lang w:eastAsia="zh-CN"/>
        </w:rPr>
        <w:t>综合</w:t>
      </w:r>
      <w:r>
        <w:rPr>
          <w:rFonts w:hint="default"/>
        </w:rPr>
        <w:t>防治先行区</w:t>
      </w:r>
      <w:r>
        <w:rPr>
          <w:rFonts w:hint="eastAsia"/>
          <w:lang w:eastAsia="zh-CN"/>
        </w:rPr>
        <w:t>、</w:t>
      </w:r>
      <w:r>
        <w:rPr>
          <w:rFonts w:hint="default"/>
        </w:rPr>
        <w:t>山水林田湖草生态保护修复试点</w:t>
      </w:r>
      <w:r>
        <w:rPr>
          <w:rFonts w:hint="eastAsia"/>
          <w:lang w:val="en-US" w:eastAsia="zh-CN"/>
        </w:rPr>
        <w:t>和</w:t>
      </w:r>
      <w:r>
        <w:rPr>
          <w:rFonts w:hint="default"/>
        </w:rPr>
        <w:t>国家森林城市建设</w:t>
      </w:r>
      <w:r>
        <w:rPr>
          <w:rFonts w:hint="eastAsia"/>
          <w:lang w:eastAsia="zh-CN"/>
        </w:rPr>
        <w:t>，</w:t>
      </w:r>
      <w:r>
        <w:rPr>
          <w:rFonts w:hint="default"/>
        </w:rPr>
        <w:t>全市生态环境质量持续改善，生态系统稳定性明显增强。</w:t>
      </w:r>
    </w:p>
    <w:p>
      <w:pPr>
        <w:pStyle w:val="27"/>
        <w:widowControl w:val="0"/>
        <w:wordWrap/>
        <w:adjustRightInd/>
        <w:snapToGrid/>
        <w:spacing w:line="530" w:lineRule="exact"/>
        <w:textAlignment w:val="auto"/>
        <w:outlineLvl w:val="9"/>
        <w:rPr>
          <w:rFonts w:hint="default" w:ascii="Times New Roman" w:hAnsi="Times New Roman" w:cs="Times New Roman"/>
          <w:b/>
          <w:bCs/>
          <w:color w:val="auto"/>
          <w:sz w:val="32"/>
          <w:szCs w:val="32"/>
        </w:rPr>
      </w:pPr>
      <w:r>
        <w:rPr>
          <w:rFonts w:hint="eastAsia"/>
          <w:lang w:eastAsia="zh-CN"/>
        </w:rPr>
        <w:t>“</w:t>
      </w:r>
      <w:r>
        <w:rPr>
          <w:rFonts w:hint="default"/>
        </w:rPr>
        <w:t>十四五</w:t>
      </w:r>
      <w:r>
        <w:rPr>
          <w:rFonts w:hint="eastAsia"/>
          <w:lang w:eastAsia="zh-CN"/>
        </w:rPr>
        <w:t>”</w:t>
      </w:r>
      <w:r>
        <w:rPr>
          <w:rFonts w:hint="default"/>
        </w:rPr>
        <w:t>时期，韶关</w:t>
      </w:r>
      <w:r>
        <w:rPr>
          <w:rFonts w:hint="eastAsia"/>
          <w:lang w:eastAsia="zh-CN"/>
        </w:rPr>
        <w:t>市</w:t>
      </w:r>
      <w:r>
        <w:rPr>
          <w:rFonts w:hint="default"/>
        </w:rPr>
        <w:t>持续坚持以习近平生态文明思想为指导，践行</w:t>
      </w:r>
      <w:r>
        <w:rPr>
          <w:rFonts w:hint="eastAsia"/>
          <w:lang w:eastAsia="zh-CN"/>
        </w:rPr>
        <w:t>“</w:t>
      </w:r>
      <w:r>
        <w:rPr>
          <w:rFonts w:hint="default"/>
        </w:rPr>
        <w:t>绿水青山就是金山银山</w:t>
      </w:r>
      <w:r>
        <w:rPr>
          <w:rFonts w:hint="eastAsia"/>
          <w:lang w:eastAsia="zh-CN"/>
        </w:rPr>
        <w:t>”</w:t>
      </w:r>
      <w:r>
        <w:rPr>
          <w:rFonts w:hint="default"/>
        </w:rPr>
        <w:t>理念，全面认识生态环境保护新形势、新要求，抢抓</w:t>
      </w:r>
      <w:r>
        <w:rPr>
          <w:rFonts w:hint="eastAsia"/>
          <w:lang w:eastAsia="zh-CN"/>
        </w:rPr>
        <w:t>“</w:t>
      </w:r>
      <w:r>
        <w:rPr>
          <w:rFonts w:hint="default"/>
        </w:rPr>
        <w:t>碳达峰</w:t>
      </w:r>
      <w:r>
        <w:rPr>
          <w:rFonts w:hint="eastAsia"/>
          <w:lang w:val="en-US" w:eastAsia="zh-CN"/>
        </w:rPr>
        <w:t>·</w:t>
      </w:r>
      <w:r>
        <w:rPr>
          <w:rFonts w:hint="default"/>
        </w:rPr>
        <w:t>碳中和</w:t>
      </w:r>
      <w:r>
        <w:rPr>
          <w:rFonts w:hint="eastAsia"/>
          <w:lang w:eastAsia="zh-CN"/>
        </w:rPr>
        <w:t>”</w:t>
      </w:r>
      <w:r>
        <w:rPr>
          <w:rFonts w:hint="default"/>
        </w:rPr>
        <w:t>重大历史性机遇，推</w:t>
      </w:r>
      <w:r>
        <w:rPr>
          <w:rFonts w:hint="eastAsia"/>
          <w:lang w:eastAsia="zh-CN"/>
        </w:rPr>
        <w:t>动产业经济</w:t>
      </w:r>
      <w:r>
        <w:rPr>
          <w:rFonts w:hint="default"/>
        </w:rPr>
        <w:t>绿色低碳转型，全域推进生态环境保护</w:t>
      </w:r>
      <w:r>
        <w:rPr>
          <w:rFonts w:hint="eastAsia"/>
          <w:lang w:eastAsia="zh-CN"/>
        </w:rPr>
        <w:t>和</w:t>
      </w:r>
      <w:r>
        <w:rPr>
          <w:rFonts w:hint="eastAsia" w:ascii="仿宋_GB2312" w:hAnsi="仿宋_GB2312" w:eastAsia="仿宋_GB2312" w:cs="仿宋_GB2312"/>
          <w:color w:val="auto"/>
          <w:sz w:val="32"/>
          <w:szCs w:val="32"/>
          <w:lang w:val="en-US" w:eastAsia="zh-CN"/>
        </w:rPr>
        <w:t>修复、生态环境治理</w:t>
      </w:r>
      <w:r>
        <w:rPr>
          <w:rFonts w:hint="default"/>
        </w:rPr>
        <w:t>。本规划</w:t>
      </w:r>
      <w:r>
        <w:rPr>
          <w:rFonts w:hint="eastAsia"/>
          <w:lang w:eastAsia="zh-CN"/>
        </w:rPr>
        <w:t>贯彻落实</w:t>
      </w:r>
      <w:r>
        <w:rPr>
          <w:rFonts w:hint="default"/>
        </w:rPr>
        <w:t>党的</w:t>
      </w:r>
      <w:r>
        <w:rPr>
          <w:rFonts w:hint="default" w:ascii="Times New Roman" w:hAnsi="Times New Roman" w:cs="Times New Roman"/>
          <w:color w:val="auto"/>
        </w:rPr>
        <w:t>十九大和十九届</w:t>
      </w:r>
      <w:r>
        <w:rPr>
          <w:rFonts w:hint="eastAsia" w:cs="Times New Roman"/>
          <w:color w:val="auto"/>
          <w:lang w:eastAsia="zh-CN"/>
        </w:rPr>
        <w:t>历次</w:t>
      </w:r>
      <w:r>
        <w:rPr>
          <w:rFonts w:hint="default"/>
        </w:rPr>
        <w:t>全会</w:t>
      </w:r>
      <w:r>
        <w:rPr>
          <w:rFonts w:hint="eastAsia"/>
          <w:lang w:eastAsia="zh-CN"/>
        </w:rPr>
        <w:t>精神，根据</w:t>
      </w:r>
      <w:r>
        <w:rPr>
          <w:rFonts w:hint="default"/>
        </w:rPr>
        <w:t>《广东省生态环境保护</w:t>
      </w:r>
      <w:r>
        <w:rPr>
          <w:rFonts w:hint="eastAsia"/>
          <w:lang w:eastAsia="zh-CN"/>
        </w:rPr>
        <w:t>“</w:t>
      </w:r>
      <w:r>
        <w:rPr>
          <w:rFonts w:hint="default"/>
        </w:rPr>
        <w:t>十四五</w:t>
      </w:r>
      <w:r>
        <w:rPr>
          <w:rFonts w:hint="eastAsia"/>
          <w:lang w:eastAsia="zh-CN"/>
        </w:rPr>
        <w:t>”</w:t>
      </w:r>
      <w:r>
        <w:rPr>
          <w:rFonts w:hint="default"/>
        </w:rPr>
        <w:t>规划》《韶关市国民经济和社会发展第十四个五年规划和二〇三五年远景目标纲要》</w:t>
      </w:r>
      <w:r>
        <w:rPr>
          <w:rFonts w:hint="eastAsia"/>
          <w:lang w:eastAsia="zh-CN"/>
        </w:rPr>
        <w:t>要求</w:t>
      </w:r>
      <w:r>
        <w:rPr>
          <w:rFonts w:hint="default"/>
        </w:rPr>
        <w:t>，明确</w:t>
      </w:r>
      <w:r>
        <w:rPr>
          <w:rFonts w:hint="eastAsia"/>
          <w:lang w:eastAsia="zh-CN"/>
        </w:rPr>
        <w:t>“</w:t>
      </w:r>
      <w:r>
        <w:rPr>
          <w:rFonts w:hint="default"/>
        </w:rPr>
        <w:t>十四五</w:t>
      </w:r>
      <w:r>
        <w:rPr>
          <w:rFonts w:hint="eastAsia"/>
          <w:lang w:eastAsia="zh-CN"/>
        </w:rPr>
        <w:t>”</w:t>
      </w:r>
      <w:r>
        <w:rPr>
          <w:rFonts w:hint="default"/>
        </w:rPr>
        <w:t>时期</w:t>
      </w:r>
      <w:r>
        <w:rPr>
          <w:rFonts w:hint="eastAsia"/>
          <w:lang w:eastAsia="zh-CN"/>
        </w:rPr>
        <w:t>韶关</w:t>
      </w:r>
      <w:r>
        <w:rPr>
          <w:rFonts w:hint="default"/>
        </w:rPr>
        <w:t>生态环境保护的指导思想、基本原则、工作目标，</w:t>
      </w:r>
      <w:r>
        <w:rPr>
          <w:rFonts w:hint="eastAsia"/>
          <w:lang w:eastAsia="zh-CN"/>
        </w:rPr>
        <w:t>重点</w:t>
      </w:r>
      <w:r>
        <w:rPr>
          <w:rFonts w:hint="default"/>
        </w:rPr>
        <w:t>谋划</w:t>
      </w:r>
      <w:r>
        <w:rPr>
          <w:rFonts w:hint="eastAsia"/>
          <w:lang w:eastAsia="zh-CN"/>
        </w:rPr>
        <w:t>生态环境保护措施及</w:t>
      </w:r>
      <w:r>
        <w:rPr>
          <w:rFonts w:hint="default"/>
        </w:rPr>
        <w:t>重大工程项目，</w:t>
      </w:r>
      <w:r>
        <w:rPr>
          <w:rFonts w:hint="default"/>
          <w:sz w:val="32"/>
          <w:szCs w:val="32"/>
        </w:rPr>
        <w:t>全力筑牢粤北生态屏障</w:t>
      </w:r>
      <w:r>
        <w:rPr>
          <w:rFonts w:hint="eastAsia"/>
          <w:sz w:val="32"/>
          <w:szCs w:val="32"/>
          <w:lang w:eastAsia="zh-CN"/>
        </w:rPr>
        <w:t>，</w:t>
      </w:r>
      <w:r>
        <w:rPr>
          <w:rFonts w:hint="default"/>
          <w:sz w:val="32"/>
          <w:szCs w:val="32"/>
        </w:rPr>
        <w:t>打造绿色发展韶关样板</w:t>
      </w:r>
      <w:r>
        <w:rPr>
          <w:rFonts w:hint="eastAsia"/>
          <w:sz w:val="32"/>
          <w:szCs w:val="32"/>
          <w:lang w:eastAsia="zh-CN"/>
        </w:rPr>
        <w:t>，</w:t>
      </w:r>
      <w:r>
        <w:rPr>
          <w:rFonts w:hint="default"/>
          <w:sz w:val="32"/>
          <w:szCs w:val="32"/>
        </w:rPr>
        <w:t>争当北部生态发展区高质量发展排头兵</w:t>
      </w:r>
      <w:r>
        <w:rPr>
          <w:rFonts w:hint="eastAsia"/>
          <w:sz w:val="32"/>
          <w:szCs w:val="32"/>
        </w:rPr>
        <w:t>。</w:t>
      </w:r>
    </w:p>
    <w:p>
      <w:pPr>
        <w:pStyle w:val="3"/>
        <w:widowControl/>
        <w:spacing w:beforeLines="50" w:afterLines="50" w:line="530" w:lineRule="exact"/>
        <w:jc w:val="center"/>
        <w:rPr>
          <w:rFonts w:hint="default" w:ascii="Times New Roman" w:hAnsi="Times New Roman" w:cs="Times New Roman"/>
          <w:b/>
          <w:bCs w:val="0"/>
          <w:color w:val="auto"/>
          <w:sz w:val="36"/>
          <w:szCs w:val="36"/>
        </w:rPr>
        <w:sectPr>
          <w:pgSz w:w="11906" w:h="16838"/>
          <w:pgMar w:top="2098" w:right="1474" w:bottom="1984" w:left="1587" w:header="851" w:footer="850" w:gutter="0"/>
          <w:pgNumType w:fmt="numberInDash"/>
          <w:cols w:space="720" w:num="1"/>
          <w:rtlGutter w:val="0"/>
          <w:docGrid w:type="lines" w:linePitch="312" w:charSpace="0"/>
        </w:sectPr>
      </w:pPr>
      <w:bookmarkStart w:id="40" w:name="_Toc12499"/>
    </w:p>
    <w:p>
      <w:pPr>
        <w:pStyle w:val="3"/>
        <w:spacing w:after="0"/>
        <w:rPr>
          <w:rFonts w:hint="eastAsia" w:ascii="方正小标宋简体" w:hAnsi="方正小标宋简体" w:eastAsia="方正小标宋简体" w:cs="方正小标宋简体"/>
          <w:b w:val="0"/>
          <w:bCs/>
          <w:color w:val="auto"/>
          <w:sz w:val="36"/>
          <w:szCs w:val="44"/>
          <w:lang w:val="en-US" w:eastAsia="zh-CN"/>
        </w:rPr>
      </w:pPr>
      <w:bookmarkStart w:id="41" w:name="_Toc9120"/>
      <w:bookmarkStart w:id="42" w:name="_Toc22151"/>
      <w:bookmarkStart w:id="43" w:name="_Toc25527"/>
      <w:bookmarkStart w:id="44" w:name="_Toc22476"/>
      <w:bookmarkStart w:id="45" w:name="_Toc17913"/>
      <w:bookmarkStart w:id="46" w:name="_Toc6225"/>
      <w:bookmarkStart w:id="47" w:name="_Toc16912"/>
      <w:bookmarkStart w:id="48" w:name="_Toc288"/>
      <w:bookmarkStart w:id="49" w:name="_Toc19414"/>
      <w:bookmarkStart w:id="50" w:name="_Toc29943"/>
      <w:bookmarkStart w:id="51" w:name="_Toc2626"/>
      <w:bookmarkStart w:id="52" w:name="_Toc21513"/>
      <w:bookmarkStart w:id="53" w:name="_Toc30457"/>
      <w:bookmarkStart w:id="54" w:name="_Toc12961"/>
      <w:bookmarkStart w:id="55" w:name="_Toc24237"/>
      <w:bookmarkStart w:id="56" w:name="_Toc4651"/>
      <w:bookmarkStart w:id="57" w:name="_Toc11406"/>
      <w:bookmarkStart w:id="58" w:name="_Toc10392"/>
      <w:bookmarkStart w:id="59" w:name="_Toc26805"/>
      <w:bookmarkStart w:id="60" w:name="_Toc9605"/>
      <w:bookmarkStart w:id="61" w:name="_Toc13518"/>
      <w:bookmarkStart w:id="62" w:name="_Toc27661"/>
      <w:bookmarkStart w:id="63" w:name="_Toc3699"/>
      <w:r>
        <w:rPr>
          <w:rFonts w:hint="eastAsia" w:ascii="方正小标宋简体" w:hAnsi="方正小标宋简体" w:eastAsia="方正小标宋简体" w:cs="方正小标宋简体"/>
          <w:color w:val="auto"/>
          <w:sz w:val="36"/>
          <w:szCs w:val="44"/>
        </w:rPr>
        <w:t>第一章</w:t>
      </w:r>
      <w:bookmarkEnd w:id="24"/>
      <w:bookmarkEnd w:id="25"/>
      <w:bookmarkEnd w:id="26"/>
      <w:bookmarkEnd w:id="27"/>
      <w:bookmarkEnd w:id="28"/>
      <w:bookmarkEnd w:id="29"/>
      <w:bookmarkEnd w:id="30"/>
      <w:r>
        <w:rPr>
          <w:rStyle w:val="36"/>
          <w:rFonts w:hint="eastAsia" w:ascii="方正小标宋简体" w:hAnsi="方正小标宋简体" w:eastAsia="方正小标宋简体" w:cs="方正小标宋简体"/>
          <w:bCs w:val="0"/>
          <w:color w:val="auto"/>
          <w:sz w:val="36"/>
          <w:szCs w:val="44"/>
          <w:lang w:eastAsia="zh-CN"/>
        </w:rPr>
        <w:t>　</w:t>
      </w:r>
      <w:bookmarkEnd w:id="31"/>
      <w:bookmarkEnd w:id="40"/>
      <w:bookmarkEnd w:id="41"/>
      <w:bookmarkEnd w:id="42"/>
      <w:bookmarkEnd w:id="43"/>
      <w:bookmarkEnd w:id="44"/>
      <w:bookmarkEnd w:id="45"/>
      <w:bookmarkEnd w:id="46"/>
      <w:r>
        <w:rPr>
          <w:rFonts w:hint="eastAsia" w:ascii="方正小标宋简体" w:hAnsi="方正小标宋简体" w:eastAsia="方正小标宋简体" w:cs="方正小标宋简体"/>
          <w:color w:val="auto"/>
          <w:sz w:val="36"/>
          <w:szCs w:val="44"/>
          <w:lang w:val="en-US" w:eastAsia="zh-CN"/>
        </w:rPr>
        <w:t>规划面临的形</w:t>
      </w:r>
      <w:bookmarkEnd w:id="47"/>
      <w:r>
        <w:rPr>
          <w:rFonts w:hint="eastAsia" w:ascii="方正小标宋简体" w:hAnsi="方正小标宋简体" w:eastAsia="方正小标宋简体" w:cs="方正小标宋简体"/>
          <w:color w:val="auto"/>
          <w:sz w:val="36"/>
          <w:szCs w:val="44"/>
          <w:lang w:val="en-US" w:eastAsia="zh-CN"/>
        </w:rPr>
        <w:t>势</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28"/>
        <w:adjustRightInd w:val="0"/>
        <w:snapToGrid w:val="0"/>
        <w:spacing w:before="0" w:line="560" w:lineRule="exact"/>
        <w:ind w:firstLine="640"/>
        <w:rPr>
          <w:rFonts w:hint="default" w:ascii="Times New Roman" w:hAnsi="Times New Roman" w:eastAsia="仿宋_GB2312" w:cs="Times New Roman"/>
          <w:color w:val="auto"/>
          <w:sz w:val="32"/>
          <w:szCs w:val="32"/>
        </w:rPr>
      </w:pPr>
    </w:p>
    <w:p>
      <w:pPr>
        <w:pStyle w:val="27"/>
        <w:widowControl w:val="0"/>
        <w:wordWrap/>
        <w:adjustRightInd/>
        <w:snapToGrid/>
        <w:spacing w:before="0"/>
        <w:textAlignment w:val="auto"/>
        <w:outlineLvl w:val="9"/>
        <w:rPr>
          <w:rFonts w:hint="default"/>
          <w:sz w:val="32"/>
          <w:szCs w:val="32"/>
        </w:rPr>
      </w:pPr>
      <w:r>
        <w:rPr>
          <w:rFonts w:hint="eastAsia"/>
          <w:lang w:eastAsia="zh-CN"/>
        </w:rPr>
        <w:t>“</w:t>
      </w:r>
      <w:r>
        <w:rPr>
          <w:rFonts w:hint="default"/>
        </w:rPr>
        <w:t>十四五</w:t>
      </w:r>
      <w:r>
        <w:rPr>
          <w:rFonts w:hint="eastAsia"/>
          <w:lang w:eastAsia="zh-CN"/>
        </w:rPr>
        <w:t>”</w:t>
      </w:r>
      <w:r>
        <w:rPr>
          <w:rFonts w:hint="default"/>
        </w:rPr>
        <w:t>时期是我国开启全面建设社会主义现代化国家新征程、向第二个百年奋斗目标进军的第一个五年，是广东奋力在全面建设社会主义现代化国家新征程中走在全国前列、创造新的辉煌的第一个五年，也是韶关加快高质量发展的关键时期。</w:t>
      </w:r>
      <w:r>
        <w:rPr>
          <w:rFonts w:hint="eastAsia"/>
        </w:rPr>
        <w:t>必须牢牢抓住重大战略发展机遇，</w:t>
      </w:r>
      <w:bookmarkStart w:id="64" w:name="_Hlk73743498"/>
      <w:r>
        <w:rPr>
          <w:rFonts w:hint="eastAsia"/>
        </w:rPr>
        <w:t>着眼长远、把握大势，奋力开创</w:t>
      </w:r>
      <w:r>
        <w:rPr>
          <w:rFonts w:hint="eastAsia"/>
          <w:lang w:val="en-US" w:eastAsia="zh-CN"/>
        </w:rPr>
        <w:t>韶关</w:t>
      </w:r>
      <w:r>
        <w:rPr>
          <w:rFonts w:hint="eastAsia"/>
        </w:rPr>
        <w:t>生态环境保护新局面，</w:t>
      </w:r>
      <w:bookmarkEnd w:id="64"/>
      <w:r>
        <w:rPr>
          <w:rFonts w:hint="eastAsia"/>
        </w:rPr>
        <w:t>推动</w:t>
      </w:r>
      <w:r>
        <w:rPr>
          <w:rFonts w:hint="eastAsia"/>
          <w:lang w:val="en-US" w:eastAsia="zh-CN"/>
        </w:rPr>
        <w:t>全市</w:t>
      </w:r>
      <w:r>
        <w:rPr>
          <w:rFonts w:hint="eastAsia"/>
        </w:rPr>
        <w:t>生态文明建设</w:t>
      </w:r>
      <w:r>
        <w:rPr>
          <w:rFonts w:hint="eastAsia"/>
          <w:lang w:val="en-US" w:eastAsia="zh-CN"/>
        </w:rPr>
        <w:t>再上新台阶</w:t>
      </w:r>
      <w:r>
        <w:rPr>
          <w:rFonts w:hint="eastAsia"/>
        </w:rPr>
        <w:t>。</w:t>
      </w:r>
    </w:p>
    <w:p>
      <w:pPr>
        <w:pStyle w:val="4"/>
        <w:keepNext/>
        <w:keepLines/>
        <w:widowControl w:val="0"/>
        <w:numPr>
          <w:ilvl w:val="0"/>
          <w:numId w:val="1"/>
        </w:numPr>
        <w:wordWrap/>
        <w:adjustRightInd w:val="0"/>
        <w:snapToGrid w:val="0"/>
        <w:spacing w:beforeLines="50" w:afterLines="50" w:line="560" w:lineRule="exact"/>
        <w:textAlignment w:val="auto"/>
        <w:outlineLvl w:val="1"/>
        <w:rPr>
          <w:rFonts w:hint="eastAsia" w:ascii="黑体" w:hAnsi="黑体" w:eastAsia="黑体" w:cs="黑体"/>
          <w:b w:val="0"/>
          <w:bCs w:val="0"/>
          <w:lang w:val="en-US" w:eastAsia="zh-CN"/>
        </w:rPr>
      </w:pPr>
      <w:bookmarkStart w:id="65" w:name="_Toc57663198"/>
      <w:bookmarkStart w:id="66" w:name="_Toc449299583"/>
      <w:bookmarkStart w:id="67" w:name="_Toc26979"/>
      <w:bookmarkStart w:id="68" w:name="_Toc11887"/>
      <w:bookmarkStart w:id="69" w:name="_Toc10806"/>
      <w:bookmarkStart w:id="70" w:name="_Toc456117210"/>
      <w:bookmarkStart w:id="71" w:name="_Toc24112"/>
      <w:bookmarkStart w:id="72" w:name="_Toc21879"/>
      <w:bookmarkStart w:id="73" w:name="_Toc31122"/>
      <w:bookmarkStart w:id="74" w:name="_Toc10167"/>
      <w:bookmarkStart w:id="75" w:name="_Toc10473"/>
      <w:bookmarkStart w:id="76" w:name="_Toc23605"/>
      <w:bookmarkStart w:id="77" w:name="_Toc32220"/>
      <w:bookmarkStart w:id="78" w:name="_Toc61001217"/>
      <w:bookmarkStart w:id="79" w:name="_Toc4591"/>
      <w:bookmarkStart w:id="80" w:name="_Toc30098"/>
      <w:bookmarkStart w:id="81" w:name="_Toc14908"/>
      <w:bookmarkStart w:id="82" w:name="_Toc32322"/>
      <w:bookmarkStart w:id="83" w:name="_Toc24656"/>
      <w:bookmarkStart w:id="84" w:name="_Toc6931"/>
      <w:bookmarkStart w:id="85" w:name="_Toc25975"/>
      <w:bookmarkStart w:id="86" w:name="_Toc3594"/>
      <w:bookmarkStart w:id="87" w:name="_Toc4962"/>
      <w:bookmarkStart w:id="88" w:name="_Toc12655"/>
      <w:bookmarkStart w:id="89" w:name="_Toc21676"/>
      <w:bookmarkStart w:id="90" w:name="_Toc6254"/>
      <w:bookmarkStart w:id="91" w:name="_Toc6156"/>
      <w:bookmarkStart w:id="92" w:name="_Toc13676"/>
      <w:bookmarkStart w:id="93" w:name="_Toc5479"/>
      <w:bookmarkStart w:id="94" w:name="_Toc11217"/>
      <w:bookmarkStart w:id="95" w:name="_Toc12722"/>
      <w:bookmarkStart w:id="96" w:name="_Toc21126"/>
      <w:bookmarkStart w:id="97" w:name="_Toc10038"/>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十三五</w:t>
      </w:r>
      <w:bookmarkEnd w:id="65"/>
      <w:bookmarkEnd w:id="66"/>
      <w:bookmarkEnd w:id="67"/>
      <w:bookmarkEnd w:id="68"/>
      <w:bookmarkEnd w:id="69"/>
      <w:bookmarkEnd w:id="70"/>
      <w:bookmarkEnd w:id="71"/>
      <w:bookmarkEnd w:id="72"/>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生态环境保护</w:t>
      </w:r>
      <w:bookmarkEnd w:id="73"/>
      <w:bookmarkEnd w:id="74"/>
      <w:bookmarkEnd w:id="75"/>
      <w:bookmarkEnd w:id="76"/>
      <w:bookmarkEnd w:id="77"/>
      <w:bookmarkEnd w:id="78"/>
      <w:bookmarkEnd w:id="79"/>
      <w:bookmarkEnd w:id="80"/>
      <w:r>
        <w:rPr>
          <w:rFonts w:hint="eastAsia" w:ascii="黑体" w:hAnsi="黑体" w:eastAsia="黑体" w:cs="黑体"/>
          <w:b w:val="0"/>
          <w:bCs w:val="0"/>
          <w:sz w:val="32"/>
          <w:szCs w:val="32"/>
          <w:lang w:val="en-US" w:eastAsia="zh-CN"/>
        </w:rPr>
        <w:t>成</w:t>
      </w:r>
      <w:bookmarkEnd w:id="81"/>
      <w:r>
        <w:rPr>
          <w:rFonts w:hint="eastAsia" w:ascii="黑体" w:hAnsi="黑体" w:eastAsia="黑体" w:cs="黑体"/>
          <w:b w:val="0"/>
          <w:bCs w:val="0"/>
          <w:sz w:val="32"/>
          <w:szCs w:val="32"/>
          <w:lang w:val="en-US" w:eastAsia="zh-CN"/>
        </w:rPr>
        <w:t>效</w:t>
      </w:r>
      <w:bookmarkEnd w:id="82"/>
      <w:r>
        <w:rPr>
          <w:rFonts w:hint="eastAsia" w:ascii="黑体" w:hAnsi="黑体" w:eastAsia="黑体" w:cs="黑体"/>
          <w:b w:val="0"/>
          <w:bCs w:val="0"/>
          <w:sz w:val="32"/>
          <w:szCs w:val="32"/>
          <w:lang w:val="en-US" w:eastAsia="zh-CN"/>
        </w:rPr>
        <w:t>经验</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27"/>
        <w:widowControl w:val="0"/>
        <w:wordWrap/>
        <w:spacing w:before="0" w:after="0" w:line="560" w:lineRule="exact"/>
        <w:ind w:left="0" w:leftChars="0" w:right="0" w:firstLine="640" w:firstLineChars="200"/>
        <w:jc w:val="both"/>
        <w:textAlignment w:val="auto"/>
        <w:rPr>
          <w:rFonts w:hint="default"/>
        </w:rPr>
      </w:pPr>
      <w:r>
        <w:rPr>
          <w:rFonts w:hint="eastAsia"/>
          <w:lang w:eastAsia="zh-CN"/>
        </w:rPr>
        <w:t>“</w:t>
      </w:r>
      <w:r>
        <w:rPr>
          <w:rFonts w:hint="default"/>
        </w:rPr>
        <w:t>十三五</w:t>
      </w:r>
      <w:r>
        <w:rPr>
          <w:rFonts w:hint="eastAsia"/>
          <w:lang w:eastAsia="zh-CN"/>
        </w:rPr>
        <w:t>”</w:t>
      </w:r>
      <w:r>
        <w:rPr>
          <w:rFonts w:hint="default"/>
        </w:rPr>
        <w:t>时期，韶关市</w:t>
      </w:r>
      <w:r>
        <w:rPr>
          <w:rFonts w:hint="default" w:ascii="Times New Roman" w:hAnsi="Times New Roman" w:eastAsia="仿宋_GB2312" w:cs="Times New Roman"/>
          <w:color w:val="auto"/>
          <w:sz w:val="32"/>
          <w:szCs w:val="32"/>
        </w:rPr>
        <w:t>委、市政府</w:t>
      </w:r>
      <w:r>
        <w:rPr>
          <w:rFonts w:hint="default"/>
        </w:rPr>
        <w:t>坚持以习近平生态文明思想为指导，认真贯彻党中央、国务院决策部</w:t>
      </w:r>
      <w:r>
        <w:rPr>
          <w:rFonts w:hint="default"/>
          <w:lang w:eastAsia="zh-CN"/>
        </w:rPr>
        <w:t>署</w:t>
      </w:r>
      <w:r>
        <w:rPr>
          <w:rFonts w:hint="default"/>
        </w:rPr>
        <w:t>，深入落实省委、省政府</w:t>
      </w:r>
      <w:r>
        <w:rPr>
          <w:rFonts w:hint="eastAsia"/>
          <w:lang w:eastAsia="zh-CN"/>
        </w:rPr>
        <w:t>“</w:t>
      </w:r>
      <w:r>
        <w:rPr>
          <w:rFonts w:hint="default"/>
        </w:rPr>
        <w:t>1+1+9</w:t>
      </w:r>
      <w:r>
        <w:rPr>
          <w:rFonts w:hint="eastAsia"/>
          <w:lang w:eastAsia="zh-CN"/>
        </w:rPr>
        <w:t>”</w:t>
      </w:r>
      <w:r>
        <w:rPr>
          <w:rFonts w:hint="default"/>
        </w:rPr>
        <w:t>工作部署和加快构建</w:t>
      </w:r>
      <w:r>
        <w:rPr>
          <w:rFonts w:hint="eastAsia"/>
          <w:lang w:eastAsia="zh-CN"/>
        </w:rPr>
        <w:t>“</w:t>
      </w:r>
      <w:r>
        <w:rPr>
          <w:rFonts w:hint="default"/>
        </w:rPr>
        <w:t>一核一带一区</w:t>
      </w:r>
      <w:r>
        <w:rPr>
          <w:rFonts w:hint="eastAsia"/>
          <w:lang w:eastAsia="zh-CN"/>
        </w:rPr>
        <w:t>”</w:t>
      </w:r>
      <w:r>
        <w:rPr>
          <w:rFonts w:hint="default"/>
        </w:rPr>
        <w:t>区域发展格局要求，坚决扛起生态环境保护政治责任，坚持生态优先、绿色发展，全面部署污染防治攻坚战，扎实推进山水林田湖草生态修复试点</w:t>
      </w:r>
      <w:r>
        <w:rPr>
          <w:rFonts w:hint="eastAsia"/>
          <w:lang w:eastAsia="zh-CN"/>
        </w:rPr>
        <w:t>、</w:t>
      </w:r>
      <w:r>
        <w:rPr>
          <w:rFonts w:hint="default"/>
        </w:rPr>
        <w:t>土壤污染</w:t>
      </w:r>
      <w:r>
        <w:rPr>
          <w:rFonts w:hint="eastAsia"/>
          <w:lang w:eastAsia="zh-CN"/>
        </w:rPr>
        <w:t>综合</w:t>
      </w:r>
      <w:r>
        <w:rPr>
          <w:rFonts w:hint="default"/>
        </w:rPr>
        <w:t>防治先行区建设、生态保护红线划定、第二次全国污染源普查、</w:t>
      </w:r>
      <w:r>
        <w:rPr>
          <w:rFonts w:hint="eastAsia"/>
          <w:lang w:eastAsia="zh-CN"/>
        </w:rPr>
        <w:t>“</w:t>
      </w:r>
      <w:r>
        <w:rPr>
          <w:rFonts w:hint="default"/>
        </w:rPr>
        <w:t>三线一单</w:t>
      </w:r>
      <w:r>
        <w:rPr>
          <w:rFonts w:hint="eastAsia"/>
          <w:lang w:eastAsia="zh-CN"/>
        </w:rPr>
        <w:t>”</w:t>
      </w:r>
      <w:r>
        <w:rPr>
          <w:rFonts w:hint="default"/>
        </w:rPr>
        <w:t>生态环境分区管控、自然保护地整合优化、农村人居环境</w:t>
      </w:r>
      <w:r>
        <w:rPr>
          <w:rFonts w:hint="eastAsia"/>
          <w:lang w:val="en-US" w:eastAsia="zh-CN"/>
        </w:rPr>
        <w:t>综合</w:t>
      </w:r>
      <w:r>
        <w:rPr>
          <w:rFonts w:hint="default"/>
        </w:rPr>
        <w:t>整治等工作，凝心聚力，砥砺奋进，全面完成</w:t>
      </w:r>
      <w:r>
        <w:rPr>
          <w:rFonts w:hint="eastAsia"/>
          <w:lang w:eastAsia="zh-CN"/>
        </w:rPr>
        <w:t>“</w:t>
      </w:r>
      <w:r>
        <w:rPr>
          <w:rFonts w:hint="default"/>
        </w:rPr>
        <w:t>十三五</w:t>
      </w:r>
      <w:r>
        <w:rPr>
          <w:rFonts w:hint="eastAsia"/>
          <w:lang w:eastAsia="zh-CN"/>
        </w:rPr>
        <w:t>”</w:t>
      </w:r>
      <w:r>
        <w:rPr>
          <w:rFonts w:hint="default"/>
        </w:rPr>
        <w:t>生态环境保护目标任务，为</w:t>
      </w:r>
      <w:r>
        <w:rPr>
          <w:rFonts w:hint="eastAsia"/>
          <w:lang w:eastAsia="zh-CN"/>
        </w:rPr>
        <w:t>“</w:t>
      </w:r>
      <w:r>
        <w:rPr>
          <w:rFonts w:hint="default"/>
        </w:rPr>
        <w:t>十四五</w:t>
      </w:r>
      <w:r>
        <w:rPr>
          <w:rFonts w:hint="eastAsia"/>
          <w:lang w:eastAsia="zh-CN"/>
        </w:rPr>
        <w:t>”</w:t>
      </w:r>
      <w:r>
        <w:rPr>
          <w:rFonts w:hint="default"/>
        </w:rPr>
        <w:t>加强生态环境保护、深入打好污染防治攻坚战奠定坚实基础。</w:t>
      </w:r>
    </w:p>
    <w:p>
      <w:pPr>
        <w:pStyle w:val="5"/>
        <w:widowControl w:val="0"/>
        <w:wordWrap/>
        <w:adjustRightInd w:val="0"/>
        <w:snapToGrid w:val="0"/>
        <w:spacing w:before="0" w:after="0" w:line="560" w:lineRule="exact"/>
        <w:ind w:left="0" w:leftChars="0" w:right="0" w:firstLine="640" w:firstLineChars="200"/>
        <w:jc w:val="both"/>
        <w:textAlignment w:val="auto"/>
        <w:rPr>
          <w:rFonts w:hint="eastAsia" w:ascii="黑体" w:hAnsi="黑体" w:eastAsia="黑体" w:cs="黑体"/>
          <w:b w:val="0"/>
          <w:bCs w:val="0"/>
          <w:color w:val="auto"/>
        </w:rPr>
      </w:pPr>
      <w:bookmarkStart w:id="98" w:name="_Toc22718"/>
      <w:bookmarkStart w:id="99" w:name="_Toc27395"/>
      <w:bookmarkStart w:id="100" w:name="_Toc11680"/>
      <w:bookmarkStart w:id="101" w:name="_Toc31102"/>
      <w:bookmarkStart w:id="102" w:name="_Toc996"/>
      <w:bookmarkStart w:id="103" w:name="_Toc3138"/>
      <w:bookmarkStart w:id="104" w:name="_Toc18845"/>
      <w:bookmarkStart w:id="105" w:name="_Toc1037"/>
      <w:bookmarkStart w:id="106" w:name="_Toc14464"/>
      <w:bookmarkStart w:id="107" w:name="_Toc197"/>
      <w:bookmarkStart w:id="108" w:name="_Toc10601"/>
      <w:bookmarkStart w:id="109" w:name="_Toc15297"/>
      <w:bookmarkStart w:id="110" w:name="_Toc31494"/>
      <w:bookmarkStart w:id="111" w:name="_Toc2477"/>
      <w:bookmarkStart w:id="112" w:name="_Toc23510"/>
      <w:r>
        <w:rPr>
          <w:rFonts w:hint="eastAsia" w:ascii="黑体" w:hAnsi="黑体" w:eastAsia="黑体" w:cs="黑体"/>
          <w:b w:val="0"/>
          <w:bCs w:val="0"/>
          <w:color w:val="auto"/>
        </w:rPr>
        <w:t>一、</w:t>
      </w:r>
      <w:r>
        <w:rPr>
          <w:rFonts w:hint="eastAsia" w:ascii="黑体" w:hAnsi="黑体" w:eastAsia="黑体" w:cs="黑体"/>
          <w:b w:val="0"/>
          <w:bCs w:val="0"/>
          <w:color w:val="auto"/>
          <w:lang w:val="en-US" w:eastAsia="zh-CN"/>
        </w:rPr>
        <w:t>生态</w:t>
      </w:r>
      <w:r>
        <w:rPr>
          <w:rFonts w:hint="eastAsia" w:ascii="黑体" w:hAnsi="黑体" w:eastAsia="黑体" w:cs="黑体"/>
          <w:b w:val="0"/>
          <w:bCs w:val="0"/>
          <w:color w:val="auto"/>
        </w:rPr>
        <w:t>环境质量持续改善</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27"/>
        <w:widowControl w:val="0"/>
        <w:wordWrap/>
        <w:adjustRightInd/>
        <w:snapToGrid/>
        <w:spacing w:before="0" w:after="0" w:line="560" w:lineRule="exact"/>
        <w:ind w:left="0" w:leftChars="0" w:right="0" w:firstLine="640" w:firstLineChars="200"/>
        <w:jc w:val="both"/>
        <w:textAlignment w:val="auto"/>
        <w:outlineLvl w:val="9"/>
        <w:rPr>
          <w:rFonts w:hint="default"/>
        </w:rPr>
      </w:pPr>
      <w:r>
        <w:rPr>
          <w:rFonts w:hint="default"/>
        </w:rPr>
        <w:t>市委、市政府</w:t>
      </w:r>
      <w:r>
        <w:rPr>
          <w:rFonts w:hint="eastAsia"/>
        </w:rPr>
        <w:t>高位推动、亲抓亲管</w:t>
      </w:r>
      <w:r>
        <w:rPr>
          <w:rFonts w:hint="default"/>
        </w:rPr>
        <w:t>推进生态保护和污染防治，</w:t>
      </w:r>
      <w:r>
        <w:rPr>
          <w:rFonts w:hint="eastAsia"/>
          <w:lang w:val="en-US" w:eastAsia="zh-CN"/>
        </w:rPr>
        <w:t>高质量</w:t>
      </w:r>
      <w:r>
        <w:rPr>
          <w:rFonts w:hint="default"/>
        </w:rPr>
        <w:t>完成污染防治攻坚战三年行动目标任务，生态环境质量明显改善</w:t>
      </w:r>
      <w:r>
        <w:rPr>
          <w:rFonts w:hint="eastAsia"/>
          <w:lang w:eastAsia="zh-CN"/>
        </w:rPr>
        <w:t>，</w:t>
      </w:r>
      <w:r>
        <w:t>2019年度</w:t>
      </w:r>
      <w:r>
        <w:rPr>
          <w:rFonts w:hint="eastAsia"/>
          <w:lang w:val="en-US" w:eastAsia="zh-CN"/>
        </w:rPr>
        <w:t>获得国务院督查激励。</w:t>
      </w:r>
    </w:p>
    <w:p>
      <w:pPr>
        <w:pStyle w:val="27"/>
        <w:widowControl w:val="0"/>
        <w:wordWrap/>
        <w:adjustRightInd/>
        <w:snapToGrid/>
        <w:spacing w:before="0" w:after="0" w:line="560" w:lineRule="exact"/>
        <w:ind w:left="0" w:leftChars="0" w:right="0" w:firstLine="640" w:firstLineChars="200"/>
        <w:jc w:val="both"/>
        <w:textAlignment w:val="auto"/>
        <w:outlineLvl w:val="9"/>
        <w:rPr>
          <w:rFonts w:hint="default"/>
        </w:rPr>
      </w:pPr>
      <w:r>
        <w:rPr>
          <w:rFonts w:hint="eastAsia" w:ascii="楷体_GB2312" w:hAnsi="楷体_GB2312" w:eastAsia="楷体_GB2312" w:cs="楷体_GB2312"/>
        </w:rPr>
        <w:t>大气环境质量显著改善。</w:t>
      </w:r>
      <w:r>
        <w:rPr>
          <w:rFonts w:hint="default"/>
        </w:rPr>
        <w:t>2016</w:t>
      </w:r>
      <w:r>
        <w:rPr>
          <w:rFonts w:hint="eastAsia"/>
          <w:lang w:eastAsia="zh-CN"/>
        </w:rPr>
        <w:t>—</w:t>
      </w:r>
      <w:r>
        <w:rPr>
          <w:rFonts w:hint="default"/>
        </w:rPr>
        <w:t>2020年，市区空气质量</w:t>
      </w:r>
      <w:r>
        <w:rPr>
          <w:rFonts w:hint="default"/>
          <w:lang w:val="zh-CN"/>
        </w:rPr>
        <w:t>优良率分别为：</w:t>
      </w:r>
      <w:r>
        <w:rPr>
          <w:rFonts w:hint="default"/>
        </w:rPr>
        <w:t>93.4%、89.3%、90.4%、</w:t>
      </w:r>
      <w:r>
        <w:rPr>
          <w:rFonts w:hint="default"/>
          <w:lang w:val="zh-CN"/>
        </w:rPr>
        <w:t>92.</w:t>
      </w:r>
      <w:r>
        <w:rPr>
          <w:rFonts w:hint="default"/>
        </w:rPr>
        <w:t>6</w:t>
      </w:r>
      <w:r>
        <w:rPr>
          <w:rFonts w:hint="default"/>
          <w:lang w:val="zh-CN"/>
        </w:rPr>
        <w:t>%、</w:t>
      </w:r>
      <w:r>
        <w:rPr>
          <w:rFonts w:hint="default"/>
        </w:rPr>
        <w:t>97.3%。细颗粒物（PM</w:t>
      </w:r>
      <w:r>
        <w:rPr>
          <w:rFonts w:hint="default"/>
          <w:vertAlign w:val="subscript"/>
        </w:rPr>
        <w:t>2.5</w:t>
      </w:r>
      <w:r>
        <w:rPr>
          <w:rFonts w:hint="default"/>
        </w:rPr>
        <w:t>）年平均浓度在24</w:t>
      </w:r>
      <w:r>
        <w:rPr>
          <w:rFonts w:hint="eastAsia"/>
          <w:lang w:val="en-US" w:eastAsia="zh-CN"/>
        </w:rPr>
        <w:t>—</w:t>
      </w:r>
      <w:r>
        <w:rPr>
          <w:rFonts w:hint="default"/>
        </w:rPr>
        <w:t>35</w:t>
      </w:r>
      <w:r>
        <w:rPr>
          <w:rFonts w:hint="eastAsia"/>
          <w:lang w:eastAsia="zh-CN"/>
        </w:rPr>
        <w:t>微克</w:t>
      </w:r>
      <w:r>
        <w:rPr>
          <w:rFonts w:hint="eastAsia"/>
          <w:lang w:val="en-US" w:eastAsia="zh-CN"/>
        </w:rPr>
        <w:t>/立方米</w:t>
      </w:r>
      <w:r>
        <w:rPr>
          <w:rFonts w:hint="default"/>
        </w:rPr>
        <w:t>之间，符合国家环境空气质量二级标准</w:t>
      </w:r>
      <w:r>
        <w:rPr>
          <w:rFonts w:hint="default"/>
          <w:lang w:val="en-US" w:eastAsia="zh-CN"/>
        </w:rPr>
        <w:t>要求</w:t>
      </w:r>
      <w:r>
        <w:rPr>
          <w:rFonts w:hint="default"/>
        </w:rPr>
        <w:t>；2020年，PM</w:t>
      </w:r>
      <w:r>
        <w:rPr>
          <w:rFonts w:hint="default"/>
          <w:vertAlign w:val="subscript"/>
        </w:rPr>
        <w:t>2.5</w:t>
      </w:r>
      <w:r>
        <w:rPr>
          <w:rFonts w:hint="default"/>
        </w:rPr>
        <w:t>平均浓度为24</w:t>
      </w:r>
      <w:r>
        <w:rPr>
          <w:rFonts w:hint="eastAsia"/>
          <w:lang w:eastAsia="zh-CN"/>
        </w:rPr>
        <w:t>微克</w:t>
      </w:r>
      <w:r>
        <w:rPr>
          <w:rFonts w:hint="eastAsia"/>
          <w:lang w:val="en-US" w:eastAsia="zh-CN"/>
        </w:rPr>
        <w:t>/立方米</w:t>
      </w:r>
      <w:r>
        <w:rPr>
          <w:rFonts w:hint="default"/>
        </w:rPr>
        <w:t>，首次达到世卫组织标准（25</w:t>
      </w:r>
      <w:r>
        <w:rPr>
          <w:rFonts w:hint="eastAsia"/>
          <w:lang w:eastAsia="zh-CN"/>
        </w:rPr>
        <w:t>微克</w:t>
      </w:r>
      <w:r>
        <w:rPr>
          <w:rFonts w:hint="eastAsia"/>
          <w:lang w:val="en-US" w:eastAsia="zh-CN"/>
        </w:rPr>
        <w:t>/立方米</w:t>
      </w:r>
      <w:r>
        <w:rPr>
          <w:rFonts w:hint="default"/>
        </w:rPr>
        <w:t>）。2020年市区环境空气质量创2014年以来最好纪录，超额完成省考下达的约束性考核任务。</w:t>
      </w:r>
    </w:p>
    <w:p>
      <w:pPr>
        <w:pStyle w:val="27"/>
        <w:widowControl w:val="0"/>
        <w:wordWrap/>
        <w:adjustRightInd/>
        <w:snapToGrid/>
        <w:spacing w:before="0" w:after="0" w:line="560" w:lineRule="exact"/>
        <w:ind w:left="0" w:leftChars="0" w:right="0" w:firstLine="640" w:firstLineChars="200"/>
        <w:jc w:val="both"/>
        <w:textAlignment w:val="auto"/>
        <w:outlineLvl w:val="9"/>
        <w:rPr>
          <w:rFonts w:hint="default"/>
        </w:rPr>
      </w:pPr>
      <w:r>
        <w:rPr>
          <w:rFonts w:hint="eastAsia" w:ascii="楷体_GB2312" w:hAnsi="楷体_GB2312" w:eastAsia="楷体_GB2312" w:cs="楷体_GB2312"/>
        </w:rPr>
        <w:t>水环境质量保持优良。</w:t>
      </w:r>
      <w:r>
        <w:rPr>
          <w:rFonts w:hint="default"/>
        </w:rPr>
        <w:t>2017</w:t>
      </w:r>
      <w:r>
        <w:rPr>
          <w:rFonts w:hint="eastAsia"/>
          <w:lang w:eastAsia="zh-CN"/>
        </w:rPr>
        <w:t>—</w:t>
      </w:r>
      <w:r>
        <w:rPr>
          <w:rFonts w:hint="eastAsia"/>
        </w:rPr>
        <w:t>2020</w:t>
      </w:r>
      <w:r>
        <w:rPr>
          <w:rFonts w:hint="eastAsia"/>
          <w:lang w:eastAsia="zh-CN"/>
        </w:rPr>
        <w:t>年</w:t>
      </w:r>
      <w:r>
        <w:rPr>
          <w:rFonts w:hint="default"/>
        </w:rPr>
        <w:t>，地表水省考以上考核断面水质优良率（Ⅰ</w:t>
      </w:r>
      <w:r>
        <w:rPr>
          <w:rFonts w:hint="eastAsia"/>
          <w:lang w:eastAsia="zh-CN"/>
        </w:rPr>
        <w:t>—</w:t>
      </w:r>
      <w:r>
        <w:rPr>
          <w:rFonts w:hint="default"/>
        </w:rPr>
        <w:t>Ⅲ类）均为100%，提早两年完成水污染防治目标。2019年、2020年，韶关市水环境质量排名全广东省前三位；2019年，水质改善幅度在全国排名第29。</w:t>
      </w:r>
      <w:r>
        <w:t>2016</w:t>
      </w:r>
      <w:r>
        <w:rPr>
          <w:rFonts w:hint="eastAsia"/>
          <w:lang w:eastAsia="zh-CN"/>
        </w:rPr>
        <w:t>—</w:t>
      </w:r>
      <w:r>
        <w:t>2020年全市县级以上集中式饮用水源地水质达标率保持为</w:t>
      </w:r>
      <w:r>
        <w:rPr>
          <w:rFonts w:hint="eastAsia"/>
        </w:rPr>
        <w:t>100%，且均达到Ⅱ类水以上要求；全市地表水劣Ⅴ类水体断面比例为0。</w:t>
      </w:r>
    </w:p>
    <w:p>
      <w:pPr>
        <w:pStyle w:val="27"/>
        <w:widowControl w:val="0"/>
        <w:wordWrap/>
        <w:adjustRightInd/>
        <w:snapToGrid/>
        <w:spacing w:before="0" w:after="0" w:line="560" w:lineRule="exact"/>
        <w:ind w:left="0" w:leftChars="0" w:right="0" w:firstLine="640" w:firstLineChars="200"/>
        <w:jc w:val="both"/>
        <w:textAlignment w:val="auto"/>
        <w:outlineLvl w:val="9"/>
        <w:rPr>
          <w:rFonts w:hint="eastAsia" w:ascii="Times New Roman" w:hAnsi="Times New Roman" w:eastAsia="仿宋_GB2312" w:cs="Times New Roman"/>
          <w:color w:val="auto"/>
          <w:szCs w:val="32"/>
          <w:lang w:val="en-US" w:eastAsia="zh-CN"/>
        </w:rPr>
      </w:pPr>
      <w:r>
        <w:rPr>
          <w:rFonts w:hint="eastAsia" w:ascii="楷体_GB2312" w:hAnsi="楷体_GB2312" w:eastAsia="楷体_GB2312" w:cs="楷体_GB2312"/>
        </w:rPr>
        <w:t>土壤环境风险有效管控。</w:t>
      </w:r>
      <w:r>
        <w:rPr>
          <w:rFonts w:hint="eastAsia"/>
          <w:lang w:val="en-US" w:eastAsia="zh-CN"/>
        </w:rPr>
        <w:t>全市</w:t>
      </w:r>
      <w:r>
        <w:rPr>
          <w:rFonts w:hint="default"/>
        </w:rPr>
        <w:t>区域内污染地块安全利用率为100%，受污染耕地安全利用率可达9</w:t>
      </w:r>
      <w:r>
        <w:rPr>
          <w:rFonts w:hint="default"/>
          <w:lang w:val="en-US" w:eastAsia="zh-CN"/>
        </w:rPr>
        <w:t>2.53</w:t>
      </w:r>
      <w:r>
        <w:rPr>
          <w:rFonts w:hint="default"/>
        </w:rPr>
        <w:t>%，</w:t>
      </w:r>
      <w:r>
        <w:rPr>
          <w:rFonts w:hint="eastAsia"/>
          <w:lang w:val="en-US" w:eastAsia="zh-CN"/>
        </w:rPr>
        <w:t>提前</w:t>
      </w:r>
      <w:r>
        <w:rPr>
          <w:rFonts w:hint="default"/>
        </w:rPr>
        <w:t>完成</w:t>
      </w:r>
      <w:r>
        <w:rPr>
          <w:rFonts w:hint="eastAsia"/>
          <w:lang w:val="en-US" w:eastAsia="zh-CN"/>
        </w:rPr>
        <w:t>省</w:t>
      </w:r>
      <w:r>
        <w:rPr>
          <w:rFonts w:hint="default"/>
        </w:rPr>
        <w:t>考核目标</w:t>
      </w:r>
      <w:r>
        <w:rPr>
          <w:rFonts w:hint="eastAsia"/>
          <w:lang w:eastAsia="zh-CN"/>
        </w:rPr>
        <w:t>。</w:t>
      </w:r>
    </w:p>
    <w:p>
      <w:pPr>
        <w:pStyle w:val="5"/>
        <w:widowControl w:val="0"/>
        <w:wordWrap/>
        <w:adjustRightInd w:val="0"/>
        <w:snapToGrid w:val="0"/>
        <w:spacing w:before="0" w:after="0" w:line="560" w:lineRule="exact"/>
        <w:ind w:left="0" w:leftChars="0" w:right="0" w:firstLine="640" w:firstLineChars="200"/>
        <w:jc w:val="both"/>
        <w:textAlignment w:val="auto"/>
        <w:rPr>
          <w:rFonts w:hint="default" w:ascii="黑体" w:hAnsi="黑体" w:eastAsia="黑体" w:cs="黑体"/>
          <w:b w:val="0"/>
          <w:bCs w:val="0"/>
          <w:color w:val="auto"/>
        </w:rPr>
      </w:pPr>
      <w:bookmarkStart w:id="113" w:name="_Toc4586"/>
      <w:bookmarkStart w:id="114" w:name="_Toc20606"/>
      <w:bookmarkStart w:id="115" w:name="_Toc6612"/>
      <w:bookmarkStart w:id="116" w:name="_Toc5415"/>
      <w:bookmarkStart w:id="117" w:name="_Toc11348"/>
      <w:bookmarkStart w:id="118" w:name="_Toc23100"/>
      <w:bookmarkStart w:id="119" w:name="_Toc25458"/>
      <w:bookmarkStart w:id="120" w:name="_Toc2973"/>
      <w:bookmarkStart w:id="121" w:name="_Toc585"/>
      <w:bookmarkStart w:id="122" w:name="_Toc15709"/>
      <w:bookmarkStart w:id="123" w:name="_Toc32210"/>
      <w:bookmarkStart w:id="124" w:name="_Toc28655"/>
      <w:bookmarkStart w:id="125" w:name="_Toc11051"/>
      <w:bookmarkStart w:id="126" w:name="_Toc22918"/>
      <w:bookmarkStart w:id="127" w:name="_Toc5661"/>
      <w:r>
        <w:rPr>
          <w:rFonts w:hint="default" w:ascii="黑体" w:hAnsi="黑体" w:eastAsia="黑体" w:cs="黑体"/>
          <w:b w:val="0"/>
          <w:bCs w:val="0"/>
          <w:color w:val="auto"/>
        </w:rPr>
        <w:t>二、环境基础设施建设成效显著</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27"/>
        <w:widowControl w:val="0"/>
        <w:wordWrap/>
        <w:adjustRightInd/>
        <w:snapToGrid/>
        <w:spacing w:before="0" w:after="0" w:line="560" w:lineRule="exact"/>
        <w:ind w:left="0" w:leftChars="0" w:right="0" w:firstLine="640" w:firstLineChars="200"/>
        <w:jc w:val="both"/>
        <w:textAlignment w:val="auto"/>
        <w:outlineLvl w:val="9"/>
        <w:rPr>
          <w:rFonts w:hint="default" w:cs="Times New Roman"/>
          <w:lang w:val="en-US" w:eastAsia="zh-CN"/>
        </w:rPr>
      </w:pPr>
      <w:r>
        <w:rPr>
          <w:rFonts w:hint="eastAsia" w:ascii="楷体_GB2312" w:hAnsi="楷体_GB2312" w:eastAsia="楷体_GB2312" w:cs="楷体_GB2312"/>
          <w:lang w:val="en-US" w:eastAsia="zh-CN"/>
        </w:rPr>
        <w:t>基本建成</w:t>
      </w:r>
      <w:r>
        <w:rPr>
          <w:rFonts w:hint="eastAsia" w:ascii="楷体_GB2312" w:hAnsi="楷体_GB2312" w:eastAsia="楷体_GB2312" w:cs="楷体_GB2312"/>
        </w:rPr>
        <w:t>环保基础设施</w:t>
      </w:r>
      <w:r>
        <w:rPr>
          <w:rFonts w:hint="eastAsia" w:ascii="楷体_GB2312" w:hAnsi="楷体_GB2312" w:eastAsia="楷体_GB2312" w:cs="楷体_GB2312"/>
          <w:lang w:val="en-US" w:eastAsia="zh-CN"/>
        </w:rPr>
        <w:t>体系</w:t>
      </w:r>
      <w:r>
        <w:rPr>
          <w:rFonts w:hint="eastAsia" w:ascii="楷体_GB2312" w:hAnsi="楷体_GB2312" w:eastAsia="楷体_GB2312" w:cs="楷体_GB2312"/>
          <w:lang w:eastAsia="zh-CN"/>
        </w:rPr>
        <w:t>。</w:t>
      </w:r>
      <w:r>
        <w:rPr>
          <w:rFonts w:hint="eastAsia" w:cs="Times New Roman"/>
          <w:lang w:eastAsia="zh-CN"/>
        </w:rPr>
        <w:t>“</w:t>
      </w:r>
      <w:r>
        <w:rPr>
          <w:rFonts w:hint="default" w:cs="Times New Roman"/>
        </w:rPr>
        <w:t>十三五</w:t>
      </w:r>
      <w:r>
        <w:rPr>
          <w:rFonts w:hint="eastAsia" w:cs="Times New Roman"/>
          <w:lang w:eastAsia="zh-CN"/>
        </w:rPr>
        <w:t>”</w:t>
      </w:r>
      <w:r>
        <w:rPr>
          <w:rFonts w:hint="default" w:cs="Times New Roman"/>
        </w:rPr>
        <w:t>期间，建成城镇生活污水处理厂</w:t>
      </w:r>
      <w:r>
        <w:rPr>
          <w:rFonts w:hint="eastAsia" w:cs="Times New Roman"/>
          <w:lang w:val="en-US" w:eastAsia="zh-CN"/>
        </w:rPr>
        <w:t>72</w:t>
      </w:r>
      <w:r>
        <w:rPr>
          <w:rFonts w:hint="default" w:cs="Times New Roman"/>
        </w:rPr>
        <w:t>座，新增县级以上城市污水处理设施处理能力19.20万吨/日，新增镇级污水处理能力8.18万吨/日，新增县级以上城市污水管网331.75</w:t>
      </w:r>
      <w:r>
        <w:rPr>
          <w:rFonts w:hint="eastAsia" w:cs="Times New Roman"/>
          <w:lang w:eastAsia="zh-CN"/>
        </w:rPr>
        <w:t>千米</w:t>
      </w:r>
      <w:r>
        <w:rPr>
          <w:rFonts w:hint="default" w:cs="Times New Roman"/>
        </w:rPr>
        <w:t>，新增镇级污水管网530.47</w:t>
      </w:r>
      <w:r>
        <w:rPr>
          <w:rFonts w:hint="eastAsia" w:cs="Times New Roman"/>
          <w:lang w:val="en-US" w:eastAsia="zh-CN"/>
        </w:rPr>
        <w:t>千米</w:t>
      </w:r>
      <w:r>
        <w:rPr>
          <w:rFonts w:hint="default" w:cs="Times New Roman"/>
        </w:rPr>
        <w:t>，改造城镇老旧污水管网52.84</w:t>
      </w:r>
      <w:r>
        <w:rPr>
          <w:rFonts w:hint="eastAsia" w:cs="Times New Roman"/>
          <w:lang w:eastAsia="zh-CN"/>
        </w:rPr>
        <w:t>千米</w:t>
      </w:r>
      <w:r>
        <w:rPr>
          <w:rFonts w:hint="default" w:cs="Times New Roman"/>
        </w:rPr>
        <w:t>。建成工业园区污水处理设施11座。</w:t>
      </w:r>
      <w:r>
        <w:rPr>
          <w:rFonts w:cs="Times New Roman"/>
        </w:rPr>
        <w:t>全力推进农业农村水污染治理，美丽宜居村达标率56.45%，干净整洁村达标率97.93%；累计改成无害化卫生户厕520261户，无害化卫生户厕普及率达100%</w:t>
      </w:r>
      <w:r>
        <w:rPr>
          <w:rFonts w:hint="eastAsia" w:cs="Times New Roman"/>
          <w:lang w:eastAsia="zh-CN"/>
        </w:rPr>
        <w:t>；</w:t>
      </w:r>
      <w:r>
        <w:rPr>
          <w:rFonts w:cs="Times New Roman"/>
        </w:rPr>
        <w:t>自然村生活污水治理完成率</w:t>
      </w:r>
      <w:r>
        <w:rPr>
          <w:rFonts w:hint="default" w:cs="Times New Roman"/>
          <w:lang w:eastAsia="zh-CN"/>
        </w:rPr>
        <w:t>5</w:t>
      </w:r>
      <w:r>
        <w:rPr>
          <w:rFonts w:hint="default" w:cs="Times New Roman"/>
          <w:lang w:val="en-US" w:eastAsia="zh-CN"/>
        </w:rPr>
        <w:t>5.79</w:t>
      </w:r>
      <w:r>
        <w:rPr>
          <w:rFonts w:cs="Times New Roman"/>
        </w:rPr>
        <w:t>%；自然村雨污分流、污水排放管道收集或暗渠化完成率82.06%。</w:t>
      </w:r>
      <w:r>
        <w:rPr>
          <w:rFonts w:hint="default" w:cs="Times New Roman"/>
        </w:rPr>
        <w:t>此外，全市建成</w:t>
      </w:r>
      <w:r>
        <w:rPr>
          <w:rFonts w:hint="eastAsia" w:cs="Times New Roman"/>
          <w:lang w:val="en-US" w:eastAsia="zh-CN"/>
        </w:rPr>
        <w:t>8</w:t>
      </w:r>
      <w:r>
        <w:rPr>
          <w:rFonts w:hint="default" w:cs="Times New Roman"/>
        </w:rPr>
        <w:t>个污泥处理处置设施，总处理规模为</w:t>
      </w:r>
      <w:r>
        <w:rPr>
          <w:rFonts w:hint="eastAsia" w:cs="Times New Roman"/>
          <w:lang w:val="en-US" w:eastAsia="zh-CN"/>
        </w:rPr>
        <w:t>198.8</w:t>
      </w:r>
      <w:r>
        <w:rPr>
          <w:rFonts w:hint="default" w:cs="Times New Roman"/>
        </w:rPr>
        <w:t>吨/</w:t>
      </w:r>
      <w:r>
        <w:rPr>
          <w:rFonts w:hint="eastAsia" w:cs="Times New Roman"/>
          <w:lang w:eastAsia="zh-CN"/>
        </w:rPr>
        <w:t>天</w:t>
      </w:r>
      <w:r>
        <w:rPr>
          <w:rFonts w:hint="default" w:cs="Times New Roman"/>
        </w:rPr>
        <w:t>（按污泥含水率80%计）。8个县级生活垃圾无害化填埋设施总设计处理能力达到1963吨/天，2个循环经济环保园（垃圾焚烧发电项目）处理能力为1200吨/天，完成56个镇级生活垃圾简易填埋场整治，全市城镇生活垃圾无害化处理率100%。完成5个重点固体废物能力建设项目，建设完成粤北危险废物粤北填埋场项目。</w:t>
      </w:r>
    </w:p>
    <w:p>
      <w:pPr>
        <w:pStyle w:val="27"/>
        <w:widowControl w:val="0"/>
        <w:wordWrap/>
        <w:adjustRightInd/>
        <w:snapToGrid/>
        <w:textAlignment w:val="auto"/>
        <w:outlineLvl w:val="9"/>
        <w:rPr>
          <w:rFonts w:hint="default" w:cs="Times New Roman"/>
        </w:rPr>
      </w:pPr>
      <w:r>
        <w:rPr>
          <w:rFonts w:hint="eastAsia" w:ascii="楷体_GB2312" w:hAnsi="楷体_GB2312" w:eastAsia="楷体_GB2312" w:cs="楷体_GB2312"/>
        </w:rPr>
        <w:t>完善</w:t>
      </w:r>
      <w:r>
        <w:rPr>
          <w:rFonts w:hint="eastAsia" w:ascii="楷体_GB2312" w:hAnsi="楷体_GB2312" w:eastAsia="楷体_GB2312" w:cs="楷体_GB2312"/>
          <w:lang w:val="en-US" w:eastAsia="zh-CN"/>
        </w:rPr>
        <w:t>环境</w:t>
      </w:r>
      <w:r>
        <w:rPr>
          <w:rFonts w:hint="eastAsia" w:ascii="楷体_GB2312" w:hAnsi="楷体_GB2312" w:eastAsia="楷体_GB2312" w:cs="楷体_GB2312"/>
        </w:rPr>
        <w:t>监测体系。</w:t>
      </w:r>
      <w:r>
        <w:rPr>
          <w:rFonts w:cs="Times New Roman"/>
        </w:rPr>
        <w:t>从2019年6月新增了5个市控监测断面，2020年在我市范围内11个水质断面建设了流量监测站点，新增17个水质自动站建设</w:t>
      </w:r>
      <w:r>
        <w:rPr>
          <w:rFonts w:hint="default" w:cs="Times New Roman"/>
          <w:lang w:eastAsia="zh-CN"/>
        </w:rPr>
        <w:t>，</w:t>
      </w:r>
      <w:r>
        <w:rPr>
          <w:rFonts w:hint="default" w:cs="Times New Roman"/>
        </w:rPr>
        <w:t>建成后</w:t>
      </w:r>
      <w:r>
        <w:rPr>
          <w:rFonts w:hint="eastAsia" w:cs="Times New Roman"/>
          <w:lang w:eastAsia="zh-CN"/>
        </w:rPr>
        <w:t>全</w:t>
      </w:r>
      <w:r>
        <w:rPr>
          <w:rFonts w:hint="default" w:cs="Times New Roman"/>
        </w:rPr>
        <w:t>市将有</w:t>
      </w:r>
      <w:r>
        <w:rPr>
          <w:rFonts w:cs="Times New Roman"/>
        </w:rPr>
        <w:t>33个水站，分布于各县（市、区）的主干河流断面</w:t>
      </w:r>
      <w:r>
        <w:rPr>
          <w:rFonts w:hint="eastAsia" w:cs="Times New Roman"/>
          <w:lang w:eastAsia="zh-CN"/>
        </w:rPr>
        <w:t>。</w:t>
      </w:r>
      <w:r>
        <w:rPr>
          <w:rFonts w:hint="default" w:cs="Times New Roman"/>
        </w:rPr>
        <w:t>在城市及周边共设置144个空气质量监测微型站点</w:t>
      </w:r>
      <w:r>
        <w:rPr>
          <w:rFonts w:hint="eastAsia" w:cs="Times New Roman"/>
          <w:lang w:eastAsia="zh-CN"/>
        </w:rPr>
        <w:t>。</w:t>
      </w:r>
      <w:r>
        <w:rPr>
          <w:rFonts w:hint="default" w:cs="Times New Roman"/>
        </w:rPr>
        <w:t>区域水环境质量及空气质量监测体系逐步完善。</w:t>
      </w:r>
    </w:p>
    <w:p>
      <w:pPr>
        <w:pStyle w:val="27"/>
        <w:rPr>
          <w:rFonts w:hint="default" w:cs="Times New Roman"/>
        </w:rPr>
      </w:pPr>
      <w:r>
        <w:rPr>
          <w:rFonts w:hint="eastAsia" w:ascii="楷体_GB2312" w:hAnsi="楷体_GB2312" w:eastAsia="楷体_GB2312" w:cs="楷体_GB2312"/>
          <w:lang w:val="en-US" w:eastAsia="zh-CN"/>
        </w:rPr>
        <w:t>加强</w:t>
      </w:r>
      <w:r>
        <w:rPr>
          <w:rFonts w:hint="eastAsia" w:ascii="楷体_GB2312" w:hAnsi="楷体_GB2312" w:eastAsia="楷体_GB2312" w:cs="楷体_GB2312"/>
        </w:rPr>
        <w:t>环境监管</w:t>
      </w:r>
      <w:r>
        <w:rPr>
          <w:rFonts w:hint="eastAsia" w:ascii="楷体_GB2312" w:hAnsi="楷体_GB2312" w:eastAsia="楷体_GB2312" w:cs="楷体_GB2312"/>
          <w:lang w:val="en-US" w:eastAsia="zh-CN"/>
        </w:rPr>
        <w:t>力度</w:t>
      </w:r>
      <w:r>
        <w:rPr>
          <w:rFonts w:hint="eastAsia" w:ascii="楷体_GB2312" w:hAnsi="楷体_GB2312" w:eastAsia="楷体_GB2312" w:cs="楷体_GB2312"/>
          <w:lang w:eastAsia="zh-CN"/>
        </w:rPr>
        <w:t>。</w:t>
      </w:r>
      <w:r>
        <w:rPr>
          <w:rFonts w:cs="Times New Roman"/>
        </w:rPr>
        <w:t>2016年以来，</w:t>
      </w:r>
      <w:r>
        <w:rPr>
          <w:rFonts w:hint="default" w:cs="Times New Roman"/>
          <w:lang w:val="en-US" w:eastAsia="zh-CN"/>
        </w:rPr>
        <w:t>韶关市</w:t>
      </w:r>
      <w:r>
        <w:rPr>
          <w:rFonts w:hint="default" w:cs="Times New Roman"/>
        </w:rPr>
        <w:t>共出动生态环境保护领域执法人员63689人次，检查企业18191家次；受理群众反映各类环保问题信访件16433宗，处理率100%，按期办结率100%；协调处理《每日舆情》涉环保舆情问题221则，核处回复率100%。积极开展夜间巡查工作，强化暗查暗访工作力度，提高执法效能。</w:t>
      </w:r>
      <w:r>
        <w:rPr>
          <w:rFonts w:hint="default" w:cs="Times New Roman"/>
          <w:lang w:val="zh-CN"/>
        </w:rPr>
        <w:t>全面推行河长制，建立河流管理长效机制。规模以上河湖</w:t>
      </w:r>
      <w:r>
        <w:rPr>
          <w:rFonts w:hint="eastAsia" w:cs="Times New Roman"/>
          <w:lang w:val="zh-CN"/>
        </w:rPr>
        <w:t>“</w:t>
      </w:r>
      <w:r>
        <w:rPr>
          <w:rFonts w:hint="default" w:cs="Times New Roman"/>
          <w:lang w:val="zh-CN"/>
        </w:rPr>
        <w:t>清四乱</w:t>
      </w:r>
      <w:r>
        <w:rPr>
          <w:rFonts w:hint="eastAsia" w:cs="Times New Roman"/>
          <w:lang w:val="zh-CN"/>
        </w:rPr>
        <w:t>”</w:t>
      </w:r>
      <w:r>
        <w:rPr>
          <w:rFonts w:hint="default" w:cs="Times New Roman"/>
          <w:lang w:val="zh-CN"/>
        </w:rPr>
        <w:t>销号率100%，市、县、镇三级河长巡河20940次，发现问题1103个，有效处理1103个，2018年度河长制考核被省评为</w:t>
      </w:r>
      <w:r>
        <w:rPr>
          <w:rFonts w:hint="eastAsia" w:cs="Times New Roman"/>
          <w:lang w:val="zh-CN"/>
        </w:rPr>
        <w:t>“</w:t>
      </w:r>
      <w:r>
        <w:rPr>
          <w:rFonts w:hint="default" w:cs="Times New Roman"/>
          <w:lang w:val="zh-CN"/>
        </w:rPr>
        <w:t>优秀</w:t>
      </w:r>
      <w:r>
        <w:rPr>
          <w:rFonts w:hint="eastAsia" w:cs="Times New Roman"/>
          <w:lang w:val="zh-CN"/>
        </w:rPr>
        <w:t>”</w:t>
      </w:r>
      <w:r>
        <w:rPr>
          <w:rFonts w:hint="default" w:cs="Times New Roman"/>
          <w:lang w:val="zh-CN"/>
        </w:rPr>
        <w:t>等次。</w:t>
      </w:r>
    </w:p>
    <w:p>
      <w:pPr>
        <w:pStyle w:val="5"/>
        <w:widowControl w:val="0"/>
        <w:wordWrap/>
        <w:adjustRightInd w:val="0"/>
        <w:snapToGrid w:val="0"/>
        <w:spacing w:before="0" w:after="0" w:line="560" w:lineRule="exact"/>
        <w:ind w:left="0" w:leftChars="0" w:right="0" w:firstLine="640" w:firstLineChars="200"/>
        <w:jc w:val="both"/>
        <w:textAlignment w:val="auto"/>
        <w:rPr>
          <w:rFonts w:hint="default" w:ascii="黑体" w:hAnsi="黑体" w:eastAsia="黑体" w:cs="黑体"/>
          <w:b w:val="0"/>
          <w:bCs w:val="0"/>
          <w:color w:val="auto"/>
          <w:lang w:val="en-US" w:eastAsia="zh-CN"/>
        </w:rPr>
      </w:pPr>
      <w:bookmarkStart w:id="128" w:name="_Toc698"/>
      <w:bookmarkStart w:id="129" w:name="_Toc26522"/>
      <w:bookmarkStart w:id="130" w:name="_Toc3721"/>
      <w:bookmarkStart w:id="131" w:name="_Toc2020"/>
      <w:bookmarkStart w:id="132" w:name="_Toc94"/>
      <w:bookmarkStart w:id="133" w:name="_Toc19490"/>
      <w:bookmarkStart w:id="134" w:name="_Toc24456"/>
      <w:bookmarkStart w:id="135" w:name="_Toc14149"/>
      <w:bookmarkStart w:id="136" w:name="_Toc19717"/>
      <w:bookmarkStart w:id="137" w:name="_Toc25393"/>
      <w:bookmarkStart w:id="138" w:name="_Toc30921"/>
      <w:bookmarkStart w:id="139" w:name="_Toc32634"/>
      <w:bookmarkStart w:id="140" w:name="_Toc10674"/>
      <w:bookmarkStart w:id="141" w:name="_Toc11361"/>
      <w:bookmarkStart w:id="142" w:name="_Toc27305"/>
      <w:r>
        <w:rPr>
          <w:rFonts w:hint="default" w:ascii="黑体" w:hAnsi="黑体" w:eastAsia="黑体" w:cs="黑体"/>
          <w:b w:val="0"/>
          <w:bCs w:val="0"/>
          <w:color w:val="auto"/>
        </w:rPr>
        <w:t>三、</w:t>
      </w:r>
      <w:r>
        <w:rPr>
          <w:rFonts w:hint="eastAsia" w:ascii="黑体" w:hAnsi="黑体" w:eastAsia="黑体" w:cs="黑体"/>
          <w:b w:val="0"/>
          <w:bCs w:val="0"/>
          <w:color w:val="auto"/>
          <w:lang w:val="en-US" w:eastAsia="zh-CN"/>
        </w:rPr>
        <w:t>主要污染物排放持续减少</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27"/>
        <w:widowControl w:val="0"/>
        <w:wordWrap/>
        <w:adjustRightInd/>
        <w:snapToGrid/>
        <w:textAlignment w:val="auto"/>
        <w:outlineLvl w:val="9"/>
        <w:rPr>
          <w:rFonts w:hint="default" w:cs="Times New Roman"/>
          <w:lang w:val="en-US" w:eastAsia="zh-CN"/>
        </w:rPr>
      </w:pPr>
      <w:r>
        <w:rPr>
          <w:rFonts w:hint="default" w:cs="Times New Roman"/>
        </w:rPr>
        <w:t>韶关市持续锁定工业源、城镇生活源、农业源等重点领域，全面落实减排责任，多措并举推进主要污染物总量减排。积极推动钢铁、火电行业烟气超低排放改造，完成坪石电厂、粤江发电厂、仁化华粤煤矸石电厂等</w:t>
      </w:r>
      <w:r>
        <w:rPr>
          <w:rFonts w:hint="eastAsia" w:cs="Times New Roman"/>
          <w:lang w:eastAsia="zh-CN"/>
        </w:rPr>
        <w:t>企业</w:t>
      </w:r>
      <w:r>
        <w:rPr>
          <w:rFonts w:hint="default" w:cs="Times New Roman"/>
        </w:rPr>
        <w:t>超低排放改造</w:t>
      </w:r>
      <w:r>
        <w:rPr>
          <w:rFonts w:hint="default" w:cs="Times New Roman"/>
          <w:lang w:eastAsia="zh-CN"/>
        </w:rPr>
        <w:t>；</w:t>
      </w:r>
      <w:r>
        <w:rPr>
          <w:rFonts w:hint="default" w:cs="Times New Roman"/>
        </w:rPr>
        <w:t>推进燃煤锅炉淘汰和生物质锅炉整治，完成24台县级及以上城市建成区在用每小时10蒸吨及以下燃煤锅炉淘汰</w:t>
      </w:r>
      <w:r>
        <w:rPr>
          <w:rFonts w:hint="eastAsia" w:cs="Times New Roman"/>
          <w:lang w:eastAsia="zh-CN"/>
        </w:rPr>
        <w:t>，</w:t>
      </w:r>
      <w:r>
        <w:rPr>
          <w:rFonts w:hint="default" w:cs="Times New Roman"/>
        </w:rPr>
        <w:t>完成159台生物质锅炉整治；开展挥发性有机物重点监管企业销号式综合整治，</w:t>
      </w:r>
      <w:r>
        <w:rPr>
          <w:rFonts w:hint="eastAsia" w:cs="Times New Roman"/>
          <w:lang w:eastAsia="zh-CN"/>
        </w:rPr>
        <w:t>“</w:t>
      </w:r>
      <w:r>
        <w:rPr>
          <w:rFonts w:hint="default" w:cs="Times New Roman"/>
        </w:rPr>
        <w:t>一企一策</w:t>
      </w:r>
      <w:r>
        <w:rPr>
          <w:rFonts w:hint="eastAsia" w:cs="Times New Roman"/>
          <w:lang w:eastAsia="zh-CN"/>
        </w:rPr>
        <w:t>”</w:t>
      </w:r>
      <w:r>
        <w:rPr>
          <w:rFonts w:hint="default" w:cs="Times New Roman"/>
        </w:rPr>
        <w:t>推进化工、工业涂装、涂料制造、电子制造以及机动车和油品储运销等行业领域VOCs减排</w:t>
      </w:r>
      <w:r>
        <w:rPr>
          <w:rFonts w:hint="default" w:cs="Times New Roman"/>
          <w:lang w:val="en-US" w:eastAsia="zh-CN"/>
        </w:rPr>
        <w:t>。</w:t>
      </w:r>
      <w:r>
        <w:rPr>
          <w:rFonts w:hint="default" w:cs="Times New Roman"/>
        </w:rPr>
        <w:t>完成了畜禽养殖禁养区清理整治任务，累计完成畜禽规模养殖场污染减排项目412个</w:t>
      </w:r>
      <w:r>
        <w:rPr>
          <w:rFonts w:hint="default" w:cs="Times New Roman"/>
          <w:lang w:val="en-US" w:eastAsia="zh-CN"/>
        </w:rPr>
        <w:t>；</w:t>
      </w:r>
      <w:r>
        <w:rPr>
          <w:rFonts w:hint="default" w:cs="Times New Roman"/>
        </w:rPr>
        <w:t>推动完成</w:t>
      </w:r>
      <w:r>
        <w:rPr>
          <w:rFonts w:hint="eastAsia" w:cs="Times New Roman"/>
          <w:lang w:val="en-US" w:eastAsia="zh-CN"/>
        </w:rPr>
        <w:t>79</w:t>
      </w:r>
      <w:r>
        <w:rPr>
          <w:rFonts w:hint="default" w:cs="Times New Roman"/>
        </w:rPr>
        <w:t>个城镇污水处理设施建设</w:t>
      </w:r>
      <w:r>
        <w:rPr>
          <w:rFonts w:hint="default" w:cs="Times New Roman"/>
          <w:lang w:val="en-US" w:eastAsia="zh-CN"/>
        </w:rPr>
        <w:t>及</w:t>
      </w:r>
      <w:r>
        <w:rPr>
          <w:rFonts w:hint="default" w:cs="Times New Roman"/>
        </w:rPr>
        <w:t>提标改造</w:t>
      </w:r>
      <w:r>
        <w:rPr>
          <w:rFonts w:hint="default" w:cs="Times New Roman"/>
          <w:lang w:val="en-US" w:eastAsia="zh-CN"/>
        </w:rPr>
        <w:t>；</w:t>
      </w:r>
      <w:r>
        <w:rPr>
          <w:rFonts w:hint="default" w:cs="Times New Roman"/>
        </w:rPr>
        <w:t>加强重点污染源监控，全市11个产业转移工业园区全部建成污水处理厂并实现尾水排放在线监控联网；完成了大宝山污水处理厂、南雄精细化工园区</w:t>
      </w:r>
      <w:r>
        <w:rPr>
          <w:rFonts w:hint="eastAsia" w:cs="Times New Roman"/>
          <w:lang w:eastAsia="zh-CN"/>
        </w:rPr>
        <w:t>污水集中处理厂</w:t>
      </w:r>
      <w:r>
        <w:rPr>
          <w:rFonts w:hint="default" w:cs="Times New Roman"/>
        </w:rPr>
        <w:t>、翁源华彩园区污水集中处理厂提标改造项目，华南装备园、翁源开发区电源基地、始兴工业园区马市片区污水集中处理设施均已完成了主体工程建设</w:t>
      </w:r>
      <w:r>
        <w:rPr>
          <w:rFonts w:hint="default" w:cs="Times New Roman"/>
          <w:lang w:eastAsia="zh-CN"/>
        </w:rPr>
        <w:t>，</w:t>
      </w:r>
      <w:r>
        <w:rPr>
          <w:rFonts w:hint="default" w:cs="Times New Roman"/>
          <w:lang w:val="en-US" w:eastAsia="zh-CN"/>
        </w:rPr>
        <w:t>推进</w:t>
      </w:r>
      <w:r>
        <w:rPr>
          <w:rFonts w:hint="default" w:cs="Times New Roman"/>
        </w:rPr>
        <w:t>韶钢集团烧结、炼铁、焦化等重点工序废水处理升级改</w:t>
      </w:r>
      <w:r>
        <w:rPr>
          <w:rFonts w:hint="default" w:cs="Times New Roman"/>
          <w:lang w:val="en-US" w:eastAsia="zh-CN"/>
        </w:rPr>
        <w:t>造。</w:t>
      </w:r>
    </w:p>
    <w:p>
      <w:pPr>
        <w:pStyle w:val="27"/>
        <w:widowControl w:val="0"/>
        <w:wordWrap/>
        <w:adjustRightInd/>
        <w:snapToGrid/>
        <w:textAlignment w:val="auto"/>
        <w:outlineLvl w:val="9"/>
        <w:rPr>
          <w:rFonts w:hint="default" w:cs="Times New Roman"/>
        </w:rPr>
      </w:pPr>
      <w:r>
        <w:rPr>
          <w:rFonts w:hint="default" w:cs="Times New Roman"/>
        </w:rPr>
        <w:t>2016</w:t>
      </w:r>
      <w:r>
        <w:rPr>
          <w:rFonts w:hint="eastAsia" w:cs="Times New Roman"/>
          <w:lang w:eastAsia="zh-CN"/>
        </w:rPr>
        <w:t>—</w:t>
      </w:r>
      <w:r>
        <w:rPr>
          <w:rFonts w:hint="default" w:cs="Times New Roman"/>
        </w:rPr>
        <w:t>2020年，韶关市四项主要污染物排放总量相对于2015年下降比例分别为：化学需氧量</w:t>
      </w:r>
      <w:r>
        <w:rPr>
          <w:rFonts w:hint="eastAsia" w:cs="Times New Roman"/>
          <w:lang w:eastAsia="zh-CN"/>
        </w:rPr>
        <w:t>1</w:t>
      </w:r>
      <w:r>
        <w:rPr>
          <w:rFonts w:hint="eastAsia" w:cs="Times New Roman"/>
          <w:lang w:val="en-US" w:eastAsia="zh-CN"/>
        </w:rPr>
        <w:t>1.12</w:t>
      </w:r>
      <w:r>
        <w:rPr>
          <w:rFonts w:hint="default" w:cs="Times New Roman"/>
        </w:rPr>
        <w:t>%、氨氮</w:t>
      </w:r>
      <w:r>
        <w:rPr>
          <w:rFonts w:hint="eastAsia" w:cs="Times New Roman"/>
          <w:lang w:eastAsia="zh-CN"/>
        </w:rPr>
        <w:t>1</w:t>
      </w:r>
      <w:r>
        <w:rPr>
          <w:rFonts w:hint="eastAsia" w:cs="Times New Roman"/>
          <w:lang w:val="en-US" w:eastAsia="zh-CN"/>
        </w:rPr>
        <w:t>2.64</w:t>
      </w:r>
      <w:r>
        <w:rPr>
          <w:rFonts w:hint="default" w:cs="Times New Roman"/>
        </w:rPr>
        <w:t>%、二氧化硫</w:t>
      </w:r>
      <w:r>
        <w:rPr>
          <w:rFonts w:hint="eastAsia" w:cs="Times New Roman"/>
          <w:lang w:eastAsia="zh-CN"/>
        </w:rPr>
        <w:t>1</w:t>
      </w:r>
      <w:r>
        <w:rPr>
          <w:rFonts w:hint="eastAsia" w:cs="Times New Roman"/>
          <w:lang w:val="en-US" w:eastAsia="zh-CN"/>
        </w:rPr>
        <w:t>7.49</w:t>
      </w:r>
      <w:r>
        <w:rPr>
          <w:rFonts w:hint="default" w:cs="Times New Roman"/>
        </w:rPr>
        <w:t>%、氮氧化物</w:t>
      </w:r>
      <w:r>
        <w:rPr>
          <w:rFonts w:hint="eastAsia" w:cs="Times New Roman"/>
          <w:lang w:eastAsia="zh-CN"/>
        </w:rPr>
        <w:t>8</w:t>
      </w:r>
      <w:r>
        <w:rPr>
          <w:rFonts w:hint="eastAsia" w:cs="Times New Roman"/>
          <w:lang w:val="en-US" w:eastAsia="zh-CN"/>
        </w:rPr>
        <w:t>.65</w:t>
      </w:r>
      <w:r>
        <w:rPr>
          <w:rFonts w:hint="default" w:cs="Times New Roman"/>
        </w:rPr>
        <w:t>%，全面完成省下达的目标任务。</w:t>
      </w:r>
      <w:bookmarkStart w:id="143" w:name="_Toc8681"/>
      <w:bookmarkStart w:id="144" w:name="_Toc20018"/>
      <w:bookmarkStart w:id="145" w:name="_Toc30725"/>
      <w:bookmarkStart w:id="146" w:name="_Toc28845"/>
    </w:p>
    <w:bookmarkEnd w:id="143"/>
    <w:bookmarkEnd w:id="144"/>
    <w:bookmarkEnd w:id="145"/>
    <w:bookmarkEnd w:id="146"/>
    <w:p>
      <w:pPr>
        <w:pStyle w:val="5"/>
        <w:widowControl w:val="0"/>
        <w:wordWrap/>
        <w:adjustRightInd w:val="0"/>
        <w:snapToGrid w:val="0"/>
        <w:spacing w:before="0" w:after="0" w:line="560" w:lineRule="exact"/>
        <w:ind w:left="0" w:leftChars="0" w:right="0" w:firstLine="640" w:firstLineChars="200"/>
        <w:jc w:val="both"/>
        <w:textAlignment w:val="auto"/>
        <w:rPr>
          <w:rFonts w:hint="default" w:ascii="黑体" w:hAnsi="黑体" w:eastAsia="黑体" w:cs="黑体"/>
          <w:b w:val="0"/>
          <w:bCs w:val="0"/>
          <w:color w:val="auto"/>
        </w:rPr>
      </w:pPr>
      <w:bookmarkStart w:id="147" w:name="_Toc9016"/>
      <w:bookmarkStart w:id="148" w:name="_Toc741"/>
      <w:bookmarkStart w:id="149" w:name="_Toc10956"/>
      <w:bookmarkStart w:id="150" w:name="_Toc27779"/>
      <w:bookmarkStart w:id="151" w:name="_Toc7121"/>
      <w:bookmarkStart w:id="152" w:name="_Toc19964"/>
      <w:bookmarkStart w:id="153" w:name="_Toc30757"/>
      <w:bookmarkStart w:id="154" w:name="_Toc9278"/>
      <w:bookmarkStart w:id="155" w:name="_Toc78"/>
      <w:bookmarkStart w:id="156" w:name="_Toc16925"/>
      <w:r>
        <w:rPr>
          <w:rFonts w:hint="default" w:ascii="黑体" w:hAnsi="黑体" w:eastAsia="黑体" w:cs="黑体"/>
          <w:b w:val="0"/>
          <w:bCs w:val="0"/>
          <w:color w:val="auto"/>
          <w:lang w:val="en-US" w:eastAsia="zh-CN"/>
        </w:rPr>
        <w:t>四、环境治理体系不断完善</w:t>
      </w:r>
      <w:bookmarkEnd w:id="147"/>
      <w:bookmarkEnd w:id="148"/>
      <w:bookmarkEnd w:id="149"/>
      <w:bookmarkEnd w:id="150"/>
      <w:bookmarkEnd w:id="151"/>
      <w:bookmarkEnd w:id="152"/>
      <w:bookmarkEnd w:id="153"/>
      <w:bookmarkEnd w:id="154"/>
      <w:bookmarkEnd w:id="155"/>
      <w:bookmarkEnd w:id="156"/>
    </w:p>
    <w:p>
      <w:pPr>
        <w:pStyle w:val="27"/>
        <w:widowControl w:val="0"/>
        <w:wordWrap/>
        <w:adjustRightInd/>
        <w:snapToGrid/>
        <w:textAlignment w:val="auto"/>
        <w:outlineLvl w:val="9"/>
        <w:rPr>
          <w:rFonts w:hint="default"/>
        </w:rPr>
      </w:pPr>
      <w:r>
        <w:rPr>
          <w:rFonts w:hint="eastAsia" w:ascii="楷体_GB2312" w:hAnsi="楷体_GB2312" w:eastAsia="楷体_GB2312" w:cs="楷体_GB2312"/>
        </w:rPr>
        <w:t>完善突发环境事件应急预警体系。</w:t>
      </w:r>
      <w:r>
        <w:rPr>
          <w:rFonts w:hint="default"/>
        </w:rPr>
        <w:t>搭建了环境应急指挥及视频会议系统，为突发环境事件应急救援指挥提供技术支持。完成韶关市突发环境事件应急预案、武江十里亭饮用水源地饮用水安全应急预案、韶关市重污染天气应急预案以及韶关市辐射事故应急预案的风险评估、应急物资调查和预案修编工作。</w:t>
      </w:r>
    </w:p>
    <w:p>
      <w:pPr>
        <w:pStyle w:val="27"/>
        <w:widowControl w:val="0"/>
        <w:wordWrap/>
        <w:adjustRightInd/>
        <w:snapToGrid/>
        <w:textAlignment w:val="auto"/>
        <w:outlineLvl w:val="9"/>
        <w:rPr>
          <w:rFonts w:hint="default"/>
        </w:rPr>
      </w:pPr>
      <w:r>
        <w:rPr>
          <w:rFonts w:hint="eastAsia" w:ascii="楷体_GB2312" w:hAnsi="楷体_GB2312" w:eastAsia="楷体_GB2312" w:cs="楷体_GB2312"/>
        </w:rPr>
        <w:t>建立生态文明建设问责制度。</w:t>
      </w:r>
      <w:r>
        <w:rPr>
          <w:rFonts w:hint="default"/>
        </w:rPr>
        <w:t>强化党政领导干部生态环境和资源保护职责，出台《韶关市各级党委政府及相关职能部门生态环境保护工作职责》和《韶关市党政领导干部生态环境损害责任追究实施意见》等规范性文件，逐步建立了覆盖县（市、区）党委、政府及相关部门的环境保护职责体系。完善生态发展考核评价制度，完善环境保护</w:t>
      </w:r>
      <w:r>
        <w:rPr>
          <w:rFonts w:hint="eastAsia"/>
          <w:lang w:eastAsia="zh-CN"/>
        </w:rPr>
        <w:t>“</w:t>
      </w:r>
      <w:r>
        <w:rPr>
          <w:rFonts w:hint="default"/>
        </w:rPr>
        <w:t>党政同责、一岗双责</w:t>
      </w:r>
      <w:r>
        <w:rPr>
          <w:rFonts w:hint="eastAsia"/>
          <w:lang w:eastAsia="zh-CN"/>
        </w:rPr>
        <w:t>”</w:t>
      </w:r>
      <w:r>
        <w:rPr>
          <w:rFonts w:hint="default"/>
        </w:rPr>
        <w:t>考核制度。全面贯彻落实国家及省关于生态环境机构监测监察执法垂直管理制度改革有关工作部署。</w:t>
      </w:r>
    </w:p>
    <w:p>
      <w:pPr>
        <w:pStyle w:val="27"/>
        <w:widowControl w:val="0"/>
        <w:wordWrap/>
        <w:adjustRightInd/>
        <w:snapToGrid/>
        <w:textAlignment w:val="auto"/>
        <w:outlineLvl w:val="9"/>
        <w:rPr>
          <w:rFonts w:hint="default"/>
        </w:rPr>
      </w:pPr>
      <w:r>
        <w:rPr>
          <w:rFonts w:hint="eastAsia" w:ascii="楷体_GB2312" w:hAnsi="楷体_GB2312" w:eastAsia="楷体_GB2312" w:cs="楷体_GB2312"/>
        </w:rPr>
        <w:t>优化环评审批制度</w:t>
      </w:r>
      <w:r>
        <w:rPr>
          <w:rFonts w:hint="eastAsia" w:ascii="楷体_GB2312" w:hAnsi="楷体_GB2312" w:eastAsia="楷体_GB2312" w:cs="楷体_GB2312"/>
          <w:lang w:eastAsia="zh-CN"/>
        </w:rPr>
        <w:t>。</w:t>
      </w:r>
      <w:r>
        <w:rPr>
          <w:rFonts w:hint="default"/>
        </w:rPr>
        <w:t>精简</w:t>
      </w:r>
      <w:r>
        <w:rPr>
          <w:rFonts w:hint="eastAsia"/>
          <w:lang w:eastAsia="zh-CN"/>
        </w:rPr>
        <w:t>及优化</w:t>
      </w:r>
      <w:r>
        <w:rPr>
          <w:rFonts w:hint="default"/>
        </w:rPr>
        <w:t>环评审批程序，提高审批效率，深化环评审批改革，试行建设项目环评告知承诺制，优化审批服务。落实总量指标环保前置审批</w:t>
      </w:r>
      <w:r>
        <w:rPr>
          <w:rFonts w:hint="eastAsia"/>
          <w:lang w:eastAsia="zh-CN"/>
        </w:rPr>
        <w:t>，</w:t>
      </w:r>
      <w:r>
        <w:rPr>
          <w:rFonts w:hint="default"/>
        </w:rPr>
        <w:t>实施项目主要污染物排放总量管理办法。根据国家和省的统一部署，积极推进</w:t>
      </w:r>
      <w:r>
        <w:rPr>
          <w:rFonts w:hint="eastAsia"/>
          <w:lang w:eastAsia="zh-CN"/>
        </w:rPr>
        <w:t>“</w:t>
      </w:r>
      <w:r>
        <w:rPr>
          <w:rFonts w:hint="default"/>
        </w:rPr>
        <w:t>三线一单</w:t>
      </w:r>
      <w:r>
        <w:rPr>
          <w:rFonts w:hint="eastAsia"/>
          <w:lang w:eastAsia="zh-CN"/>
        </w:rPr>
        <w:t>”</w:t>
      </w:r>
      <w:r>
        <w:rPr>
          <w:rFonts w:hint="default"/>
        </w:rPr>
        <w:t>编制工作，制定生态环境建设项目准入负面清单，区域生态环境分区管控体系逐步建立。初步完成生态环境大数据应用基础建设工作，已建成在用信息系统6个，在建信息系统1个，初步构建了生态环境自动监测监控、生态环境管理、政务办公、生态环境应急、辅助决策为主的</w:t>
      </w:r>
      <w:r>
        <w:rPr>
          <w:rFonts w:hint="eastAsia"/>
          <w:lang w:eastAsia="zh-CN"/>
        </w:rPr>
        <w:t>“</w:t>
      </w:r>
      <w:r>
        <w:rPr>
          <w:rFonts w:hint="default"/>
        </w:rPr>
        <w:t>五大体系</w:t>
      </w:r>
      <w:r>
        <w:rPr>
          <w:rFonts w:hint="eastAsia"/>
          <w:lang w:eastAsia="zh-CN"/>
        </w:rPr>
        <w:t>”</w:t>
      </w:r>
      <w:r>
        <w:rPr>
          <w:rFonts w:hint="default"/>
        </w:rPr>
        <w:t>，实现对管理对象和领域的全面、动态、精准化监管。</w:t>
      </w:r>
    </w:p>
    <w:p>
      <w:pPr>
        <w:pStyle w:val="24"/>
        <w:adjustRightInd w:val="0"/>
        <w:snapToGrid w:val="0"/>
        <w:spacing w:beforeLines="50" w:line="240" w:lineRule="auto"/>
        <w:ind w:right="0" w:firstLine="0" w:firstLineChars="0"/>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表1</w:t>
      </w:r>
      <w:r>
        <w:rPr>
          <w:rFonts w:hint="eastAsia" w:ascii="仿宋_GB2312" w:hAnsi="仿宋_GB2312" w:eastAsia="仿宋_GB2312" w:cs="仿宋_GB2312"/>
          <w:b/>
          <w:bCs/>
          <w:color w:val="auto"/>
          <w:sz w:val="28"/>
          <w:szCs w:val="28"/>
          <w:lang w:eastAsia="zh-CN"/>
        </w:rPr>
        <w:t>　</w:t>
      </w:r>
      <w:r>
        <w:rPr>
          <w:rFonts w:hint="eastAsia" w:ascii="仿宋_GB2312" w:hAnsi="仿宋_GB2312" w:eastAsia="仿宋_GB2312" w:cs="仿宋_GB2312"/>
          <w:b/>
          <w:bCs/>
          <w:color w:val="auto"/>
          <w:sz w:val="28"/>
          <w:szCs w:val="28"/>
        </w:rPr>
        <w:t>韶关市</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十三五</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环境保护规划指标完成情况</w:t>
      </w:r>
    </w:p>
    <w:tbl>
      <w:tblPr>
        <w:tblW w:w="8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727"/>
        <w:gridCol w:w="1584"/>
        <w:gridCol w:w="2104"/>
        <w:gridCol w:w="975"/>
        <w:gridCol w:w="990"/>
        <w:gridCol w:w="1079"/>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485" w:type="dxa"/>
            <w:vAlign w:val="center"/>
          </w:tcPr>
          <w:p>
            <w:pPr>
              <w:pStyle w:val="21"/>
              <w:rPr>
                <w:rFonts w:hint="eastAsia" w:ascii="仿宋_GB2312" w:hAnsi="仿宋_GB2312" w:eastAsia="仿宋_GB2312" w:cs="仿宋_GB2312"/>
              </w:rPr>
            </w:pPr>
            <w:r>
              <w:rPr>
                <w:rFonts w:hint="eastAsia" w:ascii="仿宋_GB2312" w:hAnsi="仿宋_GB2312" w:eastAsia="仿宋_GB2312" w:cs="仿宋_GB2312"/>
              </w:rPr>
              <w:t>序号</w:t>
            </w:r>
          </w:p>
        </w:tc>
        <w:tc>
          <w:tcPr>
            <w:tcW w:w="727" w:type="dxa"/>
            <w:vAlign w:val="center"/>
          </w:tcPr>
          <w:p>
            <w:pPr>
              <w:pStyle w:val="21"/>
              <w:rPr>
                <w:rFonts w:hint="eastAsia" w:ascii="仿宋_GB2312" w:hAnsi="仿宋_GB2312" w:eastAsia="仿宋_GB2312" w:cs="仿宋_GB2312"/>
              </w:rPr>
            </w:pPr>
            <w:r>
              <w:rPr>
                <w:rFonts w:hint="eastAsia" w:ascii="仿宋_GB2312" w:hAnsi="仿宋_GB2312" w:eastAsia="仿宋_GB2312" w:cs="仿宋_GB2312"/>
              </w:rPr>
              <w:t>一级</w:t>
            </w:r>
          </w:p>
          <w:p>
            <w:pPr>
              <w:pStyle w:val="21"/>
              <w:rPr>
                <w:rFonts w:hint="eastAsia" w:ascii="仿宋_GB2312" w:hAnsi="仿宋_GB2312" w:eastAsia="仿宋_GB2312" w:cs="仿宋_GB2312"/>
              </w:rPr>
            </w:pPr>
            <w:r>
              <w:rPr>
                <w:rFonts w:hint="eastAsia" w:ascii="仿宋_GB2312" w:hAnsi="仿宋_GB2312" w:eastAsia="仿宋_GB2312" w:cs="仿宋_GB2312"/>
              </w:rPr>
              <w:t>指标</w:t>
            </w:r>
          </w:p>
        </w:tc>
        <w:tc>
          <w:tcPr>
            <w:tcW w:w="3688" w:type="dxa"/>
            <w:gridSpan w:val="2"/>
            <w:vAlign w:val="center"/>
          </w:tcPr>
          <w:p>
            <w:pPr>
              <w:pStyle w:val="21"/>
              <w:rPr>
                <w:rFonts w:hint="eastAsia" w:ascii="仿宋_GB2312" w:hAnsi="仿宋_GB2312" w:eastAsia="仿宋_GB2312" w:cs="仿宋_GB2312"/>
              </w:rPr>
            </w:pPr>
            <w:r>
              <w:rPr>
                <w:rFonts w:hint="eastAsia" w:ascii="仿宋_GB2312" w:hAnsi="仿宋_GB2312" w:eastAsia="仿宋_GB2312" w:cs="仿宋_GB2312"/>
              </w:rPr>
              <w:t>二级指标</w:t>
            </w:r>
          </w:p>
        </w:tc>
        <w:tc>
          <w:tcPr>
            <w:tcW w:w="975" w:type="dxa"/>
            <w:vAlign w:val="center"/>
          </w:tcPr>
          <w:p>
            <w:pPr>
              <w:pStyle w:val="21"/>
              <w:rPr>
                <w:rFonts w:hint="eastAsia" w:ascii="仿宋_GB2312" w:hAnsi="仿宋_GB2312" w:eastAsia="仿宋_GB2312" w:cs="仿宋_GB2312"/>
              </w:rPr>
            </w:pPr>
            <w:r>
              <w:rPr>
                <w:rFonts w:hint="eastAsia" w:ascii="仿宋_GB2312" w:hAnsi="仿宋_GB2312" w:eastAsia="仿宋_GB2312" w:cs="仿宋_GB2312"/>
              </w:rPr>
              <w:t>2015年</w:t>
            </w:r>
          </w:p>
          <w:p>
            <w:pPr>
              <w:pStyle w:val="21"/>
              <w:rPr>
                <w:rFonts w:hint="eastAsia" w:ascii="仿宋_GB2312" w:hAnsi="仿宋_GB2312" w:eastAsia="仿宋_GB2312" w:cs="仿宋_GB2312"/>
                <w:lang w:eastAsia="zh-CN"/>
              </w:rPr>
            </w:pPr>
            <w:r>
              <w:rPr>
                <w:rFonts w:hint="eastAsia" w:ascii="仿宋_GB2312" w:hAnsi="仿宋_GB2312" w:eastAsia="仿宋_GB2312" w:cs="仿宋_GB2312"/>
                <w:lang w:eastAsia="zh-CN"/>
              </w:rPr>
              <w:t>实际值</w:t>
            </w:r>
          </w:p>
        </w:tc>
        <w:tc>
          <w:tcPr>
            <w:tcW w:w="990" w:type="dxa"/>
            <w:vAlign w:val="center"/>
          </w:tcPr>
          <w:p>
            <w:pPr>
              <w:pStyle w:val="21"/>
              <w:jc w:val="center"/>
              <w:rPr>
                <w:rFonts w:hint="eastAsia" w:ascii="仿宋_GB2312" w:hAnsi="仿宋_GB2312" w:eastAsia="仿宋_GB2312" w:cs="仿宋_GB2312"/>
              </w:rPr>
            </w:pPr>
            <w:r>
              <w:rPr>
                <w:rFonts w:hint="eastAsia" w:ascii="仿宋_GB2312" w:hAnsi="仿宋_GB2312" w:eastAsia="仿宋_GB2312" w:cs="仿宋_GB2312"/>
              </w:rPr>
              <w:t>2020年</w:t>
            </w:r>
          </w:p>
          <w:p>
            <w:pPr>
              <w:pStyle w:val="21"/>
              <w:jc w:val="center"/>
              <w:rPr>
                <w:rFonts w:hint="eastAsia" w:ascii="仿宋_GB2312" w:hAnsi="仿宋_GB2312" w:eastAsia="仿宋_GB2312" w:cs="仿宋_GB2312"/>
              </w:rPr>
            </w:pPr>
            <w:r>
              <w:rPr>
                <w:rFonts w:hint="eastAsia" w:ascii="仿宋_GB2312" w:hAnsi="仿宋_GB2312" w:eastAsia="仿宋_GB2312" w:cs="仿宋_GB2312"/>
              </w:rPr>
              <w:t>目标值</w:t>
            </w:r>
          </w:p>
        </w:tc>
        <w:tc>
          <w:tcPr>
            <w:tcW w:w="1079" w:type="dxa"/>
            <w:vAlign w:val="center"/>
          </w:tcPr>
          <w:p>
            <w:pPr>
              <w:pStyle w:val="21"/>
              <w:rPr>
                <w:rFonts w:hint="eastAsia" w:ascii="仿宋_GB2312" w:hAnsi="仿宋_GB2312" w:eastAsia="仿宋_GB2312" w:cs="仿宋_GB2312"/>
              </w:rPr>
            </w:pPr>
            <w:r>
              <w:rPr>
                <w:rFonts w:hint="eastAsia" w:ascii="仿宋_GB2312" w:hAnsi="仿宋_GB2312" w:eastAsia="仿宋_GB2312" w:cs="仿宋_GB2312"/>
              </w:rPr>
              <w:t>2020年</w:t>
            </w:r>
          </w:p>
          <w:p>
            <w:pPr>
              <w:pStyle w:val="21"/>
              <w:rPr>
                <w:rFonts w:hint="eastAsia" w:ascii="仿宋_GB2312" w:hAnsi="仿宋_GB2312" w:eastAsia="仿宋_GB2312" w:cs="仿宋_GB2312"/>
                <w:lang w:eastAsia="zh-CN"/>
              </w:rPr>
            </w:pPr>
            <w:r>
              <w:rPr>
                <w:rFonts w:hint="eastAsia" w:ascii="仿宋_GB2312" w:hAnsi="仿宋_GB2312" w:eastAsia="仿宋_GB2312" w:cs="仿宋_GB2312"/>
                <w:lang w:eastAsia="zh-CN"/>
              </w:rPr>
              <w:t>实际值</w:t>
            </w:r>
          </w:p>
        </w:tc>
        <w:tc>
          <w:tcPr>
            <w:tcW w:w="776" w:type="dxa"/>
            <w:vAlign w:val="center"/>
          </w:tcPr>
          <w:p>
            <w:pPr>
              <w:pStyle w:val="21"/>
              <w:rPr>
                <w:rFonts w:hint="eastAsia" w:ascii="仿宋_GB2312" w:hAnsi="仿宋_GB2312" w:eastAsia="仿宋_GB2312" w:cs="仿宋_GB2312"/>
              </w:rPr>
            </w:pPr>
            <w:r>
              <w:rPr>
                <w:rFonts w:hint="eastAsia" w:ascii="仿宋_GB2312" w:hAnsi="仿宋_GB2312" w:eastAsia="仿宋_GB2312" w:cs="仿宋_GB2312"/>
              </w:rPr>
              <w:t>完成</w:t>
            </w:r>
          </w:p>
          <w:p>
            <w:pPr>
              <w:pStyle w:val="21"/>
              <w:rPr>
                <w:rFonts w:hint="eastAsia" w:ascii="仿宋_GB2312" w:hAnsi="仿宋_GB2312" w:eastAsia="仿宋_GB2312" w:cs="仿宋_GB2312"/>
              </w:rPr>
            </w:pPr>
            <w:r>
              <w:rPr>
                <w:rFonts w:hint="eastAsia" w:ascii="仿宋_GB2312" w:hAnsi="仿宋_GB2312" w:eastAsia="仿宋_GB2312" w:cs="仿宋_GB2312"/>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bookmarkStart w:id="157" w:name="OLE_LINK4" w:colFirst="0" w:colLast="0"/>
            <w:bookmarkStart w:id="158" w:name="_Hlk466322684"/>
            <w:r>
              <w:rPr>
                <w:rFonts w:hint="eastAsia" w:ascii="仿宋_GB2312" w:hAnsi="仿宋_GB2312" w:eastAsia="仿宋_GB2312" w:cs="仿宋_GB2312"/>
              </w:rPr>
              <w:t>1</w:t>
            </w:r>
          </w:p>
        </w:tc>
        <w:tc>
          <w:tcPr>
            <w:tcW w:w="727" w:type="dxa"/>
            <w:vMerge w:val="restart"/>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环境质量</w:t>
            </w: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城市空气质量优良天数比例（%）</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94.21</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≥94</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97.3</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2</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PM</w:t>
            </w:r>
            <w:r>
              <w:rPr>
                <w:rFonts w:hint="eastAsia" w:ascii="仿宋_GB2312" w:hAnsi="仿宋_GB2312" w:eastAsia="仿宋_GB2312" w:cs="仿宋_GB2312"/>
                <w:vertAlign w:val="subscript"/>
              </w:rPr>
              <w:t>2.5</w:t>
            </w:r>
            <w:r>
              <w:rPr>
                <w:rFonts w:hint="eastAsia" w:ascii="仿宋_GB2312" w:hAnsi="仿宋_GB2312" w:eastAsia="仿宋_GB2312" w:cs="仿宋_GB2312"/>
              </w:rPr>
              <w:t>年均浓度（μg/m</w:t>
            </w:r>
            <w:r>
              <w:rPr>
                <w:rFonts w:hint="eastAsia" w:ascii="仿宋_GB2312" w:hAnsi="仿宋_GB2312" w:eastAsia="仿宋_GB2312" w:cs="仿宋_GB2312"/>
                <w:vertAlign w:val="superscript"/>
              </w:rPr>
              <w:t>3</w:t>
            </w:r>
            <w:r>
              <w:rPr>
                <w:rFonts w:hint="eastAsia" w:ascii="仿宋_GB2312" w:hAnsi="仿宋_GB2312" w:eastAsia="仿宋_GB2312" w:cs="仿宋_GB2312"/>
              </w:rPr>
              <w:t>）</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34</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≤34</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24</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bookmarkEnd w:id="157"/>
      <w:bookmarkEnd w:id="1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3</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PM</w:t>
            </w:r>
            <w:r>
              <w:rPr>
                <w:rFonts w:hint="eastAsia" w:ascii="仿宋_GB2312" w:hAnsi="仿宋_GB2312" w:eastAsia="仿宋_GB2312" w:cs="仿宋_GB2312"/>
                <w:vertAlign w:val="subscript"/>
              </w:rPr>
              <w:t>10</w:t>
            </w:r>
            <w:r>
              <w:rPr>
                <w:rFonts w:hint="eastAsia" w:ascii="仿宋_GB2312" w:hAnsi="仿宋_GB2312" w:eastAsia="仿宋_GB2312" w:cs="仿宋_GB2312"/>
              </w:rPr>
              <w:t>年平均浓度（μg/m</w:t>
            </w:r>
            <w:r>
              <w:rPr>
                <w:rFonts w:hint="eastAsia" w:ascii="仿宋_GB2312" w:hAnsi="仿宋_GB2312" w:eastAsia="仿宋_GB2312" w:cs="仿宋_GB2312"/>
                <w:vertAlign w:val="superscript"/>
              </w:rPr>
              <w:t>3</w:t>
            </w:r>
            <w:r>
              <w:rPr>
                <w:rFonts w:hint="eastAsia" w:ascii="仿宋_GB2312" w:hAnsi="仿宋_GB2312" w:eastAsia="仿宋_GB2312" w:cs="仿宋_GB2312"/>
              </w:rPr>
              <w:t>）</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50</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≤50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37</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4</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县级集中式饮用水源水质达标率（%）</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5</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lang w:val="en-US" w:eastAsia="zh-CN"/>
              </w:rPr>
              <w:t>省控断面</w:t>
            </w:r>
            <w:r>
              <w:rPr>
                <w:rFonts w:hint="eastAsia" w:ascii="仿宋_GB2312" w:hAnsi="仿宋_GB2312" w:eastAsia="仿宋_GB2312" w:cs="仿宋_GB2312"/>
              </w:rPr>
              <w:t>地表水水质优良（达到或优于III类）比例（%）</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6</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地表水丧失使用功能（劣于Ⅴ类）水体断面比例（%）</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0</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7</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跨界断面出境水质达标率（%）</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8</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城市建成区黑臭水体比例（%）</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0</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污染耕地安全利用率（%）</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92.53</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污染地块安全利用率（%）</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11</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自然保护区陆域面积占比（%）</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13.2</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≥13.5</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13.57</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12</w:t>
            </w:r>
          </w:p>
        </w:tc>
        <w:tc>
          <w:tcPr>
            <w:tcW w:w="727" w:type="dxa"/>
            <w:vMerge w:val="restart"/>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总量控制</w:t>
            </w: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二氧化硫排放总量减少（%）</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r>
              <w:rPr>
                <w:rFonts w:hint="eastAsia" w:ascii="仿宋_GB2312" w:hAnsi="仿宋_GB2312" w:eastAsia="仿宋_GB2312" w:cs="仿宋_GB2312"/>
              </w:rPr>
              <w:t>9.3</w:t>
            </w:r>
            <w:r>
              <w:rPr>
                <w:rFonts w:hint="eastAsia" w:ascii="仿宋_GB2312" w:hAnsi="仿宋_GB2312" w:eastAsia="仿宋_GB2312" w:cs="仿宋_GB2312"/>
                <w:lang w:val="en-US" w:eastAsia="zh-CN"/>
              </w:rPr>
              <w:t>]</w:t>
            </w:r>
          </w:p>
        </w:tc>
        <w:tc>
          <w:tcPr>
            <w:tcW w:w="1079"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[17.49]</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13</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氮氧化物排放总量减少（%）</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r>
              <w:rPr>
                <w:rFonts w:hint="eastAsia" w:ascii="仿宋_GB2312" w:hAnsi="仿宋_GB2312" w:eastAsia="仿宋_GB2312" w:cs="仿宋_GB2312"/>
              </w:rPr>
              <w:t>0.7</w:t>
            </w:r>
            <w:r>
              <w:rPr>
                <w:rFonts w:hint="eastAsia" w:ascii="仿宋_GB2312" w:hAnsi="仿宋_GB2312" w:eastAsia="仿宋_GB2312" w:cs="仿宋_GB2312"/>
                <w:lang w:val="en-US" w:eastAsia="zh-CN"/>
              </w:rPr>
              <w:t>]</w:t>
            </w:r>
          </w:p>
        </w:tc>
        <w:tc>
          <w:tcPr>
            <w:tcW w:w="1079"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[8.65]</w:t>
            </w:r>
          </w:p>
        </w:tc>
        <w:tc>
          <w:tcPr>
            <w:tcW w:w="776" w:type="dxa"/>
            <w:vAlign w:val="center"/>
          </w:tcPr>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14</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化学需氧量排放总量减少（%）</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r>
              <w:rPr>
                <w:rFonts w:hint="eastAsia" w:ascii="仿宋_GB2312" w:hAnsi="仿宋_GB2312" w:eastAsia="仿宋_GB2312" w:cs="仿宋_GB2312"/>
              </w:rPr>
              <w:t>9.9</w:t>
            </w:r>
            <w:r>
              <w:rPr>
                <w:rFonts w:hint="eastAsia" w:ascii="仿宋_GB2312" w:hAnsi="仿宋_GB2312" w:eastAsia="仿宋_GB2312" w:cs="仿宋_GB2312"/>
                <w:lang w:val="en-US" w:eastAsia="zh-CN"/>
              </w:rPr>
              <w:t>]</w:t>
            </w:r>
          </w:p>
        </w:tc>
        <w:tc>
          <w:tcPr>
            <w:tcW w:w="1079"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[11.12]</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15</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氨氮排放总量减少（%）</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r>
              <w:rPr>
                <w:rFonts w:hint="eastAsia" w:ascii="仿宋_GB2312" w:hAnsi="仿宋_GB2312" w:eastAsia="仿宋_GB2312" w:cs="仿宋_GB2312"/>
              </w:rPr>
              <w:t>10.5</w:t>
            </w:r>
            <w:r>
              <w:rPr>
                <w:rFonts w:hint="eastAsia" w:ascii="仿宋_GB2312" w:hAnsi="仿宋_GB2312" w:eastAsia="仿宋_GB2312" w:cs="仿宋_GB2312"/>
                <w:lang w:val="en-US" w:eastAsia="zh-CN"/>
              </w:rPr>
              <w:t>]</w:t>
            </w:r>
          </w:p>
        </w:tc>
        <w:tc>
          <w:tcPr>
            <w:tcW w:w="1079"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[12.64]</w:t>
            </w:r>
          </w:p>
        </w:tc>
        <w:tc>
          <w:tcPr>
            <w:tcW w:w="776" w:type="dxa"/>
            <w:vAlign w:val="center"/>
          </w:tcPr>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Merge w:val="restart"/>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16</w:t>
            </w:r>
          </w:p>
        </w:tc>
        <w:tc>
          <w:tcPr>
            <w:tcW w:w="727" w:type="dxa"/>
            <w:vMerge w:val="restart"/>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环境基础设施建设</w:t>
            </w:r>
          </w:p>
        </w:tc>
        <w:tc>
          <w:tcPr>
            <w:tcW w:w="1584" w:type="dxa"/>
            <w:vMerge w:val="restart"/>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生活污水处理率（%）</w:t>
            </w:r>
          </w:p>
        </w:tc>
        <w:tc>
          <w:tcPr>
            <w:tcW w:w="2104"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城市</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95</w:t>
            </w:r>
          </w:p>
        </w:tc>
        <w:tc>
          <w:tcPr>
            <w:tcW w:w="1079"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99.97</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Merge w:val="continue"/>
            <w:vAlign w:val="center"/>
          </w:tcPr>
          <w:p>
            <w:pPr>
              <w:pStyle w:val="25"/>
              <w:rPr>
                <w:rFonts w:hint="eastAsia" w:ascii="仿宋_GB2312" w:hAnsi="仿宋_GB2312" w:eastAsia="仿宋_GB2312" w:cs="仿宋_GB2312"/>
              </w:rPr>
            </w:pPr>
          </w:p>
        </w:tc>
        <w:tc>
          <w:tcPr>
            <w:tcW w:w="727" w:type="dxa"/>
            <w:vMerge w:val="continue"/>
            <w:vAlign w:val="center"/>
          </w:tcPr>
          <w:p>
            <w:pPr>
              <w:pStyle w:val="25"/>
              <w:rPr>
                <w:rFonts w:hint="eastAsia" w:ascii="仿宋_GB2312" w:hAnsi="仿宋_GB2312" w:eastAsia="仿宋_GB2312" w:cs="仿宋_GB2312"/>
              </w:rPr>
            </w:pPr>
          </w:p>
        </w:tc>
        <w:tc>
          <w:tcPr>
            <w:tcW w:w="1584" w:type="dxa"/>
            <w:vMerge w:val="continue"/>
            <w:vAlign w:val="center"/>
          </w:tcPr>
          <w:p>
            <w:pPr>
              <w:pStyle w:val="25"/>
              <w:rPr>
                <w:rFonts w:hint="eastAsia" w:ascii="仿宋_GB2312" w:hAnsi="仿宋_GB2312" w:eastAsia="仿宋_GB2312" w:cs="仿宋_GB2312"/>
              </w:rPr>
            </w:pPr>
          </w:p>
        </w:tc>
        <w:tc>
          <w:tcPr>
            <w:tcW w:w="2104"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县城</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85</w:t>
            </w:r>
          </w:p>
        </w:tc>
        <w:tc>
          <w:tcPr>
            <w:tcW w:w="1079"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100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17</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城镇生活垃圾无害化处理率（%）</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85</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95</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85" w:type="dxa"/>
            <w:vAlign w:val="center"/>
          </w:tcPr>
          <w:p>
            <w:pPr>
              <w:pStyle w:val="2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18</w:t>
            </w:r>
          </w:p>
        </w:tc>
        <w:tc>
          <w:tcPr>
            <w:tcW w:w="727" w:type="dxa"/>
            <w:vMerge w:val="continue"/>
            <w:vAlign w:val="center"/>
          </w:tcPr>
          <w:p>
            <w:pPr>
              <w:pStyle w:val="25"/>
              <w:rPr>
                <w:rFonts w:hint="eastAsia" w:ascii="仿宋_GB2312" w:hAnsi="仿宋_GB2312" w:eastAsia="仿宋_GB2312" w:cs="仿宋_GB2312"/>
              </w:rPr>
            </w:pPr>
          </w:p>
        </w:tc>
        <w:tc>
          <w:tcPr>
            <w:tcW w:w="3688" w:type="dxa"/>
            <w:gridSpan w:val="2"/>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重点监管单位危险废物安全处置率（%）</w:t>
            </w:r>
          </w:p>
        </w:tc>
        <w:tc>
          <w:tcPr>
            <w:tcW w:w="975"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990"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1079"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100</w:t>
            </w:r>
          </w:p>
        </w:tc>
        <w:tc>
          <w:tcPr>
            <w:tcW w:w="776" w:type="dxa"/>
            <w:vAlign w:val="center"/>
          </w:tcPr>
          <w:p>
            <w:pPr>
              <w:pStyle w:val="25"/>
              <w:rPr>
                <w:rFonts w:hint="eastAsia" w:ascii="仿宋_GB2312" w:hAnsi="仿宋_GB2312" w:eastAsia="仿宋_GB2312" w:cs="仿宋_GB2312"/>
              </w:rPr>
            </w:pPr>
            <w:r>
              <w:rPr>
                <w:rFonts w:hint="eastAsia" w:ascii="仿宋_GB2312" w:hAnsi="仿宋_GB2312" w:eastAsia="仿宋_GB2312" w:cs="仿宋_GB2312"/>
              </w:rPr>
              <w:t>完成</w:t>
            </w:r>
          </w:p>
        </w:tc>
      </w:tr>
    </w:tbl>
    <w:p>
      <w:pPr>
        <w:pStyle w:val="25"/>
        <w:ind w:firstLine="240" w:firstLineChars="100"/>
        <w:jc w:val="left"/>
        <w:rPr>
          <w:rFonts w:hint="eastAsia" w:ascii="仿宋_GB2312" w:hAnsi="仿宋_GB2312" w:eastAsia="仿宋_GB2312" w:cs="仿宋_GB2312"/>
          <w:sz w:val="32"/>
          <w:szCs w:val="32"/>
        </w:rPr>
      </w:pPr>
      <w:bookmarkStart w:id="159" w:name="_Toc13666"/>
      <w:bookmarkStart w:id="160" w:name="_Toc13073"/>
      <w:bookmarkStart w:id="161" w:name="_Toc61001218"/>
      <w:bookmarkStart w:id="162" w:name="_Toc31232"/>
      <w:bookmarkStart w:id="163" w:name="_Toc334"/>
      <w:bookmarkStart w:id="164" w:name="_Toc30821"/>
      <w:r>
        <w:rPr>
          <w:rFonts w:hint="eastAsia" w:ascii="仿宋_GB2312" w:hAnsi="仿宋_GB2312" w:eastAsia="仿宋_GB2312" w:cs="仿宋_GB2312"/>
          <w:lang w:eastAsia="zh-CN"/>
        </w:rPr>
        <w:t>注：</w:t>
      </w:r>
      <w:r>
        <w:rPr>
          <w:rFonts w:hint="eastAsia" w:ascii="仿宋_GB2312" w:hAnsi="仿宋_GB2312" w:eastAsia="仿宋_GB2312" w:cs="仿宋_GB2312"/>
        </w:rPr>
        <w:t>[ ] 内为污染物5年累计减少数。</w:t>
      </w:r>
    </w:p>
    <w:bookmarkEnd w:id="159"/>
    <w:bookmarkEnd w:id="160"/>
    <w:bookmarkEnd w:id="161"/>
    <w:bookmarkEnd w:id="162"/>
    <w:bookmarkEnd w:id="163"/>
    <w:bookmarkEnd w:id="164"/>
    <w:p>
      <w:pPr>
        <w:pStyle w:val="5"/>
        <w:widowControl w:val="0"/>
        <w:numPr>
          <w:ilvl w:val="0"/>
          <w:numId w:val="2"/>
        </w:numPr>
        <w:kinsoku w:val="0"/>
        <w:wordWrap/>
        <w:overflowPunct w:val="0"/>
        <w:autoSpaceDE w:val="0"/>
        <w:autoSpaceDN w:val="0"/>
        <w:adjustRightInd w:val="0"/>
        <w:snapToGrid w:val="0"/>
        <w:spacing w:beforeLines="50" w:afterLines="50" w:line="560" w:lineRule="exact"/>
        <w:ind w:left="0" w:leftChars="0" w:right="0" w:firstLine="640" w:firstLineChars="200"/>
        <w:jc w:val="center"/>
        <w:textAlignment w:val="auto"/>
        <w:outlineLvl w:val="2"/>
        <w:rPr>
          <w:rFonts w:hint="eastAsia" w:ascii="黑体" w:hAnsi="黑体" w:eastAsia="黑体" w:cs="黑体"/>
          <w:b w:val="0"/>
          <w:bCs w:val="0"/>
          <w:lang w:val="en-US" w:eastAsia="zh-CN"/>
        </w:rPr>
      </w:pPr>
      <w:bookmarkStart w:id="165" w:name="_Toc9870"/>
      <w:bookmarkStart w:id="166" w:name="_Toc17376"/>
      <w:bookmarkStart w:id="167" w:name="_Toc10700"/>
      <w:bookmarkStart w:id="168" w:name="_Toc8475"/>
      <w:bookmarkStart w:id="169" w:name="_Toc32482"/>
      <w:bookmarkStart w:id="170" w:name="_Toc6861"/>
      <w:bookmarkStart w:id="171" w:name="_Toc13728"/>
      <w:bookmarkStart w:id="172" w:name="_Toc6090"/>
      <w:bookmarkStart w:id="173" w:name="_Toc8434"/>
      <w:bookmarkStart w:id="174" w:name="_Toc8747"/>
      <w:bookmarkStart w:id="175" w:name="_Toc17935"/>
      <w:bookmarkStart w:id="176" w:name="_Toc9907"/>
      <w:bookmarkStart w:id="177" w:name="_Toc10575"/>
      <w:bookmarkStart w:id="178" w:name="_Toc21196"/>
      <w:bookmarkStart w:id="179" w:name="_Toc5467"/>
      <w:bookmarkStart w:id="180" w:name="_Toc4963"/>
      <w:bookmarkStart w:id="181" w:name="_Toc17636"/>
      <w:r>
        <w:rPr>
          <w:rFonts w:hint="eastAsia" w:ascii="黑体" w:hAnsi="黑体" w:eastAsia="黑体" w:cs="黑体"/>
          <w:b w:val="0"/>
          <w:bCs w:val="0"/>
          <w:color w:val="auto"/>
          <w:lang w:val="en-US" w:eastAsia="zh-CN"/>
        </w:rPr>
        <w:t xml:space="preserve">  </w:t>
      </w:r>
      <w:r>
        <w:rPr>
          <w:rFonts w:hint="eastAsia" w:ascii="黑体" w:hAnsi="黑体" w:eastAsia="黑体" w:cs="黑体"/>
          <w:b w:val="0"/>
          <w:bCs w:val="0"/>
          <w:color w:val="auto"/>
        </w:rPr>
        <w:t>生态环境保护工作</w:t>
      </w:r>
      <w:r>
        <w:rPr>
          <w:rFonts w:hint="eastAsia" w:ascii="黑体" w:hAnsi="黑体" w:eastAsia="黑体" w:cs="黑体"/>
          <w:b w:val="0"/>
          <w:bCs w:val="0"/>
          <w:color w:val="auto"/>
          <w:lang w:val="en-US" w:eastAsia="zh-CN"/>
        </w:rPr>
        <w:t>存在的主要问</w:t>
      </w:r>
      <w:bookmarkEnd w:id="165"/>
      <w:r>
        <w:rPr>
          <w:rFonts w:hint="eastAsia" w:ascii="黑体" w:hAnsi="黑体" w:eastAsia="黑体" w:cs="黑体"/>
          <w:b w:val="0"/>
          <w:bCs w:val="0"/>
          <w:color w:val="auto"/>
          <w:lang w:val="en-US" w:eastAsia="zh-CN"/>
        </w:rPr>
        <w:t>题</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27"/>
        <w:widowControl w:val="0"/>
        <w:wordWrap/>
        <w:adjustRightInd/>
        <w:snapToGrid/>
        <w:textAlignment w:val="auto"/>
        <w:outlineLvl w:val="9"/>
        <w:rPr>
          <w:rFonts w:hint="default" w:ascii="Times New Roman" w:hAnsi="Times New Roman" w:eastAsia="仿宋_GB2312" w:cs="Times New Roman"/>
          <w:color w:val="auto"/>
          <w:spacing w:val="4"/>
          <w:szCs w:val="32"/>
        </w:rPr>
      </w:pPr>
      <w:r>
        <w:rPr>
          <w:rFonts w:hint="default"/>
        </w:rPr>
        <w:t>虽然</w:t>
      </w:r>
      <w:r>
        <w:rPr>
          <w:rFonts w:hint="eastAsia"/>
          <w:lang w:eastAsia="zh-CN"/>
        </w:rPr>
        <w:t>“</w:t>
      </w:r>
      <w:r>
        <w:rPr>
          <w:rFonts w:hint="default"/>
        </w:rPr>
        <w:t>十三五</w:t>
      </w:r>
      <w:r>
        <w:rPr>
          <w:rFonts w:hint="eastAsia"/>
          <w:lang w:eastAsia="zh-CN"/>
        </w:rPr>
        <w:t>”</w:t>
      </w:r>
      <w:r>
        <w:rPr>
          <w:rFonts w:hint="default"/>
        </w:rPr>
        <w:t>期间</w:t>
      </w:r>
      <w:r>
        <w:rPr>
          <w:rFonts w:hint="eastAsia"/>
          <w:lang w:val="en-US" w:eastAsia="zh-CN"/>
        </w:rPr>
        <w:t>我市</w:t>
      </w:r>
      <w:r>
        <w:rPr>
          <w:rFonts w:hint="default"/>
        </w:rPr>
        <w:t>生态环境保护和治理工作取得了一定成效，但对标生态发展区的定位和要求，</w:t>
      </w:r>
      <w:r>
        <w:rPr>
          <w:rFonts w:hint="eastAsia"/>
          <w:lang w:eastAsia="zh-CN"/>
        </w:rPr>
        <w:t>我</w:t>
      </w:r>
      <w:r>
        <w:rPr>
          <w:rFonts w:hint="default"/>
        </w:rPr>
        <w:t>市在经济发展、生产技术、污染控制等方面仍存在明显短板和一定差距，对标美丽韶关的建设要求，生态环境保护工作仍存在一些突出问题需要切实加以解决。</w:t>
      </w:r>
    </w:p>
    <w:p>
      <w:pPr>
        <w:pStyle w:val="5"/>
        <w:widowControl w:val="0"/>
        <w:wordWrap/>
        <w:adjustRightInd w:val="0"/>
        <w:snapToGrid w:val="0"/>
        <w:spacing w:before="0" w:after="0" w:line="560" w:lineRule="exact"/>
        <w:ind w:left="0" w:leftChars="0" w:right="0" w:firstLine="640" w:firstLineChars="200"/>
        <w:jc w:val="both"/>
        <w:textAlignment w:val="auto"/>
        <w:rPr>
          <w:rFonts w:hint="default" w:ascii="黑体" w:hAnsi="黑体" w:eastAsia="黑体" w:cs="黑体"/>
          <w:b w:val="0"/>
          <w:bCs w:val="0"/>
          <w:color w:val="auto"/>
        </w:rPr>
      </w:pPr>
      <w:bookmarkStart w:id="182" w:name="_Toc9535"/>
      <w:bookmarkStart w:id="183" w:name="_Toc791"/>
      <w:bookmarkStart w:id="184" w:name="_Toc497"/>
      <w:bookmarkStart w:id="185" w:name="_Toc11754"/>
      <w:bookmarkStart w:id="186" w:name="_Toc5697"/>
      <w:bookmarkStart w:id="187" w:name="_Toc18047"/>
      <w:bookmarkStart w:id="188" w:name="_Toc80280437"/>
      <w:bookmarkStart w:id="189" w:name="_Toc2110"/>
      <w:bookmarkStart w:id="190" w:name="_Toc18885"/>
      <w:bookmarkStart w:id="191" w:name="_Toc13431"/>
      <w:bookmarkStart w:id="192" w:name="_Toc32455"/>
      <w:bookmarkStart w:id="193" w:name="_Toc27400"/>
      <w:bookmarkStart w:id="194" w:name="_Toc24845"/>
      <w:bookmarkStart w:id="195" w:name="_Toc31359"/>
      <w:bookmarkStart w:id="196" w:name="_Toc13069"/>
      <w:bookmarkStart w:id="197" w:name="_Toc21707"/>
      <w:r>
        <w:rPr>
          <w:rFonts w:hint="default" w:ascii="黑体" w:hAnsi="黑体" w:eastAsia="黑体" w:cs="黑体"/>
          <w:b w:val="0"/>
          <w:bCs w:val="0"/>
          <w:color w:val="auto"/>
        </w:rPr>
        <w:t>一、生态环境质量持续改善的基础仍不牢固</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widowControl w:val="0"/>
        <w:wordWrap/>
        <w:adjustRightInd w:val="0"/>
        <w:snapToGrid w:val="0"/>
        <w:spacing w:line="560" w:lineRule="exact"/>
        <w:ind w:firstLine="656" w:firstLineChars="200"/>
        <w:textAlignment w:val="auto"/>
        <w:rPr>
          <w:rFonts w:hint="eastAsia" w:ascii="楷体_GB2312" w:hAnsi="楷体_GB2312" w:eastAsia="楷体_GB2312" w:cs="楷体_GB2312"/>
          <w:b w:val="0"/>
          <w:bCs w:val="0"/>
          <w:color w:val="auto"/>
          <w:spacing w:val="4"/>
          <w:sz w:val="32"/>
          <w:szCs w:val="32"/>
          <w:lang w:val="en-US" w:eastAsia="zh-CN"/>
        </w:rPr>
      </w:pPr>
      <w:r>
        <w:rPr>
          <w:rFonts w:hint="eastAsia" w:ascii="楷体_GB2312" w:hAnsi="楷体_GB2312" w:eastAsia="楷体_GB2312" w:cs="楷体_GB2312"/>
          <w:b w:val="0"/>
          <w:bCs w:val="0"/>
          <w:color w:val="auto"/>
          <w:spacing w:val="4"/>
          <w:sz w:val="32"/>
          <w:szCs w:val="32"/>
          <w:lang w:eastAsia="zh-CN"/>
        </w:rPr>
        <w:t>（</w:t>
      </w:r>
      <w:r>
        <w:rPr>
          <w:rFonts w:hint="eastAsia" w:ascii="楷体_GB2312" w:hAnsi="楷体_GB2312" w:eastAsia="楷体_GB2312" w:cs="楷体_GB2312"/>
          <w:b w:val="0"/>
          <w:bCs w:val="0"/>
          <w:color w:val="auto"/>
          <w:spacing w:val="4"/>
          <w:sz w:val="32"/>
          <w:szCs w:val="32"/>
          <w:lang w:val="en-US" w:eastAsia="zh-CN"/>
        </w:rPr>
        <w:t>一）环境空气。</w:t>
      </w:r>
    </w:p>
    <w:p>
      <w:pPr>
        <w:pStyle w:val="27"/>
        <w:widowControl w:val="0"/>
        <w:wordWrap/>
        <w:adjustRightInd/>
        <w:snapToGrid/>
        <w:textAlignment w:val="auto"/>
        <w:outlineLvl w:val="9"/>
        <w:rPr>
          <w:rFonts w:hint="default"/>
        </w:rPr>
      </w:pPr>
      <w:r>
        <w:rPr>
          <w:rFonts w:hint="eastAsia"/>
          <w:lang w:val="en-US" w:eastAsia="zh-CN"/>
        </w:rPr>
        <w:t>蓝天保卫战仍需持续推进。韶关市自北向南三列弧形山系排列成向南突出的弧形构成粤北地貌的基本格局，其间分布两行河谷盆地，包括南雄盆地、仁化董塘盆地、坪石盆地、乐昌盆地、韶关盆地和翁源盆地。受产业布局和地形影响，全市废气排放源相对集中，曲江区是全市废气排放量最大的地区，该地区的韶关钢铁集团公司和韶关发电厂的二氧化硫、氮氧化物、烟（粉）尘排放量分别占全市的18.40%、42.16%、47.29%，其次为韶关冶炼厂和粤华电力所在的浈江区，</w:t>
      </w:r>
      <w:r>
        <w:rPr>
          <w:rFonts w:hint="default"/>
        </w:rPr>
        <w:t>机动车尾气、建筑施工扬尘源</w:t>
      </w:r>
      <w:r>
        <w:rPr>
          <w:rFonts w:hint="eastAsia"/>
          <w:lang w:val="en-US" w:eastAsia="zh-CN"/>
        </w:rPr>
        <w:t>对大气环境质量影响不容忽视，受市区地形污染物不易扩散影响，特殊气象条件容易导致颗粒物累积超标，且省对大气环境质量下达的考核控制指标持续收严，颗粒物污染防治仍是我市蓝天保卫战的主要矛盾。</w:t>
      </w:r>
      <w:r>
        <w:rPr>
          <w:rFonts w:hint="default"/>
        </w:rPr>
        <w:t>臭氧尚未进入下降通道</w:t>
      </w:r>
      <w:r>
        <w:rPr>
          <w:rFonts w:hint="eastAsia"/>
          <w:lang w:eastAsia="zh-CN"/>
        </w:rPr>
        <w:t>，</w:t>
      </w:r>
      <w:r>
        <w:rPr>
          <w:rFonts w:hint="eastAsia"/>
          <w:lang w:val="en-US" w:eastAsia="zh-CN"/>
        </w:rPr>
        <w:t>市区在</w:t>
      </w:r>
      <w:r>
        <w:rPr>
          <w:rFonts w:hint="default"/>
        </w:rPr>
        <w:t>高温、偏南气流和副高天气</w:t>
      </w:r>
      <w:r>
        <w:rPr>
          <w:rFonts w:hint="eastAsia"/>
          <w:lang w:val="en-US" w:eastAsia="zh-CN"/>
        </w:rPr>
        <w:t>容易</w:t>
      </w:r>
      <w:r>
        <w:rPr>
          <w:rFonts w:hint="default"/>
        </w:rPr>
        <w:t>出现高浓度臭氧污染</w:t>
      </w:r>
      <w:r>
        <w:rPr>
          <w:rFonts w:hint="eastAsia"/>
          <w:lang w:eastAsia="zh-CN"/>
        </w:rPr>
        <w:t>，</w:t>
      </w:r>
      <w:r>
        <w:rPr>
          <w:rFonts w:hint="default"/>
        </w:rPr>
        <w:t>VOCs和NO</w:t>
      </w:r>
      <w:r>
        <w:rPr>
          <w:rFonts w:hint="default"/>
          <w:vertAlign w:val="subscript"/>
        </w:rPr>
        <w:t>x</w:t>
      </w:r>
      <w:r>
        <w:rPr>
          <w:rFonts w:hint="default"/>
        </w:rPr>
        <w:t>是生成臭氧的两大决定性因素，VOCs和NO</w:t>
      </w:r>
      <w:r>
        <w:rPr>
          <w:rFonts w:hint="default"/>
          <w:vertAlign w:val="subscript"/>
        </w:rPr>
        <w:t>x</w:t>
      </w:r>
      <w:r>
        <w:rPr>
          <w:rFonts w:hint="default"/>
        </w:rPr>
        <w:t>协同减排水平有待提升。</w:t>
      </w:r>
    </w:p>
    <w:p>
      <w:pPr>
        <w:pStyle w:val="27"/>
        <w:widowControl w:val="0"/>
        <w:wordWrap/>
        <w:adjustRightInd/>
        <w:snapToGrid/>
        <w:textAlignment w:val="auto"/>
        <w:outlineLvl w:val="9"/>
        <w:rPr>
          <w:rFonts w:hint="eastAsia"/>
          <w:lang w:eastAsia="zh-CN"/>
        </w:rPr>
      </w:pPr>
      <w:r>
        <w:rPr>
          <w:rFonts w:hint="eastAsia"/>
          <w:lang w:val="en-US" w:eastAsia="zh-CN"/>
        </w:rPr>
        <w:t>结构调整力度仍需加速。</w:t>
      </w:r>
      <w:r>
        <w:rPr>
          <w:rFonts w:hint="eastAsia"/>
        </w:rPr>
        <w:t>韶关市产业结构以传统资源型产业为主，产业层次总体不高，产业链高端延伸不足，多数仍处于价值链中低端，</w:t>
      </w:r>
      <w:r>
        <w:rPr>
          <w:rFonts w:hint="eastAsia"/>
          <w:lang w:eastAsia="zh-CN"/>
        </w:rPr>
        <w:t>“</w:t>
      </w:r>
      <w:r>
        <w:rPr>
          <w:rFonts w:hint="eastAsia"/>
        </w:rPr>
        <w:t>两高一资</w:t>
      </w:r>
      <w:r>
        <w:rPr>
          <w:rFonts w:hint="eastAsia"/>
          <w:lang w:eastAsia="zh-CN"/>
        </w:rPr>
        <w:t>”</w:t>
      </w:r>
      <w:r>
        <w:rPr>
          <w:rFonts w:hint="eastAsia"/>
        </w:rPr>
        <w:t>型产业占比较重，</w:t>
      </w:r>
      <w:r>
        <w:rPr>
          <w:rFonts w:hint="eastAsia"/>
          <w:lang w:eastAsia="zh-CN"/>
        </w:rPr>
        <w:t>韶关市工业用能占全社会用能70%以上，其中工业企业能耗以钢铁、有色金属、发电、水泥制造、造纸等高耗能行业用能为主，超过了规上工业企业能耗的80%。受产业结构和经济发展水平影响，2019年韶关市燃料煤占全市总能耗的75.62%，天然气占比为1.83%，电力占比为12.71%。由于韶关市仍处于工业化阶段，仍有较大的能源增长需求，</w:t>
      </w:r>
      <w:r>
        <w:rPr>
          <w:rFonts w:hint="eastAsia"/>
        </w:rPr>
        <w:t>工业废气排放总量呈上升趋势</w:t>
      </w:r>
      <w:r>
        <w:rPr>
          <w:rFonts w:hint="eastAsia"/>
          <w:lang w:eastAsia="zh-CN"/>
        </w:rPr>
        <w:t>，</w:t>
      </w:r>
      <w:r>
        <w:rPr>
          <w:rFonts w:hint="eastAsia"/>
        </w:rPr>
        <w:t>温室气体浓度持续上升</w:t>
      </w:r>
      <w:r>
        <w:rPr>
          <w:rFonts w:hint="eastAsia"/>
          <w:lang w:eastAsia="zh-CN"/>
        </w:rPr>
        <w:t>，</w:t>
      </w:r>
      <w:r>
        <w:rPr>
          <w:rFonts w:hint="default"/>
        </w:rPr>
        <w:t>减污降碳面临较大挑战。</w:t>
      </w:r>
      <w:r>
        <w:rPr>
          <w:rFonts w:hint="eastAsia"/>
          <w:lang w:eastAsia="zh-CN"/>
        </w:rPr>
        <w:t>韶关市需要坚决遏制“两高”项目盲目发展，逐步降低燃料煤的占比，大幅提高天然气和电力在全市总能耗的占比水平。</w:t>
      </w:r>
    </w:p>
    <w:p>
      <w:pPr>
        <w:widowControl w:val="0"/>
        <w:adjustRightInd w:val="0"/>
        <w:snapToGrid w:val="0"/>
        <w:spacing w:line="560" w:lineRule="exact"/>
        <w:ind w:firstLine="656" w:firstLineChars="200"/>
        <w:rPr>
          <w:rFonts w:hint="eastAsia" w:ascii="楷体_GB2312" w:hAnsi="楷体_GB2312" w:eastAsia="楷体_GB2312" w:cs="楷体_GB2312"/>
          <w:b w:val="0"/>
          <w:bCs w:val="0"/>
          <w:color w:val="auto"/>
          <w:spacing w:val="4"/>
          <w:sz w:val="32"/>
          <w:szCs w:val="32"/>
        </w:rPr>
      </w:pPr>
      <w:r>
        <w:rPr>
          <w:rFonts w:hint="eastAsia" w:ascii="楷体_GB2312" w:hAnsi="楷体_GB2312" w:eastAsia="楷体_GB2312" w:cs="楷体_GB2312"/>
          <w:b w:val="0"/>
          <w:bCs w:val="0"/>
          <w:color w:val="auto"/>
          <w:spacing w:val="4"/>
          <w:sz w:val="32"/>
          <w:szCs w:val="32"/>
          <w:lang w:eastAsia="zh-CN"/>
        </w:rPr>
        <w:t>（</w:t>
      </w:r>
      <w:r>
        <w:rPr>
          <w:rFonts w:hint="eastAsia" w:ascii="楷体_GB2312" w:hAnsi="楷体_GB2312" w:eastAsia="楷体_GB2312" w:cs="楷体_GB2312"/>
          <w:b w:val="0"/>
          <w:bCs w:val="0"/>
          <w:color w:val="auto"/>
          <w:spacing w:val="4"/>
          <w:sz w:val="32"/>
          <w:szCs w:val="32"/>
          <w:lang w:val="en-US" w:eastAsia="zh-CN"/>
        </w:rPr>
        <w:t>二）水生态环境。</w:t>
      </w:r>
    </w:p>
    <w:p>
      <w:pPr>
        <w:pStyle w:val="27"/>
        <w:widowControl w:val="0"/>
        <w:wordWrap/>
        <w:adjustRightInd/>
        <w:snapToGrid/>
        <w:spacing w:before="0"/>
        <w:textAlignment w:val="auto"/>
        <w:outlineLvl w:val="9"/>
        <w:rPr>
          <w:rFonts w:hint="default"/>
        </w:rPr>
      </w:pPr>
      <w:r>
        <w:rPr>
          <w:rFonts w:hint="eastAsia"/>
        </w:rPr>
        <w:t>农业面源污染问题突显</w:t>
      </w:r>
      <w:r>
        <w:rPr>
          <w:rFonts w:hint="eastAsia"/>
          <w:lang w:eastAsia="zh-CN"/>
        </w:rPr>
        <w:t>。</w:t>
      </w:r>
      <w:r>
        <w:t>近年来，生猪养殖稳产保供政策促进了韶关市生猪养殖场数量和规模的快速恢复增长，由于畜禽养殖聚集布局并未提前考虑区域的环境容量，快速上马的养殖场存在各种各样的环保问题，2020年</w:t>
      </w:r>
      <w:r>
        <w:rPr>
          <w:rFonts w:hint="eastAsia"/>
          <w:lang w:val="en-US" w:eastAsia="zh-CN"/>
        </w:rPr>
        <w:t>韶关市</w:t>
      </w:r>
      <w:r>
        <w:t>规模化养殖场</w:t>
      </w:r>
      <w:r>
        <w:rPr>
          <w:rFonts w:hint="eastAsia"/>
          <w:lang w:val="en-US" w:eastAsia="zh-CN"/>
        </w:rPr>
        <w:t>达到</w:t>
      </w:r>
      <w:r>
        <w:t>1584家，庞大的养值场数量导致</w:t>
      </w:r>
      <w:r>
        <w:rPr>
          <w:rFonts w:hint="eastAsia"/>
          <w:lang w:eastAsia="zh-CN"/>
        </w:rPr>
        <w:t>“</w:t>
      </w:r>
      <w:r>
        <w:t>事中事后</w:t>
      </w:r>
      <w:r>
        <w:rPr>
          <w:rFonts w:hint="eastAsia"/>
          <w:lang w:eastAsia="zh-CN"/>
        </w:rPr>
        <w:t>”</w:t>
      </w:r>
      <w:r>
        <w:t>执法监管难度很大。部分水质监控断面达标压力持续增大，下雨天甚至出现氮磷等指标连续多天超标的现象，市控以上水质监控断面面临考核不达标的风险。畜禽养殖污染问题已上升为水生态污染治理的主要矛盾</w:t>
      </w:r>
      <w:r>
        <w:rPr>
          <w:rFonts w:hint="eastAsia"/>
          <w:lang w:val="en-US" w:eastAsia="zh-CN"/>
        </w:rPr>
        <w:t>之一</w:t>
      </w:r>
      <w:r>
        <w:t>。</w:t>
      </w:r>
    </w:p>
    <w:p>
      <w:pPr>
        <w:pStyle w:val="27"/>
        <w:widowControl w:val="0"/>
        <w:wordWrap/>
        <w:adjustRightInd/>
        <w:snapToGrid/>
        <w:spacing w:before="0"/>
        <w:textAlignment w:val="auto"/>
        <w:outlineLvl w:val="9"/>
      </w:pPr>
      <w:r>
        <w:rPr>
          <w:rFonts w:hint="eastAsia"/>
          <w:lang w:val="en-US" w:eastAsia="zh-CN"/>
        </w:rPr>
        <w:t>生活污水处理</w:t>
      </w:r>
      <w:r>
        <w:rPr>
          <w:rFonts w:hint="eastAsia"/>
        </w:rPr>
        <w:t>设施短板尚未补齐</w:t>
      </w:r>
      <w:r>
        <w:rPr>
          <w:rFonts w:hint="eastAsia"/>
          <w:lang w:eastAsia="zh-CN"/>
        </w:rPr>
        <w:t>。</w:t>
      </w:r>
      <w:r>
        <w:rPr>
          <w:rFonts w:hint="eastAsia"/>
          <w:lang w:val="en-US" w:eastAsia="zh-CN"/>
        </w:rPr>
        <w:t>韶关市</w:t>
      </w:r>
      <w:r>
        <w:t>污水处理厂进水浓度偏低，污水处理厂效能严重不足，主要原因是由于韶关市大部分集污区域采用混合制排水体制，</w:t>
      </w:r>
      <w:r>
        <w:rPr>
          <w:rFonts w:hint="eastAsia"/>
          <w:lang w:val="en-US" w:eastAsia="zh-CN"/>
        </w:rPr>
        <w:t>集污能力和</w:t>
      </w:r>
      <w:r>
        <w:t>雨污分流不足导致。由于历史原因，集污管网还可能出现管网混错接、管道破损、渗漏等诸多情况情况，城中村、老旧城区、城乡结合部等管网建设缺少规划，覆盖范围有较大的不足，存在生活污水就近进入附近水体的情况</w:t>
      </w:r>
      <w:r>
        <w:rPr>
          <w:rFonts w:hint="eastAsia"/>
          <w:lang w:eastAsia="zh-CN"/>
        </w:rPr>
        <w:t>，</w:t>
      </w:r>
      <w:r>
        <w:t>大力提升集污能力是有效提升污水处理厂效能的关键。</w:t>
      </w:r>
    </w:p>
    <w:p>
      <w:pPr>
        <w:pStyle w:val="27"/>
        <w:widowControl w:val="0"/>
        <w:wordWrap/>
        <w:adjustRightInd/>
        <w:snapToGrid/>
        <w:spacing w:before="0"/>
        <w:textAlignment w:val="auto"/>
        <w:outlineLvl w:val="9"/>
        <w:rPr>
          <w:rFonts w:hint="default" w:ascii="楷体_GB2312" w:hAnsi="楷体_GB2312" w:eastAsia="楷体_GB2312" w:cs="楷体_GB2312"/>
          <w:b w:val="0"/>
          <w:bCs w:val="0"/>
          <w:color w:val="auto"/>
          <w:spacing w:val="4"/>
          <w:kern w:val="2"/>
          <w:sz w:val="32"/>
          <w:szCs w:val="32"/>
          <w:lang w:val="en-US" w:eastAsia="zh-CN"/>
        </w:rPr>
      </w:pPr>
      <w:r>
        <w:t>河流富营养化</w:t>
      </w:r>
      <w:r>
        <w:rPr>
          <w:rFonts w:hint="eastAsia"/>
          <w:lang w:val="en-US" w:eastAsia="zh-CN"/>
        </w:rPr>
        <w:t>局部加重。</w:t>
      </w:r>
      <w:r>
        <w:t>近年来北江、浈江市区部分河段</w:t>
      </w:r>
      <w:r>
        <w:rPr>
          <w:rFonts w:hint="eastAsia"/>
          <w:lang w:val="en-US" w:eastAsia="zh-CN"/>
        </w:rPr>
        <w:t>已</w:t>
      </w:r>
      <w:r>
        <w:t>出现轻度局部小面积蓝藻水华</w:t>
      </w:r>
      <w:r>
        <w:rPr>
          <w:rFonts w:hint="eastAsia"/>
          <w:lang w:eastAsia="zh-CN"/>
        </w:rPr>
        <w:t>，</w:t>
      </w:r>
      <w:r>
        <w:t>河流富营养化</w:t>
      </w:r>
      <w:r>
        <w:rPr>
          <w:rFonts w:hint="eastAsia"/>
          <w:lang w:val="en-US" w:eastAsia="zh-CN"/>
        </w:rPr>
        <w:t>问题不容忽视</w:t>
      </w:r>
      <w:r>
        <w:t>。</w:t>
      </w:r>
    </w:p>
    <w:p>
      <w:pPr>
        <w:pStyle w:val="22"/>
        <w:jc w:val="left"/>
        <w:rPr>
          <w:rFonts w:hint="eastAsia" w:ascii="楷体_GB2312" w:hAnsi="楷体_GB2312" w:eastAsia="楷体_GB2312" w:cs="楷体_GB2312"/>
          <w:b w:val="0"/>
          <w:bCs w:val="0"/>
          <w:color w:val="auto"/>
          <w:spacing w:val="4"/>
          <w:kern w:val="2"/>
          <w:sz w:val="32"/>
          <w:szCs w:val="32"/>
          <w:lang w:val="en-US" w:eastAsia="zh-CN"/>
        </w:rPr>
      </w:pPr>
      <w:r>
        <w:rPr>
          <w:rFonts w:hint="eastAsia" w:ascii="楷体_GB2312" w:hAnsi="楷体_GB2312" w:eastAsia="楷体_GB2312" w:cs="楷体_GB2312"/>
          <w:b w:val="0"/>
          <w:bCs w:val="0"/>
          <w:color w:val="auto"/>
          <w:spacing w:val="4"/>
          <w:kern w:val="2"/>
          <w:sz w:val="32"/>
          <w:szCs w:val="32"/>
          <w:lang w:val="en-US" w:eastAsia="zh-CN"/>
        </w:rPr>
        <w:t>（三）土壤环境</w:t>
      </w:r>
      <w:r>
        <w:rPr>
          <w:rFonts w:hint="eastAsia" w:hAnsi="楷体_GB2312" w:cs="楷体_GB2312"/>
          <w:b w:val="0"/>
          <w:bCs w:val="0"/>
          <w:color w:val="auto"/>
          <w:spacing w:val="4"/>
          <w:kern w:val="2"/>
          <w:sz w:val="32"/>
          <w:szCs w:val="32"/>
          <w:lang w:val="en-US" w:eastAsia="zh-CN"/>
        </w:rPr>
        <w:t>。</w:t>
      </w:r>
    </w:p>
    <w:p>
      <w:pPr>
        <w:pStyle w:val="27"/>
        <w:widowControl w:val="0"/>
        <w:wordWrap/>
        <w:adjustRightInd/>
        <w:snapToGrid/>
        <w:textAlignment w:val="auto"/>
        <w:outlineLvl w:val="9"/>
        <w:rPr>
          <w:rFonts w:hint="eastAsia"/>
          <w:lang w:eastAsia="zh-CN"/>
        </w:rPr>
      </w:pPr>
      <w:r>
        <w:rPr>
          <w:rFonts w:hint="eastAsia"/>
        </w:rPr>
        <w:t>局部地区土壤污染风险仍然较高</w:t>
      </w:r>
      <w:r>
        <w:rPr>
          <w:rFonts w:hint="eastAsia"/>
          <w:lang w:eastAsia="zh-CN"/>
        </w:rPr>
        <w:t>。</w:t>
      </w:r>
      <w:r>
        <w:rPr>
          <w:rFonts w:hint="eastAsia"/>
        </w:rPr>
        <w:t>韶关市是广东省的矿产资源大市，素有</w:t>
      </w:r>
      <w:r>
        <w:rPr>
          <w:rFonts w:hint="eastAsia"/>
          <w:lang w:eastAsia="zh-CN"/>
        </w:rPr>
        <w:t>“</w:t>
      </w:r>
      <w:r>
        <w:rPr>
          <w:rFonts w:hint="eastAsia"/>
        </w:rPr>
        <w:t>有色金属之乡</w:t>
      </w:r>
      <w:r>
        <w:rPr>
          <w:rFonts w:hint="eastAsia"/>
          <w:lang w:eastAsia="zh-CN"/>
        </w:rPr>
        <w:t>”</w:t>
      </w:r>
      <w:r>
        <w:rPr>
          <w:rFonts w:hint="eastAsia"/>
        </w:rPr>
        <w:t>之称，矿产开采集中区域周边土壤环境问题突出，存在耕地及农产品超标风险。有色金属矿采选、冶炼等重点行业企业周边重金属量持续累积，土壤污染源头防控压力仍然较大。历史遗留工业固体废物堆存场所对周边敏感受体产生影响。暂不开发工业企业地块环境风险较高，风险管控压力较大。</w:t>
      </w:r>
    </w:p>
    <w:p>
      <w:pPr>
        <w:pStyle w:val="27"/>
        <w:widowControl w:val="0"/>
        <w:wordWrap/>
        <w:adjustRightInd/>
        <w:snapToGrid/>
        <w:textAlignment w:val="auto"/>
        <w:outlineLvl w:val="9"/>
        <w:rPr>
          <w:rFonts w:hint="eastAsia"/>
          <w:lang w:eastAsia="zh-CN"/>
        </w:rPr>
      </w:pPr>
      <w:r>
        <w:rPr>
          <w:rFonts w:hint="eastAsia"/>
        </w:rPr>
        <w:t>风险管控和修复工作仍需加强</w:t>
      </w:r>
      <w:r>
        <w:rPr>
          <w:rFonts w:hint="eastAsia"/>
          <w:lang w:eastAsia="zh-CN"/>
        </w:rPr>
        <w:t>。</w:t>
      </w:r>
      <w:r>
        <w:rPr>
          <w:rFonts w:hint="eastAsia"/>
        </w:rPr>
        <w:t>现有耕地安全利用技术仍不完善，其长期效果不稳定，农户</w:t>
      </w:r>
      <w:r>
        <w:t>种植意愿</w:t>
      </w:r>
      <w:r>
        <w:rPr>
          <w:rFonts w:hint="eastAsia"/>
        </w:rPr>
        <w:t>、</w:t>
      </w:r>
      <w:r>
        <w:t>政策</w:t>
      </w:r>
      <w:r>
        <w:rPr>
          <w:rFonts w:hint="eastAsia"/>
        </w:rPr>
        <w:t>资金等存在不确定性，耕地安全利用和严格管控实施效果难以持续。部分地区建设用地土壤环境风险较高、再开发利用需求较大，规模化、集约化工程修复技术体系尚未建立。</w:t>
      </w:r>
      <w:r>
        <w:t>部分历史遗留污染地块责任主体</w:t>
      </w:r>
      <w:r>
        <w:rPr>
          <w:rFonts w:hint="eastAsia"/>
        </w:rPr>
        <w:t>缺乏资金</w:t>
      </w:r>
      <w:r>
        <w:t>或者</w:t>
      </w:r>
      <w:r>
        <w:rPr>
          <w:rFonts w:hint="eastAsia"/>
        </w:rPr>
        <w:t>难以</w:t>
      </w:r>
      <w:r>
        <w:t>实施修复</w:t>
      </w:r>
      <w:r>
        <w:rPr>
          <w:rFonts w:hint="eastAsia"/>
        </w:rPr>
        <w:t>，且</w:t>
      </w:r>
      <w:r>
        <w:t>开发价值不大或不具备开发价值</w:t>
      </w:r>
      <w:r>
        <w:rPr>
          <w:rFonts w:hint="eastAsia"/>
        </w:rPr>
        <w:t>，</w:t>
      </w:r>
      <w:r>
        <w:t>土壤污染防治市场投</w:t>
      </w:r>
      <w:r>
        <w:rPr>
          <w:rFonts w:hint="eastAsia"/>
        </w:rPr>
        <w:t>入驱动力不足。</w:t>
      </w:r>
    </w:p>
    <w:p>
      <w:pPr>
        <w:pStyle w:val="5"/>
        <w:widowControl w:val="0"/>
        <w:wordWrap/>
        <w:adjustRightInd w:val="0"/>
        <w:snapToGrid w:val="0"/>
        <w:spacing w:before="0" w:after="0" w:line="560" w:lineRule="exact"/>
        <w:ind w:firstLine="640" w:firstLineChars="200"/>
        <w:textAlignment w:val="auto"/>
        <w:rPr>
          <w:rFonts w:hint="eastAsia" w:ascii="黑体" w:hAnsi="黑体" w:eastAsia="黑体" w:cs="黑体"/>
          <w:b w:val="0"/>
          <w:bCs w:val="0"/>
          <w:color w:val="auto"/>
        </w:rPr>
      </w:pPr>
      <w:bookmarkStart w:id="198" w:name="_Toc80280439"/>
      <w:bookmarkStart w:id="199" w:name="_Toc2010"/>
      <w:bookmarkStart w:id="200" w:name="_Toc5003"/>
      <w:bookmarkStart w:id="201" w:name="_Toc18274"/>
      <w:bookmarkStart w:id="202" w:name="_Toc1208"/>
      <w:bookmarkStart w:id="203" w:name="_Toc19323"/>
      <w:bookmarkStart w:id="204" w:name="_Toc27340"/>
      <w:bookmarkStart w:id="205" w:name="_Toc3067"/>
      <w:bookmarkStart w:id="206" w:name="_Toc13139"/>
      <w:bookmarkStart w:id="207" w:name="_Toc31779"/>
      <w:bookmarkStart w:id="208" w:name="_Toc17866"/>
      <w:bookmarkStart w:id="209" w:name="_Toc22188"/>
      <w:bookmarkStart w:id="210" w:name="_Toc14241"/>
      <w:bookmarkStart w:id="211" w:name="_Toc19881"/>
      <w:bookmarkStart w:id="212" w:name="_Toc14508"/>
      <w:bookmarkStart w:id="213" w:name="_Toc19149"/>
      <w:r>
        <w:rPr>
          <w:rFonts w:hint="eastAsia" w:ascii="黑体" w:hAnsi="黑体" w:eastAsia="黑体" w:cs="黑体"/>
          <w:b w:val="0"/>
          <w:bCs w:val="0"/>
          <w:color w:val="auto"/>
          <w:lang w:val="en-US" w:eastAsia="zh-CN"/>
        </w:rPr>
        <w:t>二</w:t>
      </w:r>
      <w:r>
        <w:rPr>
          <w:rFonts w:hint="eastAsia" w:ascii="黑体" w:hAnsi="黑体" w:eastAsia="黑体" w:cs="黑体"/>
          <w:b w:val="0"/>
          <w:bCs w:val="0"/>
          <w:color w:val="auto"/>
        </w:rPr>
        <w:t>、环境风险管控压力较大</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27"/>
        <w:widowControl w:val="0"/>
        <w:wordWrap/>
        <w:adjustRightInd/>
        <w:snapToGrid/>
        <w:textAlignment w:val="auto"/>
        <w:outlineLvl w:val="9"/>
        <w:rPr>
          <w:rFonts w:hint="default"/>
        </w:rPr>
      </w:pPr>
      <w:r>
        <w:rPr>
          <w:rFonts w:hint="eastAsia" w:ascii="楷体_GB2312" w:hAnsi="楷体_GB2312" w:eastAsia="楷体_GB2312" w:cs="楷体_GB2312"/>
          <w:lang w:val="en-US" w:eastAsia="zh-CN"/>
        </w:rPr>
        <w:t>跨界水质污染风险仍存。</w:t>
      </w:r>
      <w:r>
        <w:rPr>
          <w:rFonts w:hint="default"/>
        </w:rPr>
        <w:t>武江上游湖南境内武水河流域有色金属采选企业众多，临武与宜章两县</w:t>
      </w:r>
      <w:r>
        <w:rPr>
          <w:rFonts w:hint="eastAsia"/>
          <w:lang w:val="en-US" w:eastAsia="zh-CN"/>
        </w:rPr>
        <w:t>高</w:t>
      </w:r>
      <w:r>
        <w:rPr>
          <w:rFonts w:hint="default"/>
        </w:rPr>
        <w:t>峰时期采矿企业达数百家。矿产资源的无序开采导致区域生态环境受到严重破坏，武江河上游重金属污染问题突出，雨季容易造成砷、锑等重金属指标超标。武江河是</w:t>
      </w:r>
      <w:r>
        <w:rPr>
          <w:rFonts w:hint="eastAsia"/>
          <w:lang w:eastAsia="zh-CN"/>
        </w:rPr>
        <w:t>重要</w:t>
      </w:r>
      <w:r>
        <w:rPr>
          <w:rFonts w:hint="default"/>
        </w:rPr>
        <w:t>供水通道，</w:t>
      </w:r>
      <w:r>
        <w:rPr>
          <w:rFonts w:hint="eastAsia"/>
          <w:lang w:eastAsia="zh-CN"/>
        </w:rPr>
        <w:t>要</w:t>
      </w:r>
      <w:r>
        <w:rPr>
          <w:rFonts w:hint="default"/>
        </w:rPr>
        <w:t>持续做好入境河流水质预警</w:t>
      </w:r>
      <w:r>
        <w:rPr>
          <w:rFonts w:hint="eastAsia"/>
          <w:lang w:eastAsia="zh-CN"/>
        </w:rPr>
        <w:t>监测</w:t>
      </w:r>
      <w:r>
        <w:rPr>
          <w:rFonts w:hint="default"/>
        </w:rPr>
        <w:t>，有效管控水环境风险，确保饮水安全。</w:t>
      </w:r>
    </w:p>
    <w:p>
      <w:pPr>
        <w:pStyle w:val="27"/>
        <w:widowControl w:val="0"/>
        <w:wordWrap/>
        <w:adjustRightInd/>
        <w:snapToGrid/>
        <w:textAlignment w:val="auto"/>
        <w:outlineLvl w:val="9"/>
        <w:rPr>
          <w:rFonts w:hint="default"/>
        </w:rPr>
      </w:pPr>
      <w:r>
        <w:rPr>
          <w:rFonts w:hint="eastAsia" w:ascii="楷体_GB2312" w:hAnsi="楷体_GB2312" w:eastAsia="楷体_GB2312" w:cs="楷体_GB2312"/>
        </w:rPr>
        <w:t>流域化工产业环境风险突显</w:t>
      </w:r>
      <w:r>
        <w:rPr>
          <w:rFonts w:hint="eastAsia" w:ascii="楷体_GB2312" w:hAnsi="楷体_GB2312" w:eastAsia="楷体_GB2312" w:cs="楷体_GB2312"/>
          <w:lang w:eastAsia="zh-CN"/>
        </w:rPr>
        <w:t>。</w:t>
      </w:r>
      <w:r>
        <w:rPr>
          <w:rFonts w:hint="default"/>
        </w:rPr>
        <w:t>随着产业转移的推进，韶关市化工基地</w:t>
      </w:r>
      <w:r>
        <w:rPr>
          <w:rFonts w:hint="eastAsia"/>
          <w:lang w:eastAsia="zh-CN"/>
        </w:rPr>
        <w:t>进驻</w:t>
      </w:r>
      <w:r>
        <w:rPr>
          <w:rFonts w:hint="default"/>
        </w:rPr>
        <w:t>了大量化工企业，主要分布在南雄精细化工基地、翁源华彩涂料城、武江区甘棠工业园、新丰县马头工业园和广东乳源化工基地。化工企业产业转移虽然带动了当地经济的发展，但是大量的危化品运输，存在一定概率的交通运输泄漏、火灾、爆炸等事故风险；部分化工原料易燃易爆、有毒有害等特点，存在一定概率的泄漏、火灾、爆炸等事故风险，可能带来</w:t>
      </w:r>
      <w:r>
        <w:rPr>
          <w:rFonts w:hint="eastAsia"/>
          <w:lang w:val="en-US" w:eastAsia="zh-CN"/>
        </w:rPr>
        <w:t>严重的</w:t>
      </w:r>
      <w:r>
        <w:rPr>
          <w:rFonts w:hint="default"/>
        </w:rPr>
        <w:t>生态环境风险。</w:t>
      </w:r>
    </w:p>
    <w:p>
      <w:pPr>
        <w:pStyle w:val="5"/>
        <w:widowControl w:val="0"/>
        <w:wordWrap/>
        <w:adjustRightInd w:val="0"/>
        <w:snapToGrid w:val="0"/>
        <w:spacing w:before="0" w:after="0" w:line="560" w:lineRule="exact"/>
        <w:ind w:firstLine="640" w:firstLineChars="200"/>
        <w:textAlignment w:val="auto"/>
        <w:rPr>
          <w:rFonts w:hint="default" w:ascii="黑体" w:hAnsi="黑体" w:eastAsia="黑体" w:cs="黑体"/>
          <w:b w:val="0"/>
          <w:bCs w:val="0"/>
          <w:color w:val="auto"/>
          <w:lang w:val="en-US" w:eastAsia="zh-CN"/>
        </w:rPr>
      </w:pPr>
      <w:bookmarkStart w:id="214" w:name="_Toc4276"/>
      <w:bookmarkStart w:id="215" w:name="_Toc20484"/>
      <w:bookmarkStart w:id="216" w:name="_Toc26102"/>
      <w:bookmarkStart w:id="217" w:name="_Toc26695"/>
      <w:bookmarkStart w:id="218" w:name="_Toc30061"/>
      <w:bookmarkStart w:id="219" w:name="_Toc13859"/>
      <w:bookmarkStart w:id="220" w:name="_Toc603"/>
      <w:bookmarkStart w:id="221" w:name="_Toc1939"/>
      <w:bookmarkStart w:id="222" w:name="_Toc3740"/>
      <w:bookmarkStart w:id="223" w:name="_Toc4532"/>
      <w:bookmarkStart w:id="224" w:name="_Toc22131"/>
      <w:bookmarkStart w:id="225" w:name="_Toc7884"/>
      <w:bookmarkStart w:id="226" w:name="_Toc11175"/>
      <w:bookmarkStart w:id="227" w:name="_Toc25167"/>
      <w:bookmarkStart w:id="228" w:name="_Toc6635"/>
      <w:bookmarkStart w:id="229" w:name="_Toc80280441"/>
      <w:r>
        <w:rPr>
          <w:rFonts w:hint="eastAsia" w:ascii="黑体" w:hAnsi="黑体" w:eastAsia="黑体" w:cs="黑体"/>
          <w:b w:val="0"/>
          <w:bCs w:val="0"/>
          <w:color w:val="auto"/>
          <w:lang w:val="en-US" w:eastAsia="zh-CN"/>
        </w:rPr>
        <w:t>三</w:t>
      </w:r>
      <w:r>
        <w:rPr>
          <w:rFonts w:hint="default" w:ascii="黑体" w:hAnsi="黑体" w:eastAsia="黑体" w:cs="黑体"/>
          <w:b w:val="0"/>
          <w:bCs w:val="0"/>
          <w:color w:val="auto"/>
          <w:lang w:val="en-US" w:eastAsia="zh-CN"/>
        </w:rPr>
        <w:t>、生态环境治理现代化水平亟待提升</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27"/>
        <w:rPr>
          <w:rFonts w:hint="default"/>
        </w:rPr>
      </w:pPr>
      <w:bookmarkStart w:id="230" w:name="_Toc9577"/>
      <w:bookmarkStart w:id="231" w:name="_Toc24011"/>
      <w:r>
        <w:rPr>
          <w:rFonts w:hint="default"/>
        </w:rPr>
        <w:t>污染源精准溯源监测能力不足，科技创新的支撑作用有待加强，大数据、人工智能等信息技术手段在生态环境保护领域的应用尚处于起步阶段。生态环境保护更加突出系统性和整体性，对治理技术手段的精准性、有效性提出更高要求。绿色金融、财税等经济政策的激励作用尚未充分发挥。部分企业治污主体责任落实不到位，垃圾分类、绿色消费、节水节电等绿色生活方式尚未完全转化为公众的自觉行动，全民生态环境素养有待提升。</w:t>
      </w:r>
      <w:bookmarkEnd w:id="229"/>
      <w:bookmarkEnd w:id="230"/>
      <w:bookmarkEnd w:id="231"/>
    </w:p>
    <w:p>
      <w:pPr>
        <w:pStyle w:val="27"/>
        <w:spacing w:after="0"/>
        <w:rPr>
          <w:rFonts w:hint="default"/>
        </w:rPr>
      </w:pPr>
      <w:r>
        <w:rPr>
          <w:rFonts w:hint="default"/>
        </w:rPr>
        <w:t>基层生态环境保护执法力量仍然不足，执法设备相对落后，信息化水平不高。大部分乡镇未配备专职生态环境工作人员，即使有兼职工作人员，也普遍存在年纪较大、学历偏低、生态环境专业知识缺乏的情况，基层生态环境队伍专业能力薄弱。随着我国生态保护监管体制改革的稳步推进，监管范围逐步扩大，监管要求不断提高，监管任务日益增多，能力装备、保障条件、人才队伍与职能任务不相匹配的问题愈发突出，将困扰和阻碍生态环保事业的发展。</w:t>
      </w:r>
    </w:p>
    <w:p>
      <w:pPr>
        <w:pStyle w:val="4"/>
        <w:keepNext/>
        <w:keepLines/>
        <w:widowControl w:val="0"/>
        <w:numPr>
          <w:ilvl w:val="0"/>
          <w:numId w:val="2"/>
        </w:numPr>
        <w:wordWrap/>
        <w:adjustRightInd w:val="0"/>
        <w:snapToGrid w:val="0"/>
        <w:spacing w:beforeLines="50" w:afterLines="50" w:line="560" w:lineRule="exact"/>
        <w:ind w:left="0" w:leftChars="0" w:firstLine="640" w:firstLineChars="200"/>
        <w:jc w:val="center"/>
        <w:textAlignment w:val="auto"/>
        <w:outlineLvl w:val="1"/>
        <w:rPr>
          <w:rFonts w:hint="eastAsia" w:ascii="黑体" w:hAnsi="黑体" w:eastAsia="黑体" w:cs="黑体"/>
          <w:b w:val="0"/>
          <w:bCs w:val="0"/>
          <w:lang w:val="en-US" w:eastAsia="zh-CN"/>
        </w:rPr>
      </w:pPr>
      <w:bookmarkStart w:id="232" w:name="_Toc18548"/>
      <w:bookmarkStart w:id="233" w:name="_Toc21327"/>
      <w:bookmarkStart w:id="234" w:name="_Toc32329"/>
      <w:bookmarkStart w:id="235" w:name="_Toc32335"/>
      <w:bookmarkStart w:id="236" w:name="_Toc9992"/>
      <w:bookmarkStart w:id="237" w:name="_Toc22198"/>
      <w:bookmarkStart w:id="238" w:name="_Toc21239"/>
      <w:bookmarkStart w:id="239" w:name="_Toc28488"/>
      <w:bookmarkStart w:id="240" w:name="_Toc27960"/>
      <w:bookmarkStart w:id="241" w:name="_Toc10600"/>
      <w:bookmarkStart w:id="242" w:name="_Toc4840"/>
      <w:bookmarkStart w:id="243" w:name="_Toc29252"/>
      <w:bookmarkStart w:id="244" w:name="_Toc24846"/>
      <w:bookmarkStart w:id="245" w:name="_Toc21735"/>
      <w:bookmarkStart w:id="246" w:name="_Toc3157"/>
      <w:bookmarkStart w:id="247" w:name="_Toc13538"/>
      <w:bookmarkStart w:id="248" w:name="_Toc14321"/>
      <w:bookmarkStart w:id="249" w:name="_Toc12577"/>
      <w:bookmarkStart w:id="250" w:name="_Toc12585"/>
      <w:bookmarkStart w:id="251" w:name="_Toc27214"/>
      <w:bookmarkStart w:id="252" w:name="_Toc7291"/>
      <w:bookmarkStart w:id="253" w:name="_Toc13817"/>
      <w:bookmarkStart w:id="254" w:name="_Toc18258"/>
      <w:bookmarkStart w:id="255" w:name="_Toc22835"/>
      <w:r>
        <w:rPr>
          <w:rFonts w:hint="eastAsia" w:ascii="黑体" w:hAnsi="黑体" w:eastAsia="黑体" w:cs="黑体"/>
          <w:b w:val="0"/>
          <w:bCs w:val="0"/>
          <w:lang w:val="en-US" w:eastAsia="zh-CN"/>
        </w:rPr>
        <w:t xml:space="preserve"> “十四五</w:t>
      </w:r>
      <w:bookmarkEnd w:id="232"/>
      <w:bookmarkEnd w:id="233"/>
      <w:bookmarkEnd w:id="234"/>
      <w:bookmarkEnd w:id="235"/>
      <w:bookmarkEnd w:id="236"/>
      <w:bookmarkEnd w:id="237"/>
      <w:bookmarkEnd w:id="238"/>
      <w:r>
        <w:rPr>
          <w:rFonts w:hint="eastAsia" w:ascii="黑体" w:hAnsi="黑体" w:eastAsia="黑体" w:cs="黑体"/>
          <w:b w:val="0"/>
          <w:bCs w:val="0"/>
          <w:lang w:val="en-US" w:eastAsia="zh-CN"/>
        </w:rPr>
        <w:t>”生态环境保护面临</w:t>
      </w:r>
      <w:bookmarkEnd w:id="239"/>
      <w:bookmarkEnd w:id="240"/>
      <w:bookmarkEnd w:id="241"/>
      <w:bookmarkEnd w:id="242"/>
      <w:bookmarkEnd w:id="243"/>
      <w:r>
        <w:rPr>
          <w:rFonts w:hint="eastAsia" w:ascii="黑体" w:hAnsi="黑体" w:eastAsia="黑体" w:cs="黑体"/>
          <w:b w:val="0"/>
          <w:bCs w:val="0"/>
          <w:lang w:val="en-US" w:eastAsia="zh-CN"/>
        </w:rPr>
        <w:t>机遇</w:t>
      </w:r>
      <w:bookmarkEnd w:id="244"/>
      <w:bookmarkEnd w:id="245"/>
      <w:bookmarkEnd w:id="246"/>
      <w:bookmarkEnd w:id="247"/>
      <w:bookmarkEnd w:id="248"/>
      <w:bookmarkEnd w:id="249"/>
      <w:bookmarkEnd w:id="250"/>
      <w:bookmarkEnd w:id="251"/>
      <w:bookmarkEnd w:id="252"/>
      <w:bookmarkEnd w:id="253"/>
      <w:bookmarkEnd w:id="254"/>
      <w:bookmarkEnd w:id="255"/>
    </w:p>
    <w:p>
      <w:pPr>
        <w:pStyle w:val="27"/>
        <w:widowControl w:val="0"/>
        <w:wordWrap/>
        <w:adjustRightInd/>
        <w:snapToGrid/>
        <w:textAlignment w:val="auto"/>
        <w:outlineLvl w:val="9"/>
        <w:rPr>
          <w:rFonts w:hint="default"/>
        </w:rPr>
      </w:pPr>
      <w:r>
        <w:rPr>
          <w:rFonts w:hint="eastAsia"/>
          <w:lang w:eastAsia="zh-CN"/>
        </w:rPr>
        <w:t>“</w:t>
      </w:r>
      <w:r>
        <w:rPr>
          <w:rFonts w:hint="default"/>
        </w:rPr>
        <w:t>十四五</w:t>
      </w:r>
      <w:r>
        <w:rPr>
          <w:rFonts w:hint="eastAsia"/>
          <w:lang w:eastAsia="zh-CN"/>
        </w:rPr>
        <w:t>”</w:t>
      </w:r>
      <w:r>
        <w:rPr>
          <w:rFonts w:hint="default"/>
        </w:rPr>
        <w:t>时期，</w:t>
      </w:r>
      <w:r>
        <w:rPr>
          <w:rFonts w:hint="eastAsia"/>
          <w:lang w:eastAsia="zh-CN"/>
        </w:rPr>
        <w:t>是</w:t>
      </w:r>
      <w:r>
        <w:rPr>
          <w:rFonts w:hint="default"/>
        </w:rPr>
        <w:t>我国生态文明建设和生态环境保护进入了以降碳为重点战略方向、推动减污降碳协同增效、促进经济社会发展全面绿色转型、实现生态环境质量改善由量变到质变的关键时期，</w:t>
      </w:r>
      <w:r>
        <w:rPr>
          <w:rFonts w:hint="eastAsia"/>
          <w:lang w:eastAsia="zh-CN"/>
        </w:rPr>
        <w:t>是</w:t>
      </w:r>
      <w:r>
        <w:rPr>
          <w:rFonts w:hint="default"/>
        </w:rPr>
        <w:t>广东省</w:t>
      </w:r>
      <w:r>
        <w:rPr>
          <w:rFonts w:hint="eastAsia"/>
          <w:lang w:eastAsia="zh-CN"/>
        </w:rPr>
        <w:t>深入打好污染防治攻坚战、全面推进美丽广东建设的关键时期</w:t>
      </w:r>
      <w:r>
        <w:rPr>
          <w:rFonts w:hint="default"/>
        </w:rPr>
        <w:t>，</w:t>
      </w:r>
      <w:r>
        <w:rPr>
          <w:rFonts w:hint="eastAsia"/>
          <w:lang w:eastAsia="zh-CN"/>
        </w:rPr>
        <w:t>韶关市必须牢牢把握“一核一带一区”区域发展格局和“双区”建设等重大战略发展机遇，实现生态环境持续改善，加快建设美丽韶关，全力筑牢粤北生态屏障。</w:t>
      </w:r>
    </w:p>
    <w:p>
      <w:pPr>
        <w:pStyle w:val="5"/>
        <w:widowControl w:val="0"/>
        <w:wordWrap/>
        <w:adjustRightInd w:val="0"/>
        <w:snapToGrid w:val="0"/>
        <w:spacing w:before="0" w:after="0" w:line="560" w:lineRule="exact"/>
        <w:ind w:firstLine="640" w:firstLineChars="200"/>
        <w:textAlignment w:val="auto"/>
        <w:rPr>
          <w:rFonts w:hint="default" w:ascii="黑体" w:hAnsi="黑体" w:eastAsia="黑体" w:cs="黑体"/>
          <w:b w:val="0"/>
          <w:bCs w:val="0"/>
          <w:color w:val="auto"/>
          <w:lang w:val="en-US" w:eastAsia="zh-CN"/>
        </w:rPr>
      </w:pPr>
      <w:bookmarkStart w:id="256" w:name="_Toc702"/>
      <w:bookmarkStart w:id="257" w:name="_Toc15752"/>
      <w:bookmarkStart w:id="258" w:name="_Toc20105"/>
      <w:bookmarkStart w:id="259" w:name="_Toc24157"/>
      <w:bookmarkStart w:id="260" w:name="_Toc30274"/>
      <w:bookmarkStart w:id="261" w:name="_Toc21310"/>
      <w:bookmarkStart w:id="262" w:name="_Toc24281"/>
      <w:bookmarkStart w:id="263" w:name="_Toc21564"/>
      <w:bookmarkStart w:id="264" w:name="_Toc31313"/>
      <w:bookmarkStart w:id="265" w:name="_Toc8161"/>
      <w:bookmarkStart w:id="266" w:name="_Toc32424"/>
      <w:r>
        <w:rPr>
          <w:rFonts w:hint="default" w:ascii="黑体" w:hAnsi="黑体" w:eastAsia="黑体" w:cs="黑体"/>
          <w:b w:val="0"/>
          <w:bCs w:val="0"/>
          <w:color w:val="auto"/>
          <w:lang w:val="en-US" w:eastAsia="zh-CN"/>
        </w:rPr>
        <w:t>一、</w:t>
      </w:r>
      <w:bookmarkEnd w:id="256"/>
      <w:r>
        <w:rPr>
          <w:rFonts w:hint="default" w:ascii="黑体" w:hAnsi="黑体" w:eastAsia="黑体" w:cs="黑体"/>
          <w:b w:val="0"/>
          <w:bCs w:val="0"/>
          <w:color w:val="auto"/>
          <w:lang w:val="en-US" w:eastAsia="zh-CN"/>
        </w:rPr>
        <w:t>生态</w:t>
      </w:r>
      <w:r>
        <w:rPr>
          <w:rFonts w:hint="eastAsia" w:ascii="黑体" w:hAnsi="黑体" w:eastAsia="黑体" w:cs="黑体"/>
          <w:b w:val="0"/>
          <w:bCs w:val="0"/>
          <w:color w:val="auto"/>
          <w:lang w:val="en-US" w:eastAsia="zh-CN"/>
        </w:rPr>
        <w:t>产品</w:t>
      </w:r>
      <w:r>
        <w:rPr>
          <w:rFonts w:hint="default" w:ascii="黑体" w:hAnsi="黑体" w:eastAsia="黑体" w:cs="黑体"/>
          <w:b w:val="0"/>
          <w:bCs w:val="0"/>
          <w:color w:val="auto"/>
          <w:lang w:val="en-US" w:eastAsia="zh-CN"/>
        </w:rPr>
        <w:t>价值转化机遇</w:t>
      </w:r>
      <w:bookmarkEnd w:id="257"/>
      <w:bookmarkEnd w:id="258"/>
      <w:bookmarkEnd w:id="259"/>
      <w:bookmarkEnd w:id="260"/>
      <w:bookmarkEnd w:id="261"/>
      <w:bookmarkEnd w:id="262"/>
      <w:bookmarkEnd w:id="263"/>
      <w:bookmarkEnd w:id="264"/>
      <w:bookmarkEnd w:id="265"/>
      <w:bookmarkEnd w:id="266"/>
    </w:p>
    <w:p>
      <w:pPr>
        <w:pStyle w:val="27"/>
        <w:widowControl w:val="0"/>
        <w:wordWrap/>
        <w:adjustRightInd/>
        <w:snapToGrid/>
        <w:textAlignment w:val="auto"/>
        <w:outlineLvl w:val="9"/>
        <w:rPr>
          <w:rFonts w:hint="eastAsia"/>
          <w:lang w:val="en-US" w:eastAsia="zh-CN"/>
        </w:rPr>
      </w:pPr>
      <w:r>
        <w:rPr>
          <w:rFonts w:hint="eastAsia"/>
          <w:lang w:val="en-US" w:eastAsia="zh-CN"/>
        </w:rPr>
        <w:t>韶关市是广东省“一核一带一区”区域发展格局中北部生态发展区，域内南岭山区是国家“两屏三带”生态安全战略格局中南方丘陵山地带的核心区，</w:t>
      </w:r>
      <w:r>
        <w:t>是北江、东江等流域上游重要的水源涵养区，</w:t>
      </w:r>
      <w:r>
        <w:rPr>
          <w:rFonts w:hint="eastAsia"/>
          <w:lang w:val="en-US" w:eastAsia="zh-CN"/>
        </w:rPr>
        <w:t>具有丰富的林地资源、水资源、岸线资源、土地资源和矿产资源。推进资源资产价值化是贯彻落实习近平生态文明思想的具体行动，是践行“绿水青山就是金山银山”理念的重要抓手，对推动韶关市经济社会高质量发展具有重要意义。</w:t>
      </w:r>
    </w:p>
    <w:p>
      <w:pPr>
        <w:pStyle w:val="5"/>
        <w:widowControl w:val="0"/>
        <w:wordWrap/>
        <w:adjustRightInd w:val="0"/>
        <w:snapToGrid w:val="0"/>
        <w:spacing w:before="0" w:after="0" w:line="560" w:lineRule="exact"/>
        <w:ind w:firstLine="640" w:firstLineChars="200"/>
        <w:textAlignment w:val="auto"/>
        <w:rPr>
          <w:rFonts w:hint="default" w:ascii="黑体" w:hAnsi="黑体" w:eastAsia="黑体" w:cs="黑体"/>
          <w:b w:val="0"/>
          <w:bCs w:val="0"/>
          <w:color w:val="auto"/>
          <w:lang w:val="en-US" w:eastAsia="zh-CN"/>
        </w:rPr>
      </w:pPr>
      <w:bookmarkStart w:id="267" w:name="_Toc5852"/>
      <w:bookmarkStart w:id="268" w:name="_Toc18664"/>
      <w:bookmarkStart w:id="269" w:name="_Toc19471"/>
      <w:bookmarkStart w:id="270" w:name="_Toc19403"/>
      <w:bookmarkStart w:id="271" w:name="_Toc2022"/>
      <w:bookmarkStart w:id="272" w:name="_Toc23388"/>
      <w:bookmarkStart w:id="273" w:name="_Toc15481"/>
      <w:bookmarkStart w:id="274" w:name="_Toc15592"/>
      <w:bookmarkStart w:id="275" w:name="_Toc19168"/>
      <w:bookmarkStart w:id="276" w:name="_Toc29645"/>
      <w:r>
        <w:rPr>
          <w:rFonts w:hint="eastAsia" w:ascii="黑体" w:hAnsi="黑体" w:eastAsia="黑体" w:cs="黑体"/>
          <w:b w:val="0"/>
          <w:bCs w:val="0"/>
          <w:color w:val="auto"/>
          <w:lang w:val="en-US" w:eastAsia="zh-CN"/>
        </w:rPr>
        <w:t>二、</w:t>
      </w:r>
      <w:r>
        <w:rPr>
          <w:rFonts w:hint="default" w:ascii="黑体" w:hAnsi="黑体" w:eastAsia="黑体" w:cs="黑体"/>
          <w:b w:val="0"/>
          <w:bCs w:val="0"/>
          <w:color w:val="auto"/>
          <w:lang w:val="en-US" w:eastAsia="zh-CN"/>
        </w:rPr>
        <w:t>绿色低碳发展机遇</w:t>
      </w:r>
      <w:bookmarkEnd w:id="267"/>
      <w:bookmarkEnd w:id="268"/>
      <w:bookmarkEnd w:id="269"/>
      <w:bookmarkEnd w:id="270"/>
      <w:bookmarkEnd w:id="271"/>
      <w:bookmarkEnd w:id="272"/>
      <w:bookmarkEnd w:id="273"/>
      <w:bookmarkEnd w:id="274"/>
      <w:bookmarkEnd w:id="275"/>
      <w:bookmarkEnd w:id="276"/>
    </w:p>
    <w:p>
      <w:pPr>
        <w:pStyle w:val="27"/>
        <w:rPr>
          <w:rFonts w:hint="eastAsia"/>
          <w:lang w:val="en-US" w:eastAsia="zh-CN"/>
        </w:rPr>
      </w:pPr>
      <w:r>
        <w:rPr>
          <w:rFonts w:hint="eastAsia"/>
          <w:lang w:val="en-US" w:eastAsia="zh-CN"/>
        </w:rPr>
        <w:t>我国经济正处于由高速增长转向高质量发展的关键阶段。习近平总书记强调，要坚持不懈推动绿色低碳发展，建立健全绿色低碳循环发展经济体系，促进经济社会发展全面绿色转型。韶关市作为北部生态发展区，统筹把握“碳达峰·碳中和”机遇、加快推进经济社会发展绿色转型意义重大。当前，韶关经济社会发展仍处在爬坡过坎阶段，面临着通过限制和淘汰资源型产业及革新生产技术实现经济体制深化改革的艰巨任务。我们要站在实现高质量发展的角度，大力推进产业结构、能源结构、运输结构等方面优化调整，推动产业向园区集中集聚集约发展，不断提升产业创新力和区域竞争力，努力在高水平生态保护中实现高质量发展。</w:t>
      </w:r>
    </w:p>
    <w:p>
      <w:pPr>
        <w:pStyle w:val="5"/>
        <w:widowControl w:val="0"/>
        <w:wordWrap/>
        <w:adjustRightInd w:val="0"/>
        <w:snapToGrid w:val="0"/>
        <w:spacing w:before="0" w:after="0" w:line="560" w:lineRule="exact"/>
        <w:ind w:firstLine="640" w:firstLineChars="200"/>
        <w:textAlignment w:val="auto"/>
        <w:rPr>
          <w:rFonts w:hint="default" w:ascii="黑体" w:hAnsi="黑体" w:eastAsia="黑体" w:cs="黑体"/>
          <w:b w:val="0"/>
          <w:bCs w:val="0"/>
          <w:color w:val="auto"/>
          <w:lang w:val="en-US" w:eastAsia="zh-CN"/>
        </w:rPr>
      </w:pPr>
      <w:bookmarkStart w:id="277" w:name="_Toc27350"/>
      <w:bookmarkStart w:id="278" w:name="_Toc11531"/>
      <w:bookmarkStart w:id="279" w:name="_Toc25696"/>
      <w:bookmarkStart w:id="280" w:name="_Toc18449"/>
      <w:bookmarkStart w:id="281" w:name="_Toc24414"/>
      <w:bookmarkStart w:id="282" w:name="_Toc31194"/>
      <w:bookmarkStart w:id="283" w:name="_Toc19872"/>
      <w:bookmarkStart w:id="284" w:name="_Toc6120"/>
      <w:bookmarkStart w:id="285" w:name="_Toc32377"/>
      <w:bookmarkStart w:id="286" w:name="_Toc24360"/>
      <w:r>
        <w:rPr>
          <w:rFonts w:hint="eastAsia" w:ascii="黑体" w:hAnsi="黑体" w:eastAsia="黑体" w:cs="黑体"/>
          <w:b w:val="0"/>
          <w:bCs w:val="0"/>
          <w:color w:val="auto"/>
          <w:lang w:val="en-US" w:eastAsia="zh-CN"/>
        </w:rPr>
        <w:t>三、</w:t>
      </w:r>
      <w:r>
        <w:rPr>
          <w:rFonts w:hint="default" w:ascii="黑体" w:hAnsi="黑体" w:eastAsia="黑体" w:cs="黑体"/>
          <w:b w:val="0"/>
          <w:bCs w:val="0"/>
          <w:color w:val="auto"/>
          <w:lang w:val="en-US" w:eastAsia="zh-CN"/>
        </w:rPr>
        <w:t>体制深化改革机遇</w:t>
      </w:r>
      <w:bookmarkEnd w:id="277"/>
      <w:bookmarkEnd w:id="278"/>
      <w:bookmarkEnd w:id="279"/>
      <w:bookmarkEnd w:id="280"/>
      <w:bookmarkEnd w:id="281"/>
      <w:bookmarkEnd w:id="282"/>
      <w:bookmarkEnd w:id="283"/>
      <w:bookmarkEnd w:id="284"/>
      <w:bookmarkEnd w:id="285"/>
      <w:bookmarkEnd w:id="286"/>
    </w:p>
    <w:p>
      <w:pPr>
        <w:pStyle w:val="27"/>
        <w:rPr>
          <w:rFonts w:hint="eastAsia"/>
          <w:lang w:val="en-US" w:eastAsia="zh-CN"/>
        </w:rPr>
      </w:pPr>
      <w:r>
        <w:rPr>
          <w:rFonts w:hint="eastAsia"/>
          <w:lang w:val="en-US" w:eastAsia="zh-CN"/>
        </w:rPr>
        <w:t>党的十八大以来，生态文明体制不断改革，自然资源资产产权制度、河（湖、林）长制、排污许可制度、国家公园制度、生态保护红线制度等改革举措全面实施，生态文明制度体系“四梁八柱”基本形成。韶关要以更高的站位、更扎实的举措、更有效的方法持续深化生态文明体制改革，完善生态文明统筹协调机制，持续健全生态环境法律法规，全面建立资源高效利用制度、实行最严格的生态环境保护制度，构建源头严防、过程严管、后果严惩的生态文明制度体系。</w:t>
      </w:r>
    </w:p>
    <w:p>
      <w:pPr>
        <w:pStyle w:val="5"/>
        <w:widowControl w:val="0"/>
        <w:wordWrap/>
        <w:adjustRightInd w:val="0"/>
        <w:snapToGrid w:val="0"/>
        <w:spacing w:before="0" w:after="0" w:line="560" w:lineRule="exact"/>
        <w:ind w:firstLine="640" w:firstLineChars="200"/>
        <w:textAlignment w:val="auto"/>
        <w:rPr>
          <w:rFonts w:hint="default" w:ascii="黑体" w:hAnsi="黑体" w:eastAsia="黑体" w:cs="黑体"/>
          <w:b w:val="0"/>
          <w:bCs w:val="0"/>
          <w:color w:val="auto"/>
          <w:lang w:val="en-US" w:eastAsia="zh-CN"/>
        </w:rPr>
      </w:pPr>
      <w:bookmarkStart w:id="287" w:name="_Toc20670"/>
      <w:bookmarkStart w:id="288" w:name="_Toc14084"/>
      <w:bookmarkStart w:id="289" w:name="_Toc4696"/>
      <w:bookmarkStart w:id="290" w:name="_Toc18636"/>
      <w:bookmarkStart w:id="291" w:name="_Toc13564"/>
      <w:bookmarkStart w:id="292" w:name="_Toc10051"/>
      <w:bookmarkStart w:id="293" w:name="_Toc11862"/>
      <w:bookmarkStart w:id="294" w:name="_Toc21517"/>
      <w:bookmarkStart w:id="295" w:name="_Toc12273"/>
      <w:bookmarkStart w:id="296" w:name="_Toc1211"/>
      <w:r>
        <w:rPr>
          <w:rFonts w:hint="eastAsia" w:ascii="黑体" w:hAnsi="黑体" w:eastAsia="黑体" w:cs="黑体"/>
          <w:b w:val="0"/>
          <w:bCs w:val="0"/>
          <w:color w:val="auto"/>
          <w:lang w:val="en-US" w:eastAsia="zh-CN"/>
        </w:rPr>
        <w:t>四、</w:t>
      </w:r>
      <w:r>
        <w:rPr>
          <w:rFonts w:hint="default" w:ascii="黑体" w:hAnsi="黑体" w:eastAsia="黑体" w:cs="黑体"/>
          <w:b w:val="0"/>
          <w:bCs w:val="0"/>
          <w:color w:val="auto"/>
          <w:lang w:val="en-US" w:eastAsia="zh-CN"/>
        </w:rPr>
        <w:t>美丽韶关建设机遇</w:t>
      </w:r>
      <w:bookmarkEnd w:id="287"/>
      <w:bookmarkEnd w:id="288"/>
      <w:bookmarkEnd w:id="289"/>
      <w:bookmarkEnd w:id="290"/>
      <w:bookmarkEnd w:id="291"/>
      <w:bookmarkEnd w:id="292"/>
      <w:bookmarkEnd w:id="293"/>
      <w:bookmarkEnd w:id="294"/>
      <w:bookmarkEnd w:id="295"/>
      <w:bookmarkEnd w:id="296"/>
    </w:p>
    <w:p>
      <w:pPr>
        <w:pStyle w:val="27"/>
        <w:rPr>
          <w:rFonts w:hint="eastAsia"/>
          <w:lang w:val="en-US" w:eastAsia="zh-CN"/>
        </w:rPr>
      </w:pPr>
      <w:r>
        <w:rPr>
          <w:rFonts w:hint="eastAsia"/>
          <w:lang w:val="en-US" w:eastAsia="zh-CN"/>
        </w:rPr>
        <w:t>韶关市深入贯彻习近平生态文明思想，蓝天保卫战、碧水攻坚战和净土防御战取得阶段性成效，生态环境质量改善取得重大突破。然而，对标美丽韶关建设目标，韶关市生态环境质量全面改善的基础还不牢固，环境治理能力有待提升。韶关要按照防治结合、标本兼治、综合施策原则，坚决落实精准治污、科学治污、依法治污。坚持方向不变、力度不减，巩固污染防治攻坚战成果，强化多污染物的系统控制和区域协同治理。着力构建现代环境治理体系，全面提升环境治理能力，扎实开展生态保护和修复。推动生态环境质量持续改善，打好生态文明建设持久战，共建天蓝、水清、土净、地绿的美丽韶关。</w:t>
      </w:r>
    </w:p>
    <w:p>
      <w:pPr>
        <w:pStyle w:val="5"/>
        <w:widowControl w:val="0"/>
        <w:wordWrap/>
        <w:adjustRightInd w:val="0"/>
        <w:snapToGrid w:val="0"/>
        <w:spacing w:before="0" w:after="0" w:line="560" w:lineRule="exact"/>
        <w:ind w:firstLine="640" w:firstLineChars="200"/>
        <w:textAlignment w:val="auto"/>
        <w:rPr>
          <w:rFonts w:hint="default" w:ascii="黑体" w:hAnsi="黑体" w:eastAsia="黑体" w:cs="黑体"/>
          <w:b w:val="0"/>
          <w:bCs w:val="0"/>
          <w:color w:val="auto"/>
          <w:lang w:val="en-US" w:eastAsia="zh-CN"/>
        </w:rPr>
      </w:pPr>
      <w:bookmarkStart w:id="297" w:name="_Toc23847"/>
      <w:bookmarkStart w:id="298" w:name="_Toc29858"/>
      <w:bookmarkStart w:id="299" w:name="_Toc31583"/>
      <w:bookmarkStart w:id="300" w:name="_Toc18556"/>
      <w:bookmarkStart w:id="301" w:name="_Toc17815"/>
      <w:bookmarkStart w:id="302" w:name="_Toc12924"/>
      <w:bookmarkStart w:id="303" w:name="_Toc24481"/>
      <w:bookmarkStart w:id="304" w:name="_Toc31760"/>
      <w:bookmarkStart w:id="305" w:name="_Toc26491"/>
      <w:bookmarkStart w:id="306" w:name="_Toc20882"/>
      <w:r>
        <w:rPr>
          <w:rFonts w:hint="eastAsia" w:ascii="黑体" w:hAnsi="黑体" w:eastAsia="黑体" w:cs="黑体"/>
          <w:b w:val="0"/>
          <w:bCs w:val="0"/>
          <w:color w:val="auto"/>
          <w:lang w:val="en-US" w:eastAsia="zh-CN"/>
        </w:rPr>
        <w:t>五、环保科技应用机遇</w:t>
      </w:r>
      <w:bookmarkEnd w:id="297"/>
      <w:bookmarkEnd w:id="298"/>
      <w:bookmarkEnd w:id="299"/>
      <w:bookmarkEnd w:id="300"/>
      <w:bookmarkEnd w:id="301"/>
      <w:bookmarkEnd w:id="302"/>
      <w:bookmarkEnd w:id="303"/>
      <w:bookmarkEnd w:id="304"/>
      <w:bookmarkEnd w:id="305"/>
      <w:bookmarkEnd w:id="306"/>
    </w:p>
    <w:p>
      <w:pPr>
        <w:pStyle w:val="27"/>
        <w:rPr>
          <w:rFonts w:hint="default"/>
        </w:rPr>
      </w:pPr>
      <w:r>
        <w:rPr>
          <w:rFonts w:hint="default"/>
        </w:rPr>
        <w:t>新一轮科技革命酝酿突破，为生态环境治理释放红利。以人工智能为代表的第四次工业革命正在加速形成，5G、人工智能、物联网、大数据、区块链等信息技术深度发展，将推动生产生活方式发生前所未有的变革，成为带动新兴产业发展壮大、推动传统产业转型升级、实现可持续发展的重要驱动力，为生态环境治理带来积极效应，同时也为生态环境保护提供革命性的技术支撑</w:t>
      </w:r>
      <w:r>
        <w:rPr>
          <w:rFonts w:hint="eastAsia"/>
          <w:lang w:eastAsia="zh-CN"/>
        </w:rPr>
        <w:t>，加快实现</w:t>
      </w:r>
      <w:r>
        <w:rPr>
          <w:rFonts w:hint="eastAsia"/>
          <w:sz w:val="32"/>
          <w:szCs w:val="32"/>
        </w:rPr>
        <w:t>生态环境治理体系和治理能力现代化</w:t>
      </w:r>
      <w:r>
        <w:rPr>
          <w:rFonts w:hint="default"/>
        </w:rPr>
        <w:t>。</w:t>
      </w:r>
    </w:p>
    <w:p>
      <w:pPr>
        <w:widowControl w:val="0"/>
        <w:wordWrap/>
        <w:adjustRightInd w:val="0"/>
        <w:snapToGrid w:val="0"/>
        <w:spacing w:line="560" w:lineRule="exact"/>
        <w:ind w:firstLine="640" w:firstLineChars="200"/>
        <w:rPr>
          <w:rFonts w:hint="default" w:ascii="Times New Roman" w:hAnsi="Times New Roman" w:eastAsia="仿宋_GB2312" w:cs="Times New Roman"/>
          <w:color w:val="auto"/>
          <w:sz w:val="32"/>
          <w:szCs w:val="32"/>
        </w:rPr>
      </w:pPr>
    </w:p>
    <w:p>
      <w:pPr>
        <w:pStyle w:val="3"/>
        <w:widowControl/>
        <w:spacing w:beforeLines="50" w:afterLines="50" w:line="240" w:lineRule="auto"/>
        <w:jc w:val="center"/>
        <w:rPr>
          <w:rFonts w:hint="default" w:ascii="Times New Roman" w:hAnsi="Times New Roman" w:cs="Times New Roman"/>
          <w:b/>
          <w:bCs w:val="0"/>
          <w:color w:val="auto"/>
          <w:sz w:val="36"/>
          <w:szCs w:val="36"/>
        </w:rPr>
        <w:sectPr>
          <w:pgSz w:w="11906" w:h="16838"/>
          <w:pgMar w:top="1644" w:right="1701" w:bottom="1985" w:left="1701" w:header="851" w:footer="1077" w:gutter="0"/>
          <w:pgNumType w:fmt="numberInDash"/>
          <w:cols w:space="720" w:num="1"/>
          <w:docGrid w:type="lines" w:linePitch="312" w:charSpace="0"/>
        </w:sectPr>
      </w:pPr>
      <w:bookmarkStart w:id="307" w:name="_Toc9045"/>
      <w:bookmarkStart w:id="308" w:name="_Toc30613"/>
      <w:bookmarkStart w:id="309" w:name="_Toc57663200"/>
      <w:bookmarkStart w:id="310" w:name="_Toc16006"/>
      <w:bookmarkStart w:id="311" w:name="_Toc25011"/>
      <w:bookmarkStart w:id="312" w:name="_Toc1186"/>
      <w:bookmarkStart w:id="313" w:name="_Toc22887"/>
      <w:bookmarkStart w:id="314" w:name="_Toc61001220"/>
      <w:bookmarkStart w:id="315" w:name="_Toc14785"/>
      <w:bookmarkStart w:id="316" w:name="_Toc31924"/>
      <w:bookmarkStart w:id="317" w:name="_Toc7026"/>
      <w:bookmarkStart w:id="318" w:name="_Toc30714"/>
      <w:bookmarkStart w:id="319" w:name="_Toc29204"/>
      <w:bookmarkStart w:id="320" w:name="_Toc30850"/>
    </w:p>
    <w:p>
      <w:pPr>
        <w:pStyle w:val="3"/>
        <w:widowControl w:val="0"/>
        <w:wordWrap/>
        <w:spacing w:line="560" w:lineRule="exact"/>
        <w:textAlignment w:val="auto"/>
        <w:rPr>
          <w:rFonts w:hint="eastAsia" w:ascii="方正小标宋简体" w:hAnsi="方正小标宋简体" w:eastAsia="方正小标宋简体" w:cs="方正小标宋简体"/>
          <w:sz w:val="36"/>
          <w:szCs w:val="44"/>
        </w:rPr>
      </w:pPr>
      <w:bookmarkStart w:id="321" w:name="_Toc1914"/>
      <w:bookmarkStart w:id="322" w:name="_Toc14058"/>
      <w:bookmarkStart w:id="323" w:name="_Toc31097"/>
      <w:bookmarkStart w:id="324" w:name="_Toc7584"/>
      <w:bookmarkStart w:id="325" w:name="_Toc29613"/>
      <w:bookmarkStart w:id="326" w:name="_Toc2798"/>
      <w:bookmarkStart w:id="327" w:name="_Toc27294"/>
      <w:bookmarkStart w:id="328" w:name="_Toc23656"/>
      <w:bookmarkStart w:id="329" w:name="_Toc22812"/>
      <w:bookmarkStart w:id="330" w:name="_Toc201"/>
      <w:bookmarkStart w:id="331" w:name="_Toc7061"/>
      <w:bookmarkStart w:id="332" w:name="_Toc1232"/>
      <w:bookmarkStart w:id="333" w:name="_Toc24838"/>
      <w:bookmarkStart w:id="334" w:name="_Toc4128"/>
      <w:bookmarkStart w:id="335" w:name="_Toc8305"/>
      <w:bookmarkStart w:id="336" w:name="_Toc10518"/>
      <w:bookmarkStart w:id="337" w:name="_Toc6226"/>
      <w:bookmarkStart w:id="338" w:name="_Toc22245"/>
      <w:r>
        <w:rPr>
          <w:rFonts w:hint="eastAsia" w:ascii="方正小标宋简体" w:hAnsi="方正小标宋简体" w:eastAsia="方正小标宋简体" w:cs="方正小标宋简体"/>
          <w:sz w:val="36"/>
          <w:szCs w:val="44"/>
        </w:rPr>
        <w:t>第二章</w:t>
      </w:r>
      <w:bookmarkEnd w:id="307"/>
      <w:bookmarkEnd w:id="308"/>
      <w:bookmarkEnd w:id="309"/>
      <w:bookmarkEnd w:id="310"/>
      <w:bookmarkEnd w:id="311"/>
      <w:bookmarkEnd w:id="312"/>
      <w:bookmarkEnd w:id="313"/>
      <w:r>
        <w:rPr>
          <w:rFonts w:hint="eastAsia" w:ascii="方正小标宋简体" w:hAnsi="方正小标宋简体" w:eastAsia="方正小标宋简体" w:cs="方正小标宋简体"/>
          <w:sz w:val="36"/>
          <w:szCs w:val="44"/>
          <w:lang w:eastAsia="zh-CN"/>
        </w:rPr>
        <w:t>　</w:t>
      </w:r>
      <w:r>
        <w:rPr>
          <w:rFonts w:hint="eastAsia" w:ascii="方正小标宋简体" w:hAnsi="方正小标宋简体" w:eastAsia="方正小标宋简体" w:cs="方正小标宋简体"/>
          <w:sz w:val="36"/>
          <w:szCs w:val="44"/>
        </w:rPr>
        <w:t>总体要</w:t>
      </w:r>
      <w:bookmarkEnd w:id="321"/>
      <w:r>
        <w:rPr>
          <w:rFonts w:hint="eastAsia" w:ascii="方正小标宋简体" w:hAnsi="方正小标宋简体" w:eastAsia="方正小标宋简体" w:cs="方正小标宋简体"/>
          <w:sz w:val="36"/>
          <w:szCs w:val="44"/>
        </w:rPr>
        <w:t>求</w:t>
      </w:r>
      <w:bookmarkEnd w:id="314"/>
      <w:bookmarkEnd w:id="315"/>
      <w:bookmarkEnd w:id="316"/>
      <w:bookmarkEnd w:id="317"/>
      <w:bookmarkEnd w:id="318"/>
      <w:bookmarkEnd w:id="319"/>
      <w:bookmarkEnd w:id="320"/>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27"/>
        <w:widowControl w:val="0"/>
        <w:wordWrap/>
        <w:spacing w:line="560" w:lineRule="exact"/>
        <w:textAlignment w:val="auto"/>
        <w:rPr>
          <w:rFonts w:hint="default" w:ascii="Times New Roman" w:hAnsi="Times New Roman" w:cs="Times New Roman"/>
          <w:color w:val="auto"/>
        </w:rPr>
      </w:pPr>
    </w:p>
    <w:p>
      <w:pPr>
        <w:pStyle w:val="27"/>
        <w:widowControl w:val="0"/>
        <w:wordWrap/>
        <w:adjustRightInd/>
        <w:snapToGrid/>
        <w:spacing w:line="560" w:lineRule="exact"/>
        <w:textAlignment w:val="auto"/>
        <w:outlineLvl w:val="9"/>
        <w:rPr>
          <w:rFonts w:hint="default"/>
        </w:rPr>
      </w:pPr>
      <w:r>
        <w:rPr>
          <w:rFonts w:hint="default"/>
        </w:rPr>
        <w:t>按照到2035年美丽韶关目标基本实现的总</w:t>
      </w:r>
      <w:r>
        <w:rPr>
          <w:rFonts w:hint="eastAsia"/>
          <w:lang w:eastAsia="zh-CN"/>
        </w:rPr>
        <w:t>体</w:t>
      </w:r>
      <w:r>
        <w:rPr>
          <w:rFonts w:hint="default"/>
        </w:rPr>
        <w:t>要求，巩固污染防治攻坚战成果，打好生态文明建设持久战，创建广东省碳中和试点示范市，推动生态环境保护向更高水平迈进，实现人与自然和谐共生，以新担当新作为奋力争当北部生态发展区高质量发展排头兵。</w:t>
      </w:r>
    </w:p>
    <w:p>
      <w:pPr>
        <w:pStyle w:val="4"/>
        <w:keepNext/>
        <w:keepLines/>
        <w:widowControl w:val="0"/>
        <w:numPr>
          <w:ilvl w:val="0"/>
          <w:numId w:val="3"/>
        </w:numPr>
        <w:wordWrap/>
        <w:adjustRightInd w:val="0"/>
        <w:snapToGrid w:val="0"/>
        <w:spacing w:beforeLines="50" w:afterLines="50" w:line="560" w:lineRule="exact"/>
        <w:textAlignment w:val="auto"/>
        <w:outlineLvl w:val="1"/>
        <w:rPr>
          <w:rFonts w:hint="eastAsia" w:ascii="黑体" w:hAnsi="黑体" w:eastAsia="黑体" w:cs="黑体"/>
          <w:b w:val="0"/>
          <w:bCs w:val="0"/>
        </w:rPr>
      </w:pPr>
      <w:bookmarkStart w:id="339" w:name="_Toc21877"/>
      <w:bookmarkStart w:id="340" w:name="_Toc61001221"/>
      <w:bookmarkStart w:id="341" w:name="_Toc23035"/>
      <w:bookmarkStart w:id="342" w:name="_Toc20294"/>
      <w:bookmarkStart w:id="343" w:name="_Toc10068"/>
      <w:bookmarkStart w:id="344" w:name="_Toc6041"/>
      <w:bookmarkStart w:id="345" w:name="_Toc13067"/>
      <w:bookmarkStart w:id="346" w:name="_Toc7799"/>
      <w:bookmarkStart w:id="347" w:name="_Toc16163"/>
      <w:bookmarkStart w:id="348" w:name="_Toc26193"/>
      <w:bookmarkStart w:id="349" w:name="_Toc20286"/>
      <w:bookmarkStart w:id="350" w:name="_Toc16089"/>
      <w:bookmarkStart w:id="351" w:name="_Toc15580"/>
      <w:bookmarkStart w:id="352" w:name="_Toc10102"/>
      <w:bookmarkStart w:id="353" w:name="_Toc31316"/>
      <w:bookmarkStart w:id="354" w:name="_Toc23173"/>
      <w:bookmarkStart w:id="355" w:name="_Toc16140"/>
      <w:bookmarkStart w:id="356" w:name="_Toc16481"/>
      <w:bookmarkStart w:id="357" w:name="_Toc31376"/>
      <w:bookmarkStart w:id="358" w:name="_Toc20474"/>
      <w:bookmarkStart w:id="359" w:name="_Toc16238"/>
      <w:bookmarkStart w:id="360" w:name="_Toc31467"/>
      <w:bookmarkStart w:id="361" w:name="_Toc23708"/>
      <w:bookmarkStart w:id="362" w:name="_Toc5949"/>
      <w:bookmarkStart w:id="363" w:name="_Toc57663201"/>
      <w:bookmarkStart w:id="364" w:name="_Toc7520"/>
      <w:bookmarkStart w:id="365" w:name="_Toc9427"/>
      <w:bookmarkStart w:id="366" w:name="_Toc17164"/>
      <w:bookmarkStart w:id="367" w:name="_Toc32288"/>
      <w:bookmarkStart w:id="368" w:name="_Toc1369"/>
      <w:bookmarkStart w:id="369" w:name="_Toc22120"/>
      <w:bookmarkStart w:id="370" w:name="_Toc15485"/>
      <w:r>
        <w:rPr>
          <w:rFonts w:hint="eastAsia" w:ascii="黑体" w:hAnsi="黑体" w:eastAsia="黑体" w:cs="黑体"/>
          <w:b w:val="0"/>
          <w:bCs w:val="0"/>
          <w:color w:val="auto"/>
          <w:sz w:val="32"/>
          <w:szCs w:val="32"/>
        </w:rPr>
        <w:t>指导思</w:t>
      </w:r>
      <w:bookmarkEnd w:id="339"/>
      <w:r>
        <w:rPr>
          <w:rFonts w:hint="eastAsia" w:ascii="黑体" w:hAnsi="黑体" w:eastAsia="黑体" w:cs="黑体"/>
          <w:b w:val="0"/>
          <w:bCs w:val="0"/>
          <w:color w:val="auto"/>
          <w:sz w:val="32"/>
          <w:szCs w:val="32"/>
        </w:rPr>
        <w:t>想</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pStyle w:val="27"/>
        <w:widowControl w:val="0"/>
        <w:wordWrap/>
        <w:adjustRightInd/>
        <w:snapToGrid/>
        <w:spacing w:line="560" w:lineRule="exact"/>
        <w:textAlignment w:val="auto"/>
        <w:outlineLvl w:val="9"/>
        <w:rPr>
          <w:rFonts w:hint="default"/>
        </w:rPr>
      </w:pPr>
      <w:bookmarkStart w:id="371" w:name="_Hlk39843022"/>
      <w:r>
        <w:rPr>
          <w:rFonts w:hint="default"/>
        </w:rPr>
        <w:t>以习近平新时代中国特色社会主义思想为指导，深入贯彻党的十九大和十九届历次全会精神，</w:t>
      </w:r>
      <w:r>
        <w:rPr>
          <w:rFonts w:hint="eastAsia"/>
        </w:rPr>
        <w:t>深入贯彻</w:t>
      </w:r>
      <w:r>
        <w:rPr>
          <w:rFonts w:hint="default"/>
        </w:rPr>
        <w:t>习近平总书记对广东重要讲话</w:t>
      </w:r>
      <w:r>
        <w:rPr>
          <w:rFonts w:hint="eastAsia"/>
          <w:lang w:eastAsia="zh-CN"/>
        </w:rPr>
        <w:t>、</w:t>
      </w:r>
      <w:r>
        <w:rPr>
          <w:rFonts w:hint="default"/>
        </w:rPr>
        <w:t>重要指示批示精神</w:t>
      </w:r>
      <w:r>
        <w:rPr>
          <w:rFonts w:hint="eastAsia"/>
          <w:lang w:eastAsia="zh-CN"/>
        </w:rPr>
        <w:t>，</w:t>
      </w:r>
      <w:r>
        <w:rPr>
          <w:rFonts w:hint="default"/>
        </w:rPr>
        <w:t>贯彻落实习近平生态文明思想，牢固树立绿水青山就是金山银山理念，</w:t>
      </w:r>
      <w:r>
        <w:rPr>
          <w:rFonts w:hint="eastAsia"/>
        </w:rPr>
        <w:t>深入实施可持续发展战略，围绕美丽</w:t>
      </w:r>
      <w:r>
        <w:rPr>
          <w:rFonts w:hint="eastAsia"/>
          <w:lang w:val="en-US" w:eastAsia="zh-CN"/>
        </w:rPr>
        <w:t>韶关</w:t>
      </w:r>
      <w:r>
        <w:rPr>
          <w:rFonts w:hint="eastAsia"/>
        </w:rPr>
        <w:t>建设的总要求，</w:t>
      </w:r>
      <w:r>
        <w:rPr>
          <w:rFonts w:hint="default"/>
        </w:rPr>
        <w:t>突出生态优先、绿色发展，加快实现资源资产价值化，</w:t>
      </w:r>
      <w:r>
        <w:rPr>
          <w:rFonts w:hint="eastAsia"/>
        </w:rPr>
        <w:t>深入打好污染防治攻坚战，协同推进减污降碳，统筹山水林田湖草沙系统治理</w:t>
      </w:r>
      <w:r>
        <w:rPr>
          <w:rFonts w:hint="eastAsia"/>
          <w:lang w:eastAsia="zh-CN"/>
        </w:rPr>
        <w:t>，</w:t>
      </w:r>
      <w:r>
        <w:rPr>
          <w:rFonts w:hint="eastAsia"/>
        </w:rPr>
        <w:t>加快推进生态环境治理体系和治理能力现代化，</w:t>
      </w:r>
      <w:r>
        <w:rPr>
          <w:rFonts w:hint="default"/>
        </w:rPr>
        <w:t>全力筑牢粤北生态屏障、打造绿色发展韶关样板、奋力争当北部生态发展区高质量发展排头兵</w:t>
      </w:r>
      <w:r>
        <w:rPr>
          <w:rFonts w:hint="eastAsia"/>
        </w:rPr>
        <w:t>。</w:t>
      </w:r>
    </w:p>
    <w:bookmarkEnd w:id="371"/>
    <w:p>
      <w:pPr>
        <w:pStyle w:val="4"/>
        <w:keepNext/>
        <w:keepLines/>
        <w:widowControl w:val="0"/>
        <w:numPr>
          <w:ilvl w:val="0"/>
          <w:numId w:val="3"/>
        </w:numPr>
        <w:wordWrap/>
        <w:adjustRightInd w:val="0"/>
        <w:snapToGrid w:val="0"/>
        <w:spacing w:beforeLines="50" w:afterLines="50" w:line="560" w:lineRule="exact"/>
        <w:ind w:left="0" w:leftChars="0" w:firstLine="0" w:firstLineChars="0"/>
        <w:textAlignment w:val="auto"/>
        <w:outlineLvl w:val="1"/>
        <w:rPr>
          <w:rFonts w:hint="eastAsia" w:ascii="黑体" w:hAnsi="黑体" w:eastAsia="黑体" w:cs="黑体"/>
          <w:b w:val="0"/>
          <w:bCs w:val="0"/>
        </w:rPr>
      </w:pPr>
      <w:bookmarkStart w:id="372" w:name="_Toc7874"/>
      <w:bookmarkStart w:id="373" w:name="_Toc2429"/>
      <w:bookmarkStart w:id="374" w:name="_Toc31046"/>
      <w:bookmarkStart w:id="375" w:name="_Toc28051"/>
      <w:bookmarkStart w:id="376" w:name="_Toc26516"/>
      <w:bookmarkStart w:id="377" w:name="_Toc13725"/>
      <w:bookmarkStart w:id="378" w:name="_Toc20090"/>
      <w:bookmarkStart w:id="379" w:name="_Toc30953"/>
      <w:bookmarkStart w:id="380" w:name="_Toc32520"/>
      <w:bookmarkStart w:id="381" w:name="_Toc23263"/>
      <w:bookmarkStart w:id="382" w:name="_Toc21669"/>
      <w:bookmarkStart w:id="383" w:name="_Toc17027"/>
      <w:bookmarkStart w:id="384" w:name="_Toc12029"/>
      <w:bookmarkStart w:id="385" w:name="_Toc9613"/>
      <w:bookmarkStart w:id="386" w:name="_Toc1190"/>
      <w:bookmarkStart w:id="387" w:name="_Toc3644"/>
      <w:bookmarkStart w:id="388" w:name="_Toc57663202"/>
      <w:bookmarkStart w:id="389" w:name="_Toc4633"/>
      <w:bookmarkStart w:id="390" w:name="_Toc61001222"/>
      <w:bookmarkStart w:id="391" w:name="_Toc23466"/>
      <w:bookmarkStart w:id="392" w:name="_Toc27040"/>
      <w:bookmarkStart w:id="393" w:name="_Toc3358"/>
      <w:bookmarkStart w:id="394" w:name="_Toc22399"/>
      <w:bookmarkStart w:id="395" w:name="_Toc20021"/>
      <w:bookmarkStart w:id="396" w:name="_Toc16445"/>
      <w:bookmarkStart w:id="397" w:name="_Toc25126"/>
      <w:bookmarkStart w:id="398" w:name="_Toc21918"/>
      <w:bookmarkStart w:id="399" w:name="_Toc8482"/>
      <w:bookmarkStart w:id="400" w:name="_Toc27160"/>
      <w:bookmarkStart w:id="401" w:name="_Toc23229"/>
      <w:bookmarkStart w:id="402" w:name="_Toc32195"/>
      <w:bookmarkStart w:id="403" w:name="_Toc3908"/>
      <w:r>
        <w:rPr>
          <w:rFonts w:hint="eastAsia" w:ascii="黑体" w:hAnsi="黑体" w:eastAsia="黑体" w:cs="黑体"/>
          <w:b w:val="0"/>
          <w:bCs w:val="0"/>
          <w:color w:val="auto"/>
        </w:rPr>
        <w:t>基本原</w:t>
      </w:r>
      <w:bookmarkEnd w:id="372"/>
      <w:r>
        <w:rPr>
          <w:rFonts w:hint="eastAsia" w:ascii="黑体" w:hAnsi="黑体" w:eastAsia="黑体" w:cs="黑体"/>
          <w:b w:val="0"/>
          <w:bCs w:val="0"/>
          <w:color w:val="auto"/>
        </w:rPr>
        <w:t>则</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pStyle w:val="27"/>
        <w:widowControl w:val="0"/>
        <w:wordWrap/>
        <w:adjustRightInd/>
        <w:snapToGrid/>
        <w:spacing w:line="560" w:lineRule="exact"/>
        <w:textAlignment w:val="auto"/>
        <w:outlineLvl w:val="9"/>
        <w:rPr>
          <w:rFonts w:hint="eastAsia" w:ascii="仿宋_GB2312" w:hAnsi="仿宋_GB2312" w:eastAsia="仿宋_GB2312" w:cs="仿宋_GB2312"/>
          <w:b w:val="0"/>
          <w:bCs w:val="0"/>
        </w:rPr>
      </w:pPr>
      <w:r>
        <w:rPr>
          <w:rFonts w:hint="eastAsia" w:ascii="仿宋_GB2312" w:hAnsi="仿宋_GB2312" w:eastAsia="仿宋_GB2312" w:cs="仿宋_GB2312"/>
          <w:lang w:eastAsia="zh-CN"/>
        </w:rPr>
        <w:t>“</w:t>
      </w:r>
      <w:r>
        <w:rPr>
          <w:rFonts w:hint="eastAsia" w:ascii="仿宋_GB2312" w:hAnsi="仿宋_GB2312" w:eastAsia="仿宋_GB2312" w:cs="仿宋_GB2312"/>
        </w:rPr>
        <w:t>十四五</w:t>
      </w:r>
      <w:r>
        <w:rPr>
          <w:rFonts w:hint="eastAsia" w:ascii="仿宋_GB2312" w:hAnsi="仿宋_GB2312" w:eastAsia="仿宋_GB2312" w:cs="仿宋_GB2312"/>
          <w:lang w:eastAsia="zh-CN"/>
        </w:rPr>
        <w:t>”</w:t>
      </w:r>
      <w:r>
        <w:rPr>
          <w:rFonts w:hint="eastAsia" w:ascii="仿宋_GB2312" w:hAnsi="仿宋_GB2312" w:eastAsia="仿宋_GB2312" w:cs="仿宋_GB2312"/>
        </w:rPr>
        <w:t>时期，协同推进生态环境高水平保护和经济社会高</w:t>
      </w:r>
      <w:r>
        <w:rPr>
          <w:rFonts w:hint="eastAsia" w:ascii="仿宋_GB2312" w:hAnsi="仿宋_GB2312" w:eastAsia="仿宋_GB2312" w:cs="仿宋_GB2312"/>
          <w:b w:val="0"/>
          <w:bCs w:val="0"/>
        </w:rPr>
        <w:t>质量发展，必须遵循以下原则。</w:t>
      </w:r>
    </w:p>
    <w:p>
      <w:pPr>
        <w:pStyle w:val="27"/>
        <w:widowControl w:val="0"/>
        <w:wordWrap/>
        <w:adjustRightInd/>
        <w:snapToGrid/>
        <w:textAlignment w:val="auto"/>
        <w:outlineLvl w:val="9"/>
        <w:rPr>
          <w:rFonts w:hint="eastAsia" w:ascii="仿宋_GB2312" w:hAnsi="仿宋_GB2312" w:eastAsia="仿宋_GB2312" w:cs="仿宋_GB2312"/>
          <w:b w:val="0"/>
          <w:bCs w:val="0"/>
          <w:color w:val="auto"/>
        </w:rPr>
      </w:pPr>
      <w:r>
        <w:rPr>
          <w:rFonts w:hint="eastAsia" w:ascii="楷体_GB2312" w:hAnsi="楷体_GB2312" w:eastAsia="楷体_GB2312" w:cs="楷体_GB2312"/>
          <w:b w:val="0"/>
          <w:bCs w:val="0"/>
          <w:color w:val="auto"/>
        </w:rPr>
        <w:t>——坚持以人民为中心。</w:t>
      </w:r>
      <w:r>
        <w:rPr>
          <w:rFonts w:hint="eastAsia" w:ascii="仿宋_GB2312" w:hAnsi="仿宋_GB2312" w:eastAsia="仿宋_GB2312" w:cs="仿宋_GB2312"/>
          <w:b w:val="0"/>
          <w:bCs w:val="0"/>
          <w:color w:val="auto"/>
          <w:sz w:val="32"/>
          <w:szCs w:val="32"/>
        </w:rPr>
        <w:t>坚持良好生态环境是最普惠的民生福祉，着力解决人民群众身边的生态环境问题，激发群众参与生态环境保护的积极性、主动性、创造性，提供更多优质生态产品，不断增强人民群众的获得感、安全感和幸福感</w:t>
      </w:r>
      <w:r>
        <w:rPr>
          <w:rFonts w:hint="eastAsia" w:ascii="仿宋_GB2312" w:hAnsi="仿宋_GB2312" w:eastAsia="仿宋_GB2312" w:cs="仿宋_GB2312"/>
          <w:b w:val="0"/>
          <w:bCs w:val="0"/>
          <w:color w:val="auto"/>
        </w:rPr>
        <w:t>。</w:t>
      </w:r>
    </w:p>
    <w:p>
      <w:pPr>
        <w:pStyle w:val="27"/>
        <w:widowControl w:val="0"/>
        <w:wordWrap/>
        <w:adjustRightInd/>
        <w:snapToGrid/>
        <w:textAlignment w:val="auto"/>
        <w:outlineLvl w:val="9"/>
        <w:rPr>
          <w:rFonts w:hint="eastAsia" w:ascii="仿宋_GB2312" w:hAnsi="仿宋_GB2312" w:eastAsia="仿宋_GB2312" w:cs="仿宋_GB2312"/>
          <w:b w:val="0"/>
          <w:bCs w:val="0"/>
          <w:color w:val="auto"/>
        </w:rPr>
      </w:pPr>
      <w:r>
        <w:rPr>
          <w:rFonts w:hint="eastAsia" w:ascii="楷体_GB2312" w:hAnsi="楷体_GB2312" w:eastAsia="楷体_GB2312" w:cs="楷体_GB2312"/>
          <w:b w:val="0"/>
          <w:bCs w:val="0"/>
          <w:color w:val="auto"/>
        </w:rPr>
        <w:t>——坚持系统观念。</w:t>
      </w:r>
      <w:r>
        <w:rPr>
          <w:rFonts w:hint="eastAsia" w:ascii="仿宋_GB2312" w:hAnsi="仿宋_GB2312" w:eastAsia="仿宋_GB2312" w:cs="仿宋_GB2312"/>
          <w:b w:val="0"/>
          <w:bCs w:val="0"/>
          <w:color w:val="auto"/>
          <w:sz w:val="32"/>
          <w:szCs w:val="32"/>
        </w:rPr>
        <w:t>以改善生态环境质量为核心，统筹山水林田湖草沙系统治理，协同推进环境治理、生态</w:t>
      </w:r>
      <w:r>
        <w:rPr>
          <w:rFonts w:hint="eastAsia" w:ascii="仿宋_GB2312" w:hAnsi="仿宋_GB2312" w:eastAsia="仿宋_GB2312" w:cs="仿宋_GB2312"/>
          <w:b w:val="0"/>
          <w:bCs w:val="0"/>
          <w:color w:val="auto"/>
          <w:sz w:val="32"/>
          <w:szCs w:val="32"/>
          <w:lang w:eastAsia="zh-CN"/>
        </w:rPr>
        <w:t>保护</w:t>
      </w:r>
      <w:r>
        <w:rPr>
          <w:rFonts w:hint="eastAsia" w:ascii="仿宋_GB2312" w:hAnsi="仿宋_GB2312" w:eastAsia="仿宋_GB2312" w:cs="仿宋_GB2312"/>
          <w:b w:val="0"/>
          <w:bCs w:val="0"/>
          <w:color w:val="auto"/>
          <w:sz w:val="32"/>
          <w:szCs w:val="32"/>
        </w:rPr>
        <w:t>修复</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应对气候变化，强化城乡统筹、区域统筹，全领域、全地域、全方位加强生态环境保护。</w:t>
      </w:r>
      <w:r>
        <w:rPr>
          <w:rFonts w:hint="eastAsia" w:ascii="仿宋_GB2312" w:hAnsi="仿宋_GB2312" w:eastAsia="仿宋_GB2312" w:cs="仿宋_GB2312"/>
          <w:b w:val="0"/>
          <w:bCs w:val="0"/>
          <w:color w:val="auto"/>
        </w:rPr>
        <w:t>以精准治污、科学治污、依法治污为方针，</w:t>
      </w:r>
      <w:r>
        <w:rPr>
          <w:rFonts w:hint="eastAsia" w:ascii="仿宋_GB2312" w:hAnsi="仿宋_GB2312" w:eastAsia="仿宋_GB2312" w:cs="仿宋_GB2312"/>
          <w:b w:val="0"/>
          <w:bCs w:val="0"/>
          <w:color w:val="auto"/>
          <w:sz w:val="32"/>
          <w:szCs w:val="32"/>
        </w:rPr>
        <w:t>强化精细管理、因地制宜、分类施策，运用科学思维、科学方法</w:t>
      </w:r>
      <w:r>
        <w:rPr>
          <w:rFonts w:hint="eastAsia" w:ascii="仿宋_GB2312" w:hAnsi="仿宋_GB2312" w:eastAsia="仿宋_GB2312" w:cs="仿宋_GB2312"/>
          <w:b w:val="0"/>
          <w:bCs w:val="0"/>
          <w:color w:val="auto"/>
          <w:sz w:val="32"/>
          <w:szCs w:val="32"/>
          <w:lang w:eastAsia="zh-CN"/>
        </w:rPr>
        <w:t>和</w:t>
      </w:r>
      <w:r>
        <w:rPr>
          <w:rFonts w:hint="eastAsia" w:ascii="仿宋_GB2312" w:hAnsi="仿宋_GB2312" w:eastAsia="仿宋_GB2312" w:cs="仿宋_GB2312"/>
          <w:b w:val="0"/>
          <w:bCs w:val="0"/>
          <w:color w:val="auto"/>
          <w:sz w:val="32"/>
          <w:szCs w:val="32"/>
        </w:rPr>
        <w:t>科技手段，坚持依法推进、依法行政、依法保护，提高生态环境保护针对性</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有效性</w:t>
      </w:r>
      <w:r>
        <w:rPr>
          <w:rFonts w:hint="eastAsia" w:ascii="仿宋_GB2312" w:hAnsi="仿宋_GB2312" w:eastAsia="仿宋_GB2312" w:cs="仿宋_GB2312"/>
          <w:b w:val="0"/>
          <w:bCs w:val="0"/>
          <w:color w:val="auto"/>
          <w:sz w:val="32"/>
          <w:szCs w:val="32"/>
          <w:lang w:eastAsia="zh-CN"/>
        </w:rPr>
        <w:t>、合法性</w:t>
      </w:r>
      <w:r>
        <w:rPr>
          <w:rFonts w:hint="eastAsia" w:ascii="仿宋_GB2312" w:hAnsi="仿宋_GB2312" w:eastAsia="仿宋_GB2312" w:cs="仿宋_GB2312"/>
          <w:b w:val="0"/>
          <w:bCs w:val="0"/>
          <w:color w:val="auto"/>
        </w:rPr>
        <w:t>。</w:t>
      </w:r>
    </w:p>
    <w:p>
      <w:pPr>
        <w:pStyle w:val="27"/>
        <w:widowControl w:val="0"/>
        <w:wordWrap/>
        <w:adjustRightInd/>
        <w:snapToGrid/>
        <w:textAlignment w:val="auto"/>
        <w:outlineLvl w:val="9"/>
        <w:rPr>
          <w:rFonts w:hint="eastAsia" w:ascii="仿宋_GB2312" w:hAnsi="仿宋_GB2312" w:eastAsia="仿宋_GB2312" w:cs="仿宋_GB2312"/>
          <w:b w:val="0"/>
          <w:bCs w:val="0"/>
          <w:color w:val="auto"/>
        </w:rPr>
      </w:pPr>
      <w:r>
        <w:rPr>
          <w:rFonts w:hint="eastAsia" w:ascii="楷体_GB2312" w:hAnsi="楷体_GB2312" w:eastAsia="楷体_GB2312" w:cs="楷体_GB2312"/>
          <w:b w:val="0"/>
          <w:bCs w:val="0"/>
          <w:color w:val="auto"/>
        </w:rPr>
        <w:t>——坚持战略引领。</w:t>
      </w:r>
      <w:r>
        <w:rPr>
          <w:rFonts w:hint="eastAsia" w:ascii="仿宋_GB2312" w:hAnsi="仿宋_GB2312" w:eastAsia="仿宋_GB2312" w:cs="仿宋_GB2312"/>
          <w:b w:val="0"/>
          <w:bCs w:val="0"/>
          <w:color w:val="auto"/>
        </w:rPr>
        <w:t>以降碳为重点战略方向，以绿色发展为引领，牢牢把握</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双区建设</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双城联动</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一核一带一区</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等重大战略机遇，健全</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三线一单</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rPr>
        <w:t>生态环境分区管控体系，推动能源、产业、交通运输、农业四大结构调整，以高水平保护助推高质量发展。</w:t>
      </w:r>
    </w:p>
    <w:p>
      <w:pPr>
        <w:pStyle w:val="27"/>
        <w:widowControl w:val="0"/>
        <w:wordWrap/>
        <w:adjustRightInd/>
        <w:snapToGrid/>
        <w:textAlignment w:val="auto"/>
        <w:outlineLvl w:val="9"/>
        <w:rPr>
          <w:rFonts w:hint="eastAsia" w:ascii="仿宋_GB2312" w:hAnsi="仿宋_GB2312" w:eastAsia="仿宋_GB2312" w:cs="仿宋_GB2312"/>
          <w:b w:val="0"/>
          <w:bCs w:val="0"/>
          <w:color w:val="auto"/>
          <w:sz w:val="32"/>
          <w:szCs w:val="32"/>
        </w:rPr>
      </w:pPr>
      <w:r>
        <w:rPr>
          <w:rFonts w:hint="eastAsia" w:ascii="楷体_GB2312" w:hAnsi="楷体_GB2312" w:eastAsia="楷体_GB2312" w:cs="楷体_GB2312"/>
          <w:b w:val="0"/>
          <w:bCs w:val="0"/>
          <w:color w:val="auto"/>
        </w:rPr>
        <w:t>——坚持改革创新。</w:t>
      </w:r>
      <w:r>
        <w:rPr>
          <w:rFonts w:hint="eastAsia" w:ascii="仿宋_GB2312" w:hAnsi="仿宋_GB2312" w:eastAsia="仿宋_GB2312" w:cs="仿宋_GB2312"/>
          <w:b w:val="0"/>
          <w:bCs w:val="0"/>
          <w:color w:val="auto"/>
          <w:sz w:val="32"/>
          <w:szCs w:val="32"/>
        </w:rPr>
        <w:t>完善生态文明领域统筹协调机制，加快构建源头预防、过程控制、损害赔偿、责任追究的生态环境保护体系，综合运用法律、经济、行政、技术等手段提高环境治理效能，加快推进治理体系和治理能力现代化。</w:t>
      </w:r>
    </w:p>
    <w:p>
      <w:pPr>
        <w:pStyle w:val="4"/>
        <w:keepNext/>
        <w:keepLines/>
        <w:widowControl w:val="0"/>
        <w:numPr>
          <w:ilvl w:val="0"/>
          <w:numId w:val="3"/>
        </w:numPr>
        <w:wordWrap/>
        <w:adjustRightInd w:val="0"/>
        <w:snapToGrid w:val="0"/>
        <w:spacing w:beforeLines="50" w:afterLines="50" w:line="560" w:lineRule="exact"/>
        <w:ind w:left="0" w:leftChars="0" w:firstLine="0" w:firstLineChars="0"/>
        <w:jc w:val="center"/>
        <w:textAlignment w:val="auto"/>
        <w:outlineLvl w:val="1"/>
        <w:rPr>
          <w:rFonts w:hint="eastAsia" w:ascii="黑体" w:hAnsi="黑体" w:eastAsia="黑体" w:cs="黑体"/>
          <w:b w:val="0"/>
          <w:bCs w:val="0"/>
        </w:rPr>
      </w:pPr>
      <w:bookmarkStart w:id="404" w:name="_Toc21437"/>
      <w:bookmarkStart w:id="405" w:name="_Toc32561"/>
      <w:bookmarkStart w:id="406" w:name="_Toc19255"/>
      <w:bookmarkStart w:id="407" w:name="_Toc57663203"/>
      <w:bookmarkStart w:id="408" w:name="_Toc15229"/>
      <w:bookmarkStart w:id="409" w:name="_Toc16738"/>
      <w:bookmarkStart w:id="410" w:name="_Toc31955"/>
      <w:bookmarkStart w:id="411" w:name="_Toc1108"/>
      <w:bookmarkStart w:id="412" w:name="_Toc24695"/>
      <w:bookmarkStart w:id="413" w:name="_Toc22293"/>
      <w:bookmarkStart w:id="414" w:name="_Toc28018"/>
      <w:bookmarkStart w:id="415" w:name="_Toc5784"/>
      <w:bookmarkStart w:id="416" w:name="_Toc27555"/>
      <w:bookmarkStart w:id="417" w:name="_Toc26322"/>
      <w:bookmarkStart w:id="418" w:name="_Toc2604"/>
      <w:bookmarkStart w:id="419" w:name="_Toc9491"/>
      <w:bookmarkStart w:id="420" w:name="_Toc28004"/>
      <w:bookmarkStart w:id="421" w:name="_Toc2994"/>
      <w:bookmarkStart w:id="422" w:name="_Toc19543"/>
      <w:bookmarkStart w:id="423" w:name="_Toc29213"/>
      <w:bookmarkStart w:id="424" w:name="_Toc3549"/>
      <w:bookmarkStart w:id="425" w:name="_Toc21734"/>
      <w:bookmarkStart w:id="426" w:name="_Toc29874"/>
      <w:bookmarkStart w:id="427" w:name="_Toc17385"/>
      <w:bookmarkStart w:id="428" w:name="_Toc8120"/>
      <w:bookmarkStart w:id="429" w:name="_Toc5793"/>
      <w:bookmarkStart w:id="430" w:name="_Toc3018"/>
      <w:bookmarkStart w:id="431" w:name="_Toc9638"/>
      <w:bookmarkStart w:id="432" w:name="_Toc3040"/>
      <w:bookmarkStart w:id="433" w:name="_Toc22409"/>
      <w:bookmarkStart w:id="434" w:name="_Toc61001223"/>
      <w:bookmarkStart w:id="435" w:name="_Toc2598"/>
      <w:r>
        <w:rPr>
          <w:rFonts w:hint="eastAsia" w:ascii="黑体" w:hAnsi="黑体" w:eastAsia="黑体" w:cs="黑体"/>
          <w:b w:val="0"/>
          <w:bCs w:val="0"/>
        </w:rPr>
        <w:t>主要</w:t>
      </w:r>
      <w:bookmarkEnd w:id="404"/>
      <w:bookmarkEnd w:id="405"/>
      <w:bookmarkEnd w:id="406"/>
      <w:bookmarkEnd w:id="407"/>
      <w:bookmarkEnd w:id="408"/>
      <w:bookmarkEnd w:id="409"/>
      <w:bookmarkEnd w:id="410"/>
      <w:r>
        <w:rPr>
          <w:rFonts w:hint="eastAsia" w:ascii="黑体" w:hAnsi="黑体" w:eastAsia="黑体" w:cs="黑体"/>
          <w:b w:val="0"/>
          <w:bCs w:val="0"/>
        </w:rPr>
        <w:t>目</w:t>
      </w:r>
      <w:bookmarkEnd w:id="411"/>
      <w:r>
        <w:rPr>
          <w:rFonts w:hint="eastAsia" w:ascii="黑体" w:hAnsi="黑体" w:eastAsia="黑体" w:cs="黑体"/>
          <w:b w:val="0"/>
          <w:bCs w:val="0"/>
        </w:rPr>
        <w:t>标</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pStyle w:val="27"/>
        <w:widowControl w:val="0"/>
        <w:wordWrap/>
        <w:adjustRightInd/>
        <w:snapToGrid/>
        <w:spacing w:line="560" w:lineRule="exact"/>
        <w:textAlignment w:val="auto"/>
        <w:outlineLvl w:val="9"/>
        <w:rPr>
          <w:rFonts w:hint="default"/>
          <w:b w:val="0"/>
          <w:bCs w:val="0"/>
        </w:rPr>
      </w:pPr>
      <w:r>
        <w:rPr>
          <w:rFonts w:hint="eastAsia"/>
          <w:b w:val="0"/>
          <w:bCs w:val="0"/>
        </w:rPr>
        <w:t>展望</w:t>
      </w:r>
      <w:r>
        <w:rPr>
          <w:b w:val="0"/>
          <w:bCs w:val="0"/>
        </w:rPr>
        <w:t>2035</w:t>
      </w:r>
      <w:r>
        <w:rPr>
          <w:rFonts w:hint="eastAsia"/>
          <w:b w:val="0"/>
          <w:bCs w:val="0"/>
        </w:rPr>
        <w:t>年，绿色生产生活方式总体形成，能源利用效率力争达到世界先进水平，碳排放达峰后稳中有降，生态环境根本好转，美丽</w:t>
      </w:r>
      <w:r>
        <w:rPr>
          <w:rFonts w:hint="eastAsia"/>
          <w:b w:val="0"/>
          <w:bCs w:val="0"/>
          <w:lang w:val="en-US" w:eastAsia="zh-CN"/>
        </w:rPr>
        <w:t>韶关</w:t>
      </w:r>
      <w:r>
        <w:rPr>
          <w:rFonts w:hint="eastAsia"/>
          <w:b w:val="0"/>
          <w:bCs w:val="0"/>
        </w:rPr>
        <w:t>基本建成，人与自然和谐共生</w:t>
      </w:r>
      <w:r>
        <w:rPr>
          <w:rFonts w:hint="eastAsia"/>
          <w:b w:val="0"/>
          <w:bCs w:val="0"/>
          <w:lang w:eastAsia="zh-CN"/>
        </w:rPr>
        <w:t>的</w:t>
      </w:r>
      <w:r>
        <w:rPr>
          <w:rFonts w:hint="eastAsia"/>
          <w:b w:val="0"/>
          <w:bCs w:val="0"/>
        </w:rPr>
        <w:t>现代化基本实现。空气质量</w:t>
      </w:r>
      <w:r>
        <w:rPr>
          <w:rFonts w:hint="eastAsia"/>
          <w:b w:val="0"/>
          <w:bCs w:val="0"/>
          <w:lang w:eastAsia="zh-CN"/>
        </w:rPr>
        <w:t>持续提升</w:t>
      </w:r>
      <w:r>
        <w:rPr>
          <w:rFonts w:hint="eastAsia"/>
          <w:b w:val="0"/>
          <w:bCs w:val="0"/>
        </w:rPr>
        <w:t>，水生态环境全面改善，土壤环境</w:t>
      </w:r>
      <w:r>
        <w:rPr>
          <w:rFonts w:hint="eastAsia"/>
          <w:b w:val="0"/>
          <w:bCs w:val="0"/>
          <w:lang w:eastAsia="zh-CN"/>
        </w:rPr>
        <w:t>风险</w:t>
      </w:r>
      <w:r>
        <w:rPr>
          <w:rFonts w:hint="eastAsia"/>
          <w:b w:val="0"/>
          <w:bCs w:val="0"/>
        </w:rPr>
        <w:t>有效</w:t>
      </w:r>
      <w:r>
        <w:rPr>
          <w:rFonts w:hint="eastAsia"/>
          <w:b w:val="0"/>
          <w:bCs w:val="0"/>
          <w:lang w:eastAsia="zh-CN"/>
        </w:rPr>
        <w:t>管控</w:t>
      </w:r>
      <w:r>
        <w:rPr>
          <w:rFonts w:hint="eastAsia"/>
          <w:b w:val="0"/>
          <w:bCs w:val="0"/>
        </w:rPr>
        <w:t>，山水林田湖草生态系统服务功能总体恢复，基本满足人民对优美生态环境的需要，生态环境保护管理制度健全高效，生态环境治理体系和治理能力现代化基本实现。</w:t>
      </w:r>
    </w:p>
    <w:p>
      <w:pPr>
        <w:pStyle w:val="27"/>
        <w:widowControl w:val="0"/>
        <w:wordWrap/>
        <w:adjustRightInd/>
        <w:snapToGrid/>
        <w:spacing w:line="560" w:lineRule="exact"/>
        <w:textAlignment w:val="auto"/>
        <w:outlineLvl w:val="9"/>
        <w:rPr>
          <w:rFonts w:hint="default"/>
          <w:b w:val="0"/>
          <w:bCs w:val="0"/>
        </w:rPr>
      </w:pPr>
      <w:r>
        <w:rPr>
          <w:rFonts w:hint="default"/>
          <w:b w:val="0"/>
          <w:bCs w:val="0"/>
        </w:rPr>
        <w:t>锚定建设美丽</w:t>
      </w:r>
      <w:r>
        <w:rPr>
          <w:rFonts w:hint="eastAsia"/>
          <w:b w:val="0"/>
          <w:bCs w:val="0"/>
          <w:lang w:val="en-US" w:eastAsia="zh-CN"/>
        </w:rPr>
        <w:t>韶关</w:t>
      </w:r>
      <w:r>
        <w:rPr>
          <w:rFonts w:hint="default"/>
          <w:b w:val="0"/>
          <w:bCs w:val="0"/>
        </w:rPr>
        <w:t>的总目标，我</w:t>
      </w:r>
      <w:r>
        <w:rPr>
          <w:rFonts w:hint="eastAsia"/>
          <w:b w:val="0"/>
          <w:bCs w:val="0"/>
          <w:lang w:val="en-US" w:eastAsia="zh-CN"/>
        </w:rPr>
        <w:t>市</w:t>
      </w:r>
      <w:r>
        <w:rPr>
          <w:rFonts w:hint="eastAsia"/>
          <w:b w:val="0"/>
          <w:bCs w:val="0"/>
          <w:lang w:eastAsia="zh-CN"/>
        </w:rPr>
        <w:t>“</w:t>
      </w:r>
      <w:r>
        <w:rPr>
          <w:rFonts w:hint="default"/>
          <w:b w:val="0"/>
          <w:bCs w:val="0"/>
        </w:rPr>
        <w:t>十四五</w:t>
      </w:r>
      <w:r>
        <w:rPr>
          <w:rFonts w:hint="eastAsia"/>
          <w:b w:val="0"/>
          <w:bCs w:val="0"/>
          <w:lang w:eastAsia="zh-CN"/>
        </w:rPr>
        <w:t>”</w:t>
      </w:r>
      <w:r>
        <w:rPr>
          <w:rFonts w:hint="default"/>
          <w:b w:val="0"/>
          <w:bCs w:val="0"/>
        </w:rPr>
        <w:t>时期将努力推动生态文明建设迈</w:t>
      </w:r>
      <w:r>
        <w:rPr>
          <w:rFonts w:hint="eastAsia"/>
          <w:b w:val="0"/>
          <w:bCs w:val="0"/>
          <w:lang w:val="en-US" w:eastAsia="zh-CN"/>
        </w:rPr>
        <w:t>上新台阶</w:t>
      </w:r>
      <w:r>
        <w:rPr>
          <w:rFonts w:hint="default"/>
          <w:b w:val="0"/>
          <w:bCs w:val="0"/>
        </w:rPr>
        <w:t>，生态环境更加优美，城乡人居环境明显改善，生态环境治理体系和治理能力现代化加快推进，生产生活方式绿色转型成效显著。具体目标如下：</w:t>
      </w:r>
    </w:p>
    <w:p>
      <w:pPr>
        <w:pStyle w:val="27"/>
        <w:widowControl w:val="0"/>
        <w:wordWrap/>
        <w:adjustRightInd/>
        <w:snapToGrid/>
        <w:spacing w:line="560" w:lineRule="exact"/>
        <w:textAlignment w:val="auto"/>
        <w:outlineLvl w:val="9"/>
        <w:rPr>
          <w:rFonts w:hint="default"/>
          <w:b w:val="0"/>
          <w:bCs w:val="0"/>
        </w:rPr>
      </w:pPr>
      <w:r>
        <w:rPr>
          <w:rFonts w:hint="eastAsia" w:ascii="楷体_GB2312" w:hAnsi="楷体_GB2312" w:eastAsia="楷体_GB2312" w:cs="楷体_GB2312"/>
          <w:b w:val="0"/>
          <w:bCs w:val="0"/>
        </w:rPr>
        <w:t>——生态环境持续改善。</w:t>
      </w:r>
      <w:r>
        <w:rPr>
          <w:rFonts w:hint="default"/>
          <w:b w:val="0"/>
          <w:bCs w:val="0"/>
        </w:rPr>
        <w:t>大气环境质量</w:t>
      </w:r>
      <w:r>
        <w:rPr>
          <w:rFonts w:hint="eastAsia"/>
          <w:b w:val="0"/>
          <w:bCs w:val="0"/>
          <w:lang w:val="en-US" w:eastAsia="zh-CN"/>
        </w:rPr>
        <w:t>持续改善</w:t>
      </w:r>
      <w:r>
        <w:rPr>
          <w:rFonts w:hint="default"/>
          <w:b w:val="0"/>
          <w:bCs w:val="0"/>
        </w:rPr>
        <w:t>，PM</w:t>
      </w:r>
      <w:r>
        <w:rPr>
          <w:rFonts w:hint="default"/>
          <w:b w:val="0"/>
          <w:bCs w:val="0"/>
          <w:vertAlign w:val="subscript"/>
        </w:rPr>
        <w:t>2.5</w:t>
      </w:r>
      <w:r>
        <w:rPr>
          <w:rFonts w:hint="default"/>
          <w:b w:val="0"/>
          <w:bCs w:val="0"/>
        </w:rPr>
        <w:t>浓度稳定</w:t>
      </w:r>
      <w:r>
        <w:rPr>
          <w:rFonts w:hint="eastAsia"/>
          <w:b w:val="0"/>
          <w:bCs w:val="0"/>
          <w:lang w:val="en-US" w:eastAsia="zh-CN"/>
        </w:rPr>
        <w:t>下降</w:t>
      </w:r>
      <w:r>
        <w:rPr>
          <w:rFonts w:hint="default"/>
          <w:b w:val="0"/>
          <w:bCs w:val="0"/>
        </w:rPr>
        <w:t>，臭氧浓度力争进入下降通道；水环境质量</w:t>
      </w:r>
      <w:r>
        <w:rPr>
          <w:rFonts w:hint="eastAsia"/>
          <w:b w:val="0"/>
          <w:bCs w:val="0"/>
          <w:lang w:val="en-US" w:eastAsia="zh-CN"/>
        </w:rPr>
        <w:t>保持优良</w:t>
      </w:r>
      <w:r>
        <w:rPr>
          <w:rFonts w:hint="default"/>
          <w:b w:val="0"/>
          <w:bCs w:val="0"/>
        </w:rPr>
        <w:t>，</w:t>
      </w:r>
      <w:r>
        <w:rPr>
          <w:rFonts w:hint="eastAsia"/>
          <w:b w:val="0"/>
          <w:bCs w:val="0"/>
          <w:lang w:val="en-US" w:eastAsia="zh-CN"/>
        </w:rPr>
        <w:t>省控以上断面水质优良率保持100%</w:t>
      </w:r>
      <w:r>
        <w:rPr>
          <w:rFonts w:hint="default"/>
          <w:b w:val="0"/>
          <w:bCs w:val="0"/>
        </w:rPr>
        <w:t>。</w:t>
      </w:r>
    </w:p>
    <w:p>
      <w:pPr>
        <w:pStyle w:val="27"/>
        <w:widowControl w:val="0"/>
        <w:wordWrap/>
        <w:adjustRightInd/>
        <w:snapToGrid/>
        <w:spacing w:line="560" w:lineRule="exact"/>
        <w:textAlignment w:val="auto"/>
        <w:outlineLvl w:val="9"/>
        <w:rPr>
          <w:rFonts w:hint="default"/>
          <w:b w:val="0"/>
          <w:bCs w:val="0"/>
        </w:rPr>
      </w:pPr>
      <w:r>
        <w:rPr>
          <w:rFonts w:hint="eastAsia" w:ascii="楷体_GB2312" w:hAnsi="楷体_GB2312" w:eastAsia="楷体_GB2312" w:cs="楷体_GB2312"/>
          <w:b w:val="0"/>
          <w:bCs w:val="0"/>
        </w:rPr>
        <w:t>——绿色低碳发展水平明显提升。</w:t>
      </w:r>
      <w:r>
        <w:rPr>
          <w:rFonts w:hint="default"/>
          <w:b w:val="0"/>
          <w:bCs w:val="0"/>
        </w:rPr>
        <w:t>国土空间开发保护格局进一步优化，单位GDP能耗、水耗、碳排放强度持续下降，能源资源利用效率大幅提高，绿色竞争力明显增强。主要污染物排放总量持续减少。</w:t>
      </w:r>
    </w:p>
    <w:p>
      <w:pPr>
        <w:pStyle w:val="27"/>
        <w:widowControl w:val="0"/>
        <w:wordWrap/>
        <w:adjustRightInd/>
        <w:snapToGrid/>
        <w:spacing w:line="560" w:lineRule="exact"/>
        <w:textAlignment w:val="auto"/>
        <w:outlineLvl w:val="9"/>
        <w:rPr>
          <w:rFonts w:hint="default"/>
          <w:b w:val="0"/>
          <w:bCs w:val="0"/>
        </w:rPr>
      </w:pPr>
      <w:r>
        <w:rPr>
          <w:rFonts w:hint="eastAsia" w:ascii="楷体_GB2312" w:hAnsi="楷体_GB2312" w:eastAsia="楷体_GB2312" w:cs="楷体_GB2312"/>
          <w:b w:val="0"/>
          <w:bCs w:val="0"/>
        </w:rPr>
        <w:t>——环境风险得到有效防控。</w:t>
      </w:r>
      <w:r>
        <w:rPr>
          <w:rFonts w:hint="default"/>
          <w:b w:val="0"/>
          <w:bCs w:val="0"/>
        </w:rPr>
        <w:t>土壤安全利用水平稳步提升，全</w:t>
      </w:r>
      <w:r>
        <w:rPr>
          <w:rFonts w:hint="eastAsia"/>
          <w:b w:val="0"/>
          <w:bCs w:val="0"/>
          <w:lang w:val="en-US" w:eastAsia="zh-CN"/>
        </w:rPr>
        <w:t>市</w:t>
      </w:r>
      <w:r>
        <w:rPr>
          <w:rFonts w:hint="default"/>
          <w:b w:val="0"/>
          <w:bCs w:val="0"/>
        </w:rPr>
        <w:t>工业危险废物和县级以上医疗废物均得到安全处置，核安全监管持续加强，环境风险得到有效管控。</w:t>
      </w:r>
    </w:p>
    <w:p>
      <w:pPr>
        <w:pStyle w:val="27"/>
        <w:widowControl w:val="0"/>
        <w:wordWrap/>
        <w:adjustRightInd/>
        <w:snapToGrid/>
        <w:spacing w:line="560" w:lineRule="exact"/>
        <w:textAlignment w:val="auto"/>
        <w:outlineLvl w:val="9"/>
        <w:rPr>
          <w:rFonts w:hint="default"/>
          <w:b w:val="0"/>
          <w:bCs w:val="0"/>
        </w:rPr>
      </w:pPr>
      <w:r>
        <w:rPr>
          <w:rFonts w:hint="eastAsia" w:ascii="楷体_GB2312" w:hAnsi="楷体_GB2312" w:eastAsia="楷体_GB2312" w:cs="楷体_GB2312"/>
          <w:b w:val="0"/>
          <w:bCs w:val="0"/>
        </w:rPr>
        <w:t>——生态系统质量和稳定性显著提升。</w:t>
      </w:r>
      <w:r>
        <w:rPr>
          <w:rFonts w:hint="default"/>
          <w:b w:val="0"/>
          <w:bCs w:val="0"/>
        </w:rPr>
        <w:t>重要生态空间得到有效保护，生态保护红线面积不减少、功能不降低、性质不改变，重点生物物种得到有效保护，生态屏障质量逐步提升，生态安全格局持续巩固。</w:t>
      </w:r>
    </w:p>
    <w:p>
      <w:pPr>
        <w:pStyle w:val="26"/>
        <w:keepNext/>
        <w:widowControl/>
        <w:wordWrap/>
        <w:adjustRightInd w:val="0"/>
        <w:snapToGrid w:val="0"/>
        <w:spacing w:beforeLines="100" w:line="540" w:lineRule="exac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表2</w:t>
      </w:r>
      <w:r>
        <w:rPr>
          <w:rFonts w:hint="eastAsia" w:ascii="仿宋_GB2312" w:hAnsi="仿宋_GB2312" w:eastAsia="仿宋_GB2312" w:cs="仿宋_GB2312"/>
          <w:color w:val="auto"/>
          <w:sz w:val="28"/>
          <w:szCs w:val="28"/>
          <w:lang w:eastAsia="zh-CN"/>
        </w:rPr>
        <w:t>　</w:t>
      </w:r>
      <w:r>
        <w:rPr>
          <w:rFonts w:hint="eastAsia" w:ascii="仿宋_GB2312" w:hAnsi="仿宋_GB2312" w:eastAsia="仿宋_GB2312" w:cs="仿宋_GB2312"/>
          <w:color w:val="auto"/>
          <w:sz w:val="28"/>
          <w:szCs w:val="28"/>
        </w:rPr>
        <w:t>韶关市</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十四五</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生态环境保护指标体系</w:t>
      </w:r>
    </w:p>
    <w:tbl>
      <w:tblPr>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968"/>
        <w:gridCol w:w="3472"/>
        <w:gridCol w:w="1236"/>
        <w:gridCol w:w="1347"/>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563" w:type="dxa"/>
            <w:vAlign w:val="center"/>
          </w:tcPr>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序号</w:t>
            </w:r>
          </w:p>
        </w:tc>
        <w:tc>
          <w:tcPr>
            <w:tcW w:w="968" w:type="dxa"/>
            <w:vAlign w:val="center"/>
          </w:tcPr>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一级</w:t>
            </w:r>
          </w:p>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指标</w:t>
            </w:r>
          </w:p>
        </w:tc>
        <w:tc>
          <w:tcPr>
            <w:tcW w:w="3472" w:type="dxa"/>
            <w:vAlign w:val="center"/>
          </w:tcPr>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二级指标</w:t>
            </w:r>
          </w:p>
        </w:tc>
        <w:tc>
          <w:tcPr>
            <w:tcW w:w="1236" w:type="dxa"/>
            <w:vAlign w:val="center"/>
          </w:tcPr>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2020年</w:t>
            </w:r>
          </w:p>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lang w:eastAsia="zh-CN"/>
              </w:rPr>
              <w:t>现状</w:t>
            </w:r>
            <w:r>
              <w:rPr>
                <w:rFonts w:hint="eastAsia" w:ascii="仿宋_GB2312" w:hAnsi="仿宋_GB2312" w:eastAsia="仿宋_GB2312" w:cs="仿宋_GB2312"/>
              </w:rPr>
              <w:t>值</w:t>
            </w:r>
          </w:p>
        </w:tc>
        <w:tc>
          <w:tcPr>
            <w:tcW w:w="1347" w:type="dxa"/>
            <w:vAlign w:val="center"/>
          </w:tcPr>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2025年</w:t>
            </w:r>
          </w:p>
          <w:p>
            <w:pPr>
              <w:pStyle w:val="21"/>
              <w:wordWrap/>
              <w:spacing w:line="540" w:lineRule="exact"/>
              <w:textAlignment w:val="auto"/>
              <w:outlineLvl w:val="9"/>
              <w:rPr>
                <w:rFonts w:hint="eastAsia" w:ascii="仿宋_GB2312" w:hAnsi="仿宋_GB2312" w:eastAsia="仿宋_GB2312" w:cs="仿宋_GB2312"/>
                <w:lang w:eastAsia="zh-CN"/>
              </w:rPr>
            </w:pPr>
            <w:r>
              <w:rPr>
                <w:rFonts w:hint="eastAsia" w:ascii="仿宋_GB2312" w:hAnsi="仿宋_GB2312" w:eastAsia="仿宋_GB2312" w:cs="仿宋_GB2312"/>
              </w:rPr>
              <w:t>目标</w:t>
            </w:r>
            <w:r>
              <w:rPr>
                <w:rFonts w:hint="eastAsia" w:ascii="仿宋_GB2312" w:hAnsi="仿宋_GB2312" w:eastAsia="仿宋_GB2312" w:cs="仿宋_GB2312"/>
                <w:lang w:eastAsia="zh-CN"/>
              </w:rPr>
              <w:t>值</w:t>
            </w:r>
          </w:p>
        </w:tc>
        <w:tc>
          <w:tcPr>
            <w:tcW w:w="1129" w:type="dxa"/>
            <w:vAlign w:val="center"/>
          </w:tcPr>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指标</w:t>
            </w:r>
          </w:p>
          <w:p>
            <w:pPr>
              <w:pStyle w:val="21"/>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w:t>
            </w:r>
          </w:p>
        </w:tc>
        <w:tc>
          <w:tcPr>
            <w:tcW w:w="968" w:type="dxa"/>
            <w:vMerge w:val="restart"/>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环境治理</w:t>
            </w: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市区空气质量优良天数比例（%）</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97.3</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95</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2</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PM</w:t>
            </w:r>
            <w:r>
              <w:rPr>
                <w:rFonts w:hint="eastAsia" w:ascii="仿宋_GB2312" w:hAnsi="仿宋_GB2312" w:eastAsia="仿宋_GB2312" w:cs="仿宋_GB2312"/>
                <w:vertAlign w:val="subscript"/>
              </w:rPr>
              <w:t>2.5</w:t>
            </w:r>
            <w:r>
              <w:rPr>
                <w:rFonts w:hint="eastAsia" w:ascii="仿宋_GB2312" w:hAnsi="仿宋_GB2312" w:eastAsia="仿宋_GB2312" w:cs="仿宋_GB2312"/>
              </w:rPr>
              <w:t>年均浓度（μg/m</w:t>
            </w:r>
            <w:r>
              <w:rPr>
                <w:rFonts w:hint="eastAsia" w:ascii="仿宋_GB2312" w:hAnsi="仿宋_GB2312" w:eastAsia="仿宋_GB2312" w:cs="仿宋_GB2312"/>
                <w:vertAlign w:val="superscript"/>
              </w:rPr>
              <w:t>3</w:t>
            </w:r>
            <w:r>
              <w:rPr>
                <w:rFonts w:hint="eastAsia" w:ascii="仿宋_GB2312" w:hAnsi="仿宋_GB2312" w:eastAsia="仿宋_GB2312" w:cs="仿宋_GB2312"/>
              </w:rPr>
              <w:t>）</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24</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25</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3</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地表水质量</w:t>
            </w:r>
            <w:r>
              <w:rPr>
                <w:rFonts w:hint="eastAsia" w:ascii="仿宋_GB2312" w:hAnsi="仿宋_GB2312" w:eastAsia="仿宋_GB2312" w:cs="仿宋_GB2312"/>
                <w:lang w:val="en-US" w:eastAsia="zh-CN"/>
              </w:rPr>
              <w:t>达到或</w:t>
            </w:r>
            <w:r>
              <w:rPr>
                <w:rFonts w:hint="eastAsia" w:ascii="仿宋_GB2312" w:hAnsi="仿宋_GB2312" w:eastAsia="仿宋_GB2312" w:cs="仿宋_GB2312"/>
              </w:rPr>
              <w:t>好于III类水体比例（%）</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100</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100</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4</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地表水劣Ⅴ类水体比例（%）</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0</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0</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5</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lang w:val="en-US" w:eastAsia="zh-CN"/>
              </w:rPr>
              <w:t>县级以上</w:t>
            </w:r>
            <w:r>
              <w:rPr>
                <w:rFonts w:hint="eastAsia" w:ascii="仿宋_GB2312" w:hAnsi="仿宋_GB2312" w:eastAsia="仿宋_GB2312" w:cs="仿宋_GB2312"/>
              </w:rPr>
              <w:t>城市黑臭水体比例（%）</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0</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完成省下达目标</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6</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地下水Ⅴ类水比例（%）</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0</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完成省下达目标</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7</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农村生活污水治理率（%）</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55.79</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≥60</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Merge w:val="restart"/>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8</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化学需氧量重点工程减排量（吨）</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p>
        </w:tc>
        <w:tc>
          <w:tcPr>
            <w:tcW w:w="1347" w:type="dxa"/>
            <w:vMerge w:val="restart"/>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控制在省下达目标内</w:t>
            </w:r>
          </w:p>
        </w:tc>
        <w:tc>
          <w:tcPr>
            <w:tcW w:w="1129" w:type="dxa"/>
            <w:vMerge w:val="restart"/>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氨氮重点工程减排量（吨）</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p>
        </w:tc>
        <w:tc>
          <w:tcPr>
            <w:tcW w:w="1347"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1129"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氮氧化物重点工程减排量（吨）</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p>
        </w:tc>
        <w:tc>
          <w:tcPr>
            <w:tcW w:w="1347"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1129"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挥发性有机物重点工程减排量（吨）</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w:t>
            </w:r>
          </w:p>
        </w:tc>
        <w:tc>
          <w:tcPr>
            <w:tcW w:w="1347"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1129"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9</w:t>
            </w:r>
          </w:p>
        </w:tc>
        <w:tc>
          <w:tcPr>
            <w:tcW w:w="968"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应对气候变化</w:t>
            </w: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单位</w:t>
            </w:r>
            <w:r>
              <w:rPr>
                <w:rFonts w:hint="eastAsia" w:ascii="仿宋_GB2312" w:hAnsi="仿宋_GB2312" w:eastAsia="仿宋_GB2312" w:cs="仿宋_GB2312"/>
                <w:lang w:eastAsia="zh-CN"/>
              </w:rPr>
              <w:t>地区</w:t>
            </w:r>
            <w:r>
              <w:rPr>
                <w:rFonts w:hint="eastAsia" w:ascii="仿宋_GB2312" w:hAnsi="仿宋_GB2312" w:eastAsia="仿宋_GB2312" w:cs="仿宋_GB2312"/>
              </w:rPr>
              <w:t>生产总值二氧化碳排放降低（%）</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r>
              <w:rPr>
                <w:rFonts w:hint="eastAsia" w:ascii="仿宋_GB2312" w:hAnsi="仿宋_GB2312" w:eastAsia="仿宋_GB2312" w:cs="仿宋_GB2312"/>
              </w:rPr>
              <w:t>-1.19</w:t>
            </w:r>
            <w:r>
              <w:rPr>
                <w:rFonts w:hint="eastAsia" w:ascii="仿宋_GB2312" w:hAnsi="仿宋_GB2312" w:eastAsia="仿宋_GB2312" w:cs="仿宋_GB2312"/>
                <w:lang w:val="en-US" w:eastAsia="zh-CN"/>
              </w:rPr>
              <w:t>]</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lang w:val="en-US" w:eastAsia="zh-CN"/>
              </w:rPr>
              <w:t>完成</w:t>
            </w:r>
            <w:r>
              <w:rPr>
                <w:rFonts w:hint="eastAsia" w:ascii="仿宋_GB2312" w:hAnsi="仿宋_GB2312" w:eastAsia="仿宋_GB2312" w:cs="仿宋_GB2312"/>
              </w:rPr>
              <w:t>省下达目标</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10</w:t>
            </w:r>
          </w:p>
        </w:tc>
        <w:tc>
          <w:tcPr>
            <w:tcW w:w="968" w:type="dxa"/>
            <w:vMerge w:val="restart"/>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环境风险防控</w:t>
            </w: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受污染耕地安全利用率（%）</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92.52</w:t>
            </w:r>
          </w:p>
        </w:tc>
        <w:tc>
          <w:tcPr>
            <w:tcW w:w="1347" w:type="dxa"/>
            <w:vMerge w:val="restart"/>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完成省下达目标</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11</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重点建设用地安全利用率（%）</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100</w:t>
            </w:r>
          </w:p>
        </w:tc>
        <w:tc>
          <w:tcPr>
            <w:tcW w:w="1347" w:type="dxa"/>
            <w:vMerge w:val="continue"/>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12</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工业危险废物利用处置率（%）</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100</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100</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13</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top"/>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县级以上医疗废物无害化处置率（%）</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100</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100</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14</w:t>
            </w:r>
          </w:p>
        </w:tc>
        <w:tc>
          <w:tcPr>
            <w:tcW w:w="968" w:type="dxa"/>
            <w:vMerge w:val="restart"/>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生态保护</w:t>
            </w: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生态保护红线占国土面积比例（%）</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rPr>
              <w:t>31.85</w:t>
            </w:r>
            <w:r>
              <w:rPr>
                <w:rFonts w:hint="eastAsia" w:ascii="仿宋_GB2312" w:hAnsi="仿宋_GB2312" w:eastAsia="仿宋_GB2312" w:cs="仿宋_GB2312"/>
                <w:lang w:val="en-US" w:eastAsia="zh-CN"/>
              </w:rPr>
              <w:t>*</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完成省下达目标</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3"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15</w:t>
            </w:r>
          </w:p>
        </w:tc>
        <w:tc>
          <w:tcPr>
            <w:tcW w:w="968" w:type="dxa"/>
            <w:vMerge w:val="continue"/>
            <w:vAlign w:val="center"/>
          </w:tcPr>
          <w:p>
            <w:pPr>
              <w:pStyle w:val="25"/>
              <w:wordWrap/>
              <w:spacing w:line="540" w:lineRule="exact"/>
              <w:textAlignment w:val="auto"/>
              <w:outlineLvl w:val="9"/>
              <w:rPr>
                <w:rFonts w:hint="eastAsia" w:ascii="仿宋_GB2312" w:hAnsi="仿宋_GB2312" w:eastAsia="仿宋_GB2312" w:cs="仿宋_GB2312"/>
              </w:rPr>
            </w:pPr>
          </w:p>
        </w:tc>
        <w:tc>
          <w:tcPr>
            <w:tcW w:w="3472" w:type="dxa"/>
            <w:vAlign w:val="center"/>
          </w:tcPr>
          <w:p>
            <w:pPr>
              <w:pStyle w:val="25"/>
              <w:wordWrap/>
              <w:spacing w:line="540" w:lineRule="exact"/>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生态质量指数</w:t>
            </w:r>
          </w:p>
        </w:tc>
        <w:tc>
          <w:tcPr>
            <w:tcW w:w="1236" w:type="dxa"/>
            <w:vAlign w:val="center"/>
          </w:tcPr>
          <w:p>
            <w:pPr>
              <w:pStyle w:val="25"/>
              <w:wordWrap/>
              <w:spacing w:line="540" w:lineRule="exact"/>
              <w:textAlignment w:val="auto"/>
              <w:outlineLvl w:val="9"/>
              <w:rPr>
                <w:rFonts w:hint="eastAsia" w:ascii="仿宋_GB2312" w:hAnsi="仿宋_GB2312" w:eastAsia="仿宋_GB2312" w:cs="仿宋_GB2312"/>
                <w:lang w:eastAsia="zh-CN"/>
              </w:rPr>
            </w:pPr>
            <w:r>
              <w:rPr>
                <w:rFonts w:hint="eastAsia" w:ascii="仿宋_GB2312" w:hAnsi="仿宋_GB2312" w:eastAsia="仿宋_GB2312" w:cs="仿宋_GB2312"/>
              </w:rPr>
              <w:t>84.9</w:t>
            </w:r>
          </w:p>
        </w:tc>
        <w:tc>
          <w:tcPr>
            <w:tcW w:w="1347"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保持稳定</w:t>
            </w:r>
          </w:p>
        </w:tc>
        <w:tc>
          <w:tcPr>
            <w:tcW w:w="1129" w:type="dxa"/>
            <w:vAlign w:val="center"/>
          </w:tcPr>
          <w:p>
            <w:pPr>
              <w:pStyle w:val="25"/>
              <w:wordWrap/>
              <w:spacing w:line="540" w:lineRule="exact"/>
              <w:textAlignment w:val="auto"/>
              <w:outlineLvl w:val="9"/>
              <w:rPr>
                <w:rFonts w:hint="eastAsia" w:ascii="仿宋_GB2312" w:hAnsi="仿宋_GB2312" w:eastAsia="仿宋_GB2312" w:cs="仿宋_GB2312"/>
              </w:rPr>
            </w:pPr>
            <w:r>
              <w:rPr>
                <w:rFonts w:hint="eastAsia" w:ascii="仿宋_GB2312" w:hAnsi="仿宋_GB2312" w:eastAsia="仿宋_GB2312" w:cs="仿宋_GB2312"/>
              </w:rPr>
              <w:t>预期性</w:t>
            </w:r>
          </w:p>
        </w:tc>
      </w:tr>
    </w:tbl>
    <w:p>
      <w:pPr>
        <w:pStyle w:val="25"/>
        <w:widowControl w:val="0"/>
        <w:wordWrap/>
        <w:adjustRightInd/>
        <w:snapToGrid/>
        <w:spacing w:line="560" w:lineRule="exact"/>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注：1.[ ]内为5年累计数。</w:t>
      </w:r>
    </w:p>
    <w:p>
      <w:pPr>
        <w:pStyle w:val="25"/>
        <w:widowControl w:val="0"/>
        <w:wordWrap/>
        <w:adjustRightInd/>
        <w:snapToGrid/>
        <w:spacing w:line="560" w:lineRule="exact"/>
        <w:ind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2.“*”表示</w:t>
      </w:r>
      <w:r>
        <w:rPr>
          <w:rFonts w:hint="eastAsia" w:ascii="仿宋_GB2312" w:hAnsi="仿宋_GB2312" w:eastAsia="仿宋_GB2312" w:cs="仿宋_GB2312"/>
          <w:sz w:val="24"/>
          <w:szCs w:val="24"/>
        </w:rPr>
        <w:t>生态保护红线占国土面积比例（%）</w:t>
      </w:r>
      <w:r>
        <w:rPr>
          <w:rFonts w:hint="eastAsia" w:ascii="仿宋_GB2312" w:hAnsi="仿宋_GB2312" w:eastAsia="仿宋_GB2312" w:cs="仿宋_GB2312"/>
          <w:sz w:val="24"/>
          <w:szCs w:val="24"/>
          <w:lang w:val="en-US" w:eastAsia="zh-CN"/>
        </w:rPr>
        <w:t>是</w:t>
      </w:r>
      <w:r>
        <w:rPr>
          <w:rFonts w:hint="eastAsia" w:ascii="仿宋_GB2312" w:hAnsi="仿宋_GB2312" w:eastAsia="仿宋_GB2312" w:cs="仿宋_GB2312"/>
          <w:sz w:val="24"/>
          <w:szCs w:val="24"/>
        </w:rPr>
        <w:t>根据2021年省</w:t>
      </w:r>
      <w:r>
        <w:rPr>
          <w:rFonts w:hint="eastAsia" w:ascii="仿宋_GB2312" w:hAnsi="仿宋_GB2312" w:eastAsia="仿宋_GB2312" w:cs="仿宋_GB2312"/>
          <w:sz w:val="24"/>
          <w:szCs w:val="24"/>
          <w:lang w:eastAsia="zh-CN"/>
        </w:rPr>
        <w:t>自然资源</w:t>
      </w:r>
      <w:r>
        <w:rPr>
          <w:rFonts w:hint="eastAsia" w:ascii="仿宋_GB2312" w:hAnsi="仿宋_GB2312" w:eastAsia="仿宋_GB2312" w:cs="仿宋_GB2312"/>
          <w:sz w:val="24"/>
          <w:szCs w:val="24"/>
        </w:rPr>
        <w:t>厅</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下发我市生态保护红线面积及</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三调</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韶关市域面积计算得到</w:t>
      </w:r>
      <w:r>
        <w:rPr>
          <w:rFonts w:hint="eastAsia" w:ascii="仿宋_GB2312" w:hAnsi="仿宋_GB2312" w:eastAsia="仿宋_GB2312" w:cs="仿宋_GB2312"/>
          <w:sz w:val="24"/>
          <w:szCs w:val="24"/>
          <w:lang w:eastAsia="zh-CN"/>
        </w:rPr>
        <w:t>。</w:t>
      </w:r>
    </w:p>
    <w:p>
      <w:pPr>
        <w:pStyle w:val="25"/>
        <w:widowControl w:val="0"/>
        <w:wordWrap/>
        <w:adjustRightInd/>
        <w:snapToGrid/>
        <w:spacing w:line="560" w:lineRule="exact"/>
        <w:ind w:firstLine="480" w:firstLineChars="200"/>
        <w:jc w:val="both"/>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3.“/”表示四种污染物重点工程减排量为“十四五”时期新增设置考核指标， 因此未有2020年现状数据</w:t>
      </w:r>
      <w:r>
        <w:rPr>
          <w:rFonts w:hint="eastAsia" w:ascii="仿宋_GB2312" w:hAnsi="仿宋_GB2312" w:eastAsia="仿宋_GB2312" w:cs="仿宋_GB2312"/>
          <w:sz w:val="24"/>
          <w:szCs w:val="24"/>
        </w:rPr>
        <w:t>。</w:t>
      </w:r>
    </w:p>
    <w:p>
      <w:pPr>
        <w:pStyle w:val="28"/>
        <w:widowControl w:val="0"/>
        <w:wordWrap/>
        <w:adjustRightInd/>
        <w:snapToGrid/>
        <w:spacing w:line="560" w:lineRule="exact"/>
        <w:ind w:firstLine="0" w:firstLineChars="0"/>
        <w:jc w:val="both"/>
        <w:textAlignment w:val="auto"/>
        <w:outlineLvl w:val="9"/>
        <w:rPr>
          <w:rFonts w:hint="eastAsia" w:ascii="仿宋_GB2312" w:hAnsi="仿宋_GB2312" w:eastAsia="仿宋_GB2312" w:cs="仿宋_GB2312"/>
          <w:color w:val="auto"/>
          <w:sz w:val="24"/>
          <w:szCs w:val="24"/>
        </w:rPr>
      </w:pPr>
    </w:p>
    <w:p>
      <w:pPr>
        <w:ind w:firstLine="640" w:firstLineChars="200"/>
        <w:rPr>
          <w:rFonts w:hint="default" w:ascii="Times New Roman" w:hAnsi="Times New Roman" w:eastAsia="仿宋_GB2312" w:cs="Times New Roman"/>
          <w:color w:val="auto"/>
          <w:sz w:val="32"/>
          <w:szCs w:val="32"/>
        </w:rPr>
        <w:sectPr>
          <w:pgSz w:w="11906" w:h="16838"/>
          <w:pgMar w:top="1644" w:right="1701" w:bottom="1985" w:left="1701" w:header="851" w:footer="1077" w:gutter="0"/>
          <w:pgNumType w:fmt="numberInDash"/>
          <w:cols w:space="720" w:num="1"/>
          <w:docGrid w:type="lines" w:linePitch="312" w:charSpace="0"/>
        </w:sectPr>
      </w:pPr>
    </w:p>
    <w:p>
      <w:pPr>
        <w:pStyle w:val="3"/>
        <w:rPr>
          <w:rFonts w:hint="eastAsia" w:ascii="方正小标宋简体" w:hAnsi="方正小标宋简体" w:eastAsia="方正小标宋简体" w:cs="方正小标宋简体"/>
          <w:sz w:val="36"/>
          <w:szCs w:val="44"/>
        </w:rPr>
      </w:pPr>
      <w:bookmarkStart w:id="436" w:name="_Toc57663204"/>
      <w:bookmarkStart w:id="437" w:name="_Toc27185"/>
      <w:bookmarkStart w:id="438" w:name="_Toc7598"/>
      <w:bookmarkStart w:id="439" w:name="_Toc30289"/>
      <w:bookmarkStart w:id="440" w:name="_Toc10232"/>
      <w:bookmarkStart w:id="441" w:name="_Toc9349"/>
      <w:bookmarkStart w:id="442" w:name="_Toc29790"/>
      <w:bookmarkStart w:id="443" w:name="_Toc3239"/>
      <w:bookmarkStart w:id="444" w:name="_Toc15779"/>
      <w:bookmarkStart w:id="445" w:name="_Toc19849"/>
      <w:bookmarkStart w:id="446" w:name="_Toc11258"/>
      <w:bookmarkStart w:id="447" w:name="_Toc18176"/>
      <w:bookmarkStart w:id="448" w:name="_Toc12928"/>
      <w:bookmarkStart w:id="449" w:name="_Toc22912"/>
      <w:bookmarkStart w:id="450" w:name="_Toc300"/>
      <w:bookmarkStart w:id="451" w:name="_Toc24033"/>
      <w:bookmarkStart w:id="452" w:name="_Toc9925"/>
      <w:bookmarkStart w:id="453" w:name="_Toc21244"/>
      <w:bookmarkStart w:id="454" w:name="_Toc31444"/>
      <w:bookmarkStart w:id="455" w:name="_Toc11490"/>
      <w:bookmarkStart w:id="456" w:name="_Toc24459"/>
      <w:bookmarkStart w:id="457" w:name="_Toc32512"/>
      <w:bookmarkStart w:id="458" w:name="_Toc27255"/>
      <w:bookmarkStart w:id="459" w:name="_Toc13207"/>
      <w:bookmarkStart w:id="460" w:name="_Toc14428"/>
      <w:bookmarkStart w:id="461" w:name="_Toc61001224"/>
      <w:bookmarkStart w:id="462" w:name="_Toc31730"/>
      <w:bookmarkStart w:id="463" w:name="_Toc32076"/>
      <w:bookmarkStart w:id="464" w:name="_Toc9517"/>
      <w:bookmarkStart w:id="465" w:name="_Toc22533"/>
      <w:bookmarkStart w:id="466" w:name="_Toc17712"/>
      <w:bookmarkStart w:id="467" w:name="_Toc15480"/>
      <w:r>
        <w:rPr>
          <w:rFonts w:hint="eastAsia" w:ascii="方正小标宋简体" w:hAnsi="方正小标宋简体" w:eastAsia="方正小标宋简体" w:cs="方正小标宋简体"/>
          <w:sz w:val="36"/>
          <w:szCs w:val="44"/>
        </w:rPr>
        <w:t>第三章</w:t>
      </w:r>
      <w:r>
        <w:rPr>
          <w:rFonts w:hint="eastAsia" w:ascii="方正小标宋简体" w:hAnsi="方正小标宋简体" w:eastAsia="方正小标宋简体" w:cs="方正小标宋简体"/>
          <w:sz w:val="36"/>
          <w:szCs w:val="44"/>
          <w:lang w:val="en-US" w:eastAsia="zh-CN"/>
        </w:rPr>
        <w:t>　</w:t>
      </w:r>
      <w:r>
        <w:rPr>
          <w:rFonts w:hint="eastAsia" w:ascii="方正小标宋简体" w:hAnsi="方正小标宋简体" w:eastAsia="方正小标宋简体" w:cs="方正小标宋简体"/>
          <w:sz w:val="36"/>
          <w:szCs w:val="44"/>
        </w:rPr>
        <w:t>坚持</w:t>
      </w:r>
      <w:r>
        <w:rPr>
          <w:rFonts w:hint="eastAsia" w:ascii="方正小标宋简体" w:hAnsi="方正小标宋简体" w:eastAsia="方正小标宋简体" w:cs="方正小标宋简体"/>
          <w:sz w:val="36"/>
          <w:szCs w:val="44"/>
          <w:lang w:eastAsia="zh-CN"/>
        </w:rPr>
        <w:t>绿色</w:t>
      </w:r>
      <w:r>
        <w:rPr>
          <w:rFonts w:hint="eastAsia" w:ascii="方正小标宋简体" w:hAnsi="方正小标宋简体" w:eastAsia="方正小标宋简体" w:cs="方正小标宋简体"/>
          <w:sz w:val="36"/>
          <w:szCs w:val="44"/>
        </w:rPr>
        <w:t>引领，全面推动</w:t>
      </w:r>
      <w:bookmarkEnd w:id="436"/>
      <w:r>
        <w:rPr>
          <w:rFonts w:hint="eastAsia" w:ascii="方正小标宋简体" w:hAnsi="方正小标宋简体" w:eastAsia="方正小标宋简体" w:cs="方正小标宋简体"/>
          <w:sz w:val="36"/>
          <w:szCs w:val="44"/>
        </w:rPr>
        <w:t>高质量发展</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27"/>
        <w:widowControl w:val="0"/>
        <w:wordWrap/>
        <w:adjustRightInd/>
        <w:snapToGrid/>
        <w:spacing w:line="560" w:lineRule="exact"/>
        <w:textAlignment w:val="auto"/>
        <w:outlineLvl w:val="9"/>
        <w:rPr>
          <w:rFonts w:hint="default" w:ascii="Times New Roman" w:hAnsi="Times New Roman" w:cs="Times New Roman"/>
          <w:color w:val="auto"/>
        </w:rPr>
      </w:pPr>
    </w:p>
    <w:p>
      <w:pPr>
        <w:pStyle w:val="27"/>
        <w:widowControl w:val="0"/>
        <w:wordWrap/>
        <w:adjustRightInd/>
        <w:snapToGrid/>
        <w:spacing w:line="560" w:lineRule="exact"/>
        <w:textAlignment w:val="auto"/>
        <w:outlineLvl w:val="9"/>
        <w:rPr>
          <w:rFonts w:hint="default"/>
        </w:rPr>
      </w:pPr>
      <w:r>
        <w:rPr>
          <w:rFonts w:hint="default"/>
        </w:rPr>
        <w:t>紧紧围绕全力筑牢粤北生态屏障、打造绿色发展韶关样板、争当北部生态发展区高质量发展排头兵的目标定位，</w:t>
      </w:r>
      <w:r>
        <w:rPr>
          <w:rFonts w:hint="eastAsia"/>
          <w:lang w:val="en-US" w:eastAsia="zh-CN"/>
        </w:rPr>
        <w:t>坚持</w:t>
      </w:r>
      <w:r>
        <w:rPr>
          <w:rFonts w:hint="default"/>
        </w:rPr>
        <w:t>生态优先、绿色发展，促进经济社会</w:t>
      </w:r>
      <w:r>
        <w:rPr>
          <w:rFonts w:hint="eastAsia"/>
          <w:lang w:val="en-US" w:eastAsia="zh-CN"/>
        </w:rPr>
        <w:t>绿色低碳发展</w:t>
      </w:r>
      <w:r>
        <w:rPr>
          <w:rFonts w:hint="default"/>
        </w:rPr>
        <w:t>。</w:t>
      </w:r>
    </w:p>
    <w:p>
      <w:pPr>
        <w:pStyle w:val="4"/>
        <w:keepNext/>
        <w:keepLines/>
        <w:widowControl w:val="0"/>
        <w:numPr>
          <w:ilvl w:val="0"/>
          <w:numId w:val="4"/>
        </w:numPr>
        <w:wordWrap/>
        <w:adjustRightInd w:val="0"/>
        <w:snapToGrid w:val="0"/>
        <w:spacing w:beforeLines="50" w:afterLines="50"/>
        <w:textAlignment w:val="auto"/>
        <w:outlineLvl w:val="1"/>
        <w:rPr>
          <w:rFonts w:hint="eastAsia" w:ascii="黑体" w:hAnsi="黑体" w:eastAsia="黑体" w:cs="黑体"/>
          <w:b w:val="0"/>
          <w:bCs w:val="0"/>
        </w:rPr>
      </w:pPr>
      <w:bookmarkStart w:id="468" w:name="_Toc2133"/>
      <w:bookmarkStart w:id="469" w:name="_Toc10368"/>
      <w:bookmarkStart w:id="470" w:name="_Toc22962"/>
      <w:bookmarkStart w:id="471" w:name="_Toc28103"/>
      <w:bookmarkStart w:id="472" w:name="_Toc18262"/>
      <w:bookmarkStart w:id="473" w:name="_Toc5850"/>
      <w:bookmarkStart w:id="474" w:name="_Toc23819"/>
      <w:bookmarkStart w:id="475" w:name="_Toc32102"/>
      <w:bookmarkStart w:id="476" w:name="_Toc19131"/>
      <w:bookmarkStart w:id="477" w:name="_Toc31505"/>
      <w:bookmarkStart w:id="478" w:name="_Toc13695"/>
      <w:bookmarkStart w:id="479" w:name="_Toc20094"/>
      <w:bookmarkStart w:id="480" w:name="_Toc6652"/>
      <w:bookmarkStart w:id="481" w:name="_Toc13648"/>
      <w:bookmarkStart w:id="482" w:name="_Toc17179"/>
      <w:bookmarkStart w:id="483" w:name="_Toc3461"/>
      <w:r>
        <w:rPr>
          <w:rFonts w:hint="eastAsia" w:ascii="黑体" w:hAnsi="黑体" w:eastAsia="黑体" w:cs="黑体"/>
          <w:b w:val="0"/>
          <w:bCs w:val="0"/>
        </w:rPr>
        <w:t>构建科学有效的</w:t>
      </w:r>
      <w:r>
        <w:rPr>
          <w:rFonts w:hint="eastAsia" w:ascii="黑体" w:hAnsi="黑体" w:eastAsia="黑体" w:cs="黑体"/>
          <w:b w:val="0"/>
          <w:bCs w:val="0"/>
          <w:lang w:eastAsia="zh-CN"/>
        </w:rPr>
        <w:t>国土</w:t>
      </w:r>
      <w:r>
        <w:rPr>
          <w:rFonts w:hint="eastAsia" w:ascii="黑体" w:hAnsi="黑体" w:eastAsia="黑体" w:cs="黑体"/>
          <w:b w:val="0"/>
          <w:bCs w:val="0"/>
        </w:rPr>
        <w:t>空间规划体</w:t>
      </w:r>
      <w:bookmarkEnd w:id="468"/>
      <w:r>
        <w:rPr>
          <w:rFonts w:hint="eastAsia" w:ascii="黑体" w:hAnsi="黑体" w:eastAsia="黑体" w:cs="黑体"/>
          <w:b w:val="0"/>
          <w:bCs w:val="0"/>
        </w:rPr>
        <w:t>系</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pStyle w:val="27"/>
        <w:spacing w:line="560" w:lineRule="exact"/>
        <w:rPr>
          <w:rFonts w:hint="default"/>
          <w:lang w:val="en-US" w:eastAsia="zh-CN"/>
        </w:rPr>
      </w:pPr>
      <w:r>
        <w:rPr>
          <w:rFonts w:hint="eastAsia"/>
          <w:lang w:val="en-US" w:eastAsia="zh-CN"/>
        </w:rPr>
        <w:t>优化国土空间开发保护格局，统筹划定永久基本农田、生态保护红线、城镇开发边界三条控制线，科学布局生态、农业、城镇等功能空间，统筹优化各类资源要素配置。根据国家和省要求，建设国土空间规划“一张图”实施监督信息系统，为全市自然资源保护和开发建设、国土空间用途管制、各层次专项规划和详细规划编制提供支撑。市县国土空间规划要统一土地分类标准，根据主体功能定位和省级国土空间规划要求，划定明确城镇空间、农业空间、生态空间，以及耕地、林地、河流、湖泊、湿地等的保护边界。</w:t>
      </w:r>
    </w:p>
    <w:p>
      <w:pPr>
        <w:pStyle w:val="4"/>
        <w:keepNext/>
        <w:keepLines/>
        <w:widowControl w:val="0"/>
        <w:numPr>
          <w:ilvl w:val="0"/>
          <w:numId w:val="4"/>
        </w:numPr>
        <w:wordWrap/>
        <w:adjustRightInd w:val="0"/>
        <w:snapToGrid w:val="0"/>
        <w:spacing w:beforeLines="50" w:afterLines="50"/>
        <w:ind w:left="0" w:leftChars="0" w:firstLine="0" w:firstLineChars="0"/>
        <w:textAlignment w:val="auto"/>
        <w:outlineLvl w:val="1"/>
        <w:rPr>
          <w:rFonts w:hint="eastAsia" w:ascii="黑体" w:hAnsi="黑体" w:eastAsia="黑体" w:cs="黑体"/>
          <w:b w:val="0"/>
          <w:bCs w:val="0"/>
        </w:rPr>
      </w:pPr>
      <w:bookmarkStart w:id="484" w:name="_Toc26192"/>
      <w:bookmarkStart w:id="485" w:name="_Toc8122"/>
      <w:bookmarkStart w:id="486" w:name="_Toc31443"/>
      <w:bookmarkStart w:id="487" w:name="_Toc878"/>
      <w:bookmarkStart w:id="488" w:name="_Toc25618"/>
      <w:bookmarkStart w:id="489" w:name="_Toc30533"/>
      <w:bookmarkStart w:id="490" w:name="_Toc23778"/>
      <w:bookmarkStart w:id="491" w:name="_Toc6102"/>
      <w:bookmarkStart w:id="492" w:name="_Toc22923"/>
      <w:bookmarkStart w:id="493" w:name="_Toc13113"/>
      <w:bookmarkStart w:id="494" w:name="_Toc10379"/>
      <w:bookmarkStart w:id="495" w:name="_Toc20285"/>
      <w:bookmarkStart w:id="496" w:name="_Toc25682"/>
      <w:bookmarkStart w:id="497" w:name="_Toc9572"/>
      <w:bookmarkStart w:id="498" w:name="_Toc6634"/>
      <w:bookmarkStart w:id="499" w:name="_Toc6293"/>
      <w:r>
        <w:rPr>
          <w:rFonts w:hint="eastAsia" w:ascii="黑体" w:hAnsi="黑体" w:eastAsia="黑体" w:cs="黑体"/>
          <w:b w:val="0"/>
          <w:bCs w:val="0"/>
        </w:rPr>
        <w:t>建立完善生态环境分区管控体</w:t>
      </w:r>
      <w:bookmarkEnd w:id="484"/>
      <w:r>
        <w:rPr>
          <w:rFonts w:hint="eastAsia" w:ascii="黑体" w:hAnsi="黑体" w:eastAsia="黑体" w:cs="黑体"/>
          <w:b w:val="0"/>
          <w:bCs w:val="0"/>
        </w:rPr>
        <w:t>系</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27"/>
        <w:widowControl w:val="0"/>
        <w:wordWrap/>
        <w:adjustRightInd/>
        <w:snapToGrid/>
        <w:textAlignment w:val="auto"/>
        <w:outlineLvl w:val="9"/>
        <w:rPr>
          <w:rFonts w:hint="default"/>
        </w:rPr>
      </w:pPr>
      <w:r>
        <w:rPr>
          <w:rFonts w:hint="eastAsia"/>
        </w:rPr>
        <w:t>统筹布局和优化提升生产、生活、生态空间，完善</w:t>
      </w:r>
      <w:r>
        <w:rPr>
          <w:rFonts w:hint="eastAsia"/>
          <w:lang w:eastAsia="zh-CN"/>
        </w:rPr>
        <w:t>“</w:t>
      </w:r>
      <w:r>
        <w:rPr>
          <w:rFonts w:hint="eastAsia"/>
        </w:rPr>
        <w:t>三线一单</w:t>
      </w:r>
      <w:r>
        <w:rPr>
          <w:rFonts w:hint="eastAsia"/>
          <w:lang w:eastAsia="zh-CN"/>
        </w:rPr>
        <w:t>”</w:t>
      </w:r>
      <w:r>
        <w:rPr>
          <w:rFonts w:hint="eastAsia"/>
        </w:rPr>
        <w:t>生态环境空间分区管控体系，针对不同环境管控单元特征，实行差异化环境准入。调整优化产业集群发展空间布局，推动形成与主体功能区相适应的产业空间布局。科学承接产业转移，防范过剩和落后产能跨地区转移。严格落实产业园区项目准入和投资强度要求，积极促进产业向园区集中。推动工业项目入园集聚发展，严格控制涉重金属和高污染高能耗项目建设，新建、扩建化工、焦化、有色金属冶炼</w:t>
      </w:r>
      <w:r>
        <w:rPr>
          <w:rFonts w:hint="eastAsia"/>
          <w:lang w:eastAsia="zh-CN"/>
        </w:rPr>
        <w:t>等</w:t>
      </w:r>
      <w:r>
        <w:rPr>
          <w:rFonts w:hint="eastAsia"/>
        </w:rPr>
        <w:t>项目应布设在依法合规设立并经规划环评的产业园区。重点污染物排放总量在现有基础上持续减少，优化总量分配和调控机制</w:t>
      </w:r>
      <w:r>
        <w:rPr>
          <w:rFonts w:hint="eastAsia"/>
          <w:lang w:eastAsia="zh-CN"/>
        </w:rPr>
        <w:t>，</w:t>
      </w:r>
      <w:r>
        <w:rPr>
          <w:rFonts w:hint="eastAsia"/>
        </w:rPr>
        <w:t>重点污染物排放总量指标优先向重点建设项目、重点工业园区、战略性产业集群倾斜。新</w:t>
      </w:r>
      <w:r>
        <w:rPr>
          <w:rFonts w:hint="eastAsia"/>
          <w:lang w:eastAsia="zh-CN"/>
        </w:rPr>
        <w:t>、</w:t>
      </w:r>
      <w:r>
        <w:rPr>
          <w:rFonts w:hint="eastAsia"/>
        </w:rPr>
        <w:t>改</w:t>
      </w:r>
      <w:r>
        <w:rPr>
          <w:rFonts w:hint="eastAsia"/>
          <w:lang w:eastAsia="zh-CN"/>
        </w:rPr>
        <w:t>、</w:t>
      </w:r>
      <w:r>
        <w:rPr>
          <w:rFonts w:hint="eastAsia"/>
        </w:rPr>
        <w:t>扩建涉气项目原则上实施氮氧化物（NO</w:t>
      </w:r>
      <w:r>
        <w:rPr>
          <w:rFonts w:hint="eastAsia"/>
          <w:vertAlign w:val="subscript"/>
        </w:rPr>
        <w:t>X</w:t>
      </w:r>
      <w:r>
        <w:rPr>
          <w:rFonts w:hint="eastAsia"/>
        </w:rPr>
        <w:t>）和挥发性有机物</w:t>
      </w:r>
      <w:r>
        <w:rPr>
          <w:rFonts w:hint="eastAsia"/>
          <w:lang w:eastAsia="zh-CN"/>
        </w:rPr>
        <w:t>（</w:t>
      </w:r>
      <w:r>
        <w:rPr>
          <w:rFonts w:hint="eastAsia"/>
        </w:rPr>
        <w:t>VOCs</w:t>
      </w:r>
      <w:r>
        <w:rPr>
          <w:rFonts w:hint="eastAsia"/>
          <w:lang w:eastAsia="zh-CN"/>
        </w:rPr>
        <w:t>）</w:t>
      </w:r>
      <w:r>
        <w:rPr>
          <w:rFonts w:hint="eastAsia"/>
        </w:rPr>
        <w:t>等量替代。造纸、焦化、有色金属、印染、农副食品加工、原料药制造、制革、农药、电镀等行业</w:t>
      </w:r>
      <w:r>
        <w:rPr>
          <w:rFonts w:hint="eastAsia"/>
          <w:lang w:eastAsia="zh-CN"/>
        </w:rPr>
        <w:t>新、改、扩建</w:t>
      </w:r>
      <w:r>
        <w:rPr>
          <w:rFonts w:hint="eastAsia"/>
        </w:rPr>
        <w:t>涉水建设项目实行主要污染物排放</w:t>
      </w:r>
      <w:r>
        <w:rPr>
          <w:rFonts w:hint="eastAsia"/>
          <w:lang w:eastAsia="zh-CN"/>
        </w:rPr>
        <w:t>等</w:t>
      </w:r>
      <w:r>
        <w:rPr>
          <w:rFonts w:hint="eastAsia"/>
        </w:rPr>
        <w:t>量替代。北江流域实行重金属污染物排放总量控制</w:t>
      </w:r>
      <w:r>
        <w:rPr>
          <w:rFonts w:hint="eastAsia"/>
          <w:lang w:eastAsia="zh-CN"/>
        </w:rPr>
        <w:t>，</w:t>
      </w:r>
      <w:r>
        <w:rPr>
          <w:rFonts w:hint="eastAsia"/>
        </w:rPr>
        <w:t>新建、改建、扩建的项目严格实行重金属等特征污染物排放减量替代。</w:t>
      </w:r>
    </w:p>
    <w:p>
      <w:pPr>
        <w:pStyle w:val="4"/>
        <w:keepNext/>
        <w:keepLines/>
        <w:widowControl w:val="0"/>
        <w:numPr>
          <w:ilvl w:val="0"/>
          <w:numId w:val="4"/>
        </w:numPr>
        <w:wordWrap/>
        <w:adjustRightInd w:val="0"/>
        <w:snapToGrid w:val="0"/>
        <w:spacing w:beforeLines="50" w:afterLines="50"/>
        <w:ind w:left="0" w:leftChars="0" w:firstLine="0" w:firstLineChars="0"/>
        <w:textAlignment w:val="auto"/>
        <w:outlineLvl w:val="1"/>
        <w:rPr>
          <w:rFonts w:hint="eastAsia" w:ascii="黑体" w:hAnsi="黑体" w:eastAsia="黑体" w:cs="黑体"/>
          <w:b w:val="0"/>
          <w:bCs w:val="0"/>
        </w:rPr>
      </w:pPr>
      <w:bookmarkStart w:id="500" w:name="_Toc11184"/>
      <w:bookmarkStart w:id="501" w:name="_Toc12522"/>
      <w:bookmarkStart w:id="502" w:name="_Toc25031"/>
      <w:bookmarkStart w:id="503" w:name="_Toc3555"/>
      <w:bookmarkStart w:id="504" w:name="_Toc17435"/>
      <w:bookmarkStart w:id="505" w:name="_Toc14144"/>
      <w:bookmarkStart w:id="506" w:name="_Toc13378"/>
      <w:bookmarkStart w:id="507" w:name="_Toc31936"/>
      <w:bookmarkStart w:id="508" w:name="_Toc23827"/>
      <w:bookmarkStart w:id="509" w:name="_Toc14323"/>
      <w:bookmarkStart w:id="510" w:name="_Toc22229"/>
      <w:bookmarkStart w:id="511" w:name="_Toc24620"/>
      <w:bookmarkStart w:id="512" w:name="_Toc6477"/>
      <w:bookmarkStart w:id="513" w:name="_Toc20935"/>
      <w:bookmarkStart w:id="514" w:name="_Toc20249"/>
      <w:bookmarkStart w:id="515" w:name="_Toc30999"/>
      <w:r>
        <w:rPr>
          <w:rFonts w:hint="eastAsia" w:ascii="黑体" w:hAnsi="黑体" w:eastAsia="黑体" w:cs="黑体"/>
          <w:b w:val="0"/>
          <w:bCs w:val="0"/>
        </w:rPr>
        <w:t>塑造高品质城镇绿色空</w:t>
      </w:r>
      <w:bookmarkEnd w:id="500"/>
      <w:r>
        <w:rPr>
          <w:rFonts w:hint="eastAsia" w:ascii="黑体" w:hAnsi="黑体" w:eastAsia="黑体" w:cs="黑体"/>
          <w:b w:val="0"/>
          <w:bCs w:val="0"/>
        </w:rPr>
        <w:t>间</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27"/>
        <w:spacing w:before="0"/>
        <w:rPr>
          <w:rFonts w:hint="default"/>
        </w:rPr>
      </w:pPr>
      <w:r>
        <w:rPr>
          <w:rFonts w:hint="eastAsia" w:ascii="仿宋_GB2312" w:hAnsi="仿宋_GB2312" w:eastAsia="仿宋_GB2312" w:cs="仿宋_GB2312"/>
          <w:snapToGrid w:val="0"/>
          <w:color w:val="auto"/>
          <w:kern w:val="0"/>
          <w:sz w:val="32"/>
          <w:szCs w:val="32"/>
          <w:lang w:val="en-US" w:eastAsia="zh-CN" w:bidi="ar-SA"/>
        </w:rPr>
        <w:t>全域创建国家森林城市。</w:t>
      </w:r>
      <w:r>
        <w:rPr>
          <w:rFonts w:hint="eastAsia"/>
          <w:lang w:val="en-US" w:eastAsia="zh-CN"/>
        </w:rPr>
        <w:t>以城市森林绿地为主体，有机衔接城市内自然山体，形成相互作用的绿地综合体，构建“区域生态绿地—生态廊道体系—城市绿地”组成的城市绿地系统。将山体、水系等自然资源与地方文化特色融合，高品质打造滨江风光带、滨水景观带、滨水林荫步道，控制岸线、滨水道路和建筑设计，升华水景特色，呼应山脊本体，打造丰富、高效、动态平衡的山城滨水景观走廊。力争全域成功创建国家森林城市，实现“让森林走进城市，让城市拥抱森林”，推动城市森林建设和乡村绿化，让森林更好服务于城市经济社会发展。</w:t>
      </w:r>
    </w:p>
    <w:p>
      <w:pPr>
        <w:pStyle w:val="27"/>
        <w:widowControl w:val="0"/>
        <w:wordWrap/>
        <w:adjustRightInd/>
        <w:snapToGrid/>
        <w:spacing w:line="560" w:lineRule="exact"/>
        <w:textAlignment w:val="auto"/>
        <w:outlineLvl w:val="9"/>
        <w:rPr>
          <w:rFonts w:hint="default"/>
          <w:lang w:val="en-US" w:eastAsia="zh-CN"/>
        </w:rPr>
      </w:pPr>
      <w:r>
        <w:rPr>
          <w:rFonts w:hint="default"/>
          <w:lang w:val="en-US" w:eastAsia="zh-CN"/>
        </w:rPr>
        <w:t>实施碧道建设计划。</w:t>
      </w:r>
      <w:r>
        <w:rPr>
          <w:rFonts w:hint="eastAsia"/>
          <w:lang w:val="en-US" w:eastAsia="zh-CN"/>
        </w:rPr>
        <w:t>打造以北江水系为主要干线，以河湖水域及岸边带为框架，兼顾生态、安全、文化、景观、休闲和经济等功能的北江南岭山水画廊碧道；结合北江及其沿线支流水系的生态资源、历史文化资源、城乡建设、经济发展等特点，形成武江特色山水人文长廊、丹霞魅力画廊、浈江历史文化长廊、清化河客家文化长廊、粤北新城风光带、饮水思源长廊、小城田园风光带、新丰江生态休闲长廊等八段不同功能主题的碧道建设布局。</w:t>
      </w:r>
    </w:p>
    <w:p>
      <w:pPr>
        <w:pStyle w:val="4"/>
        <w:keepNext/>
        <w:keepLines/>
        <w:widowControl w:val="0"/>
        <w:numPr>
          <w:ilvl w:val="0"/>
          <w:numId w:val="4"/>
        </w:numPr>
        <w:wordWrap/>
        <w:adjustRightInd w:val="0"/>
        <w:snapToGrid w:val="0"/>
        <w:spacing w:beforeLines="50" w:afterLines="50"/>
        <w:ind w:left="0" w:leftChars="0" w:firstLine="0" w:firstLineChars="0"/>
        <w:textAlignment w:val="auto"/>
        <w:outlineLvl w:val="1"/>
        <w:rPr>
          <w:rFonts w:hint="eastAsia" w:ascii="黑体" w:hAnsi="黑体" w:eastAsia="黑体" w:cs="黑体"/>
          <w:b w:val="0"/>
          <w:bCs w:val="0"/>
        </w:rPr>
      </w:pPr>
      <w:bookmarkStart w:id="516" w:name="_Toc9470"/>
      <w:bookmarkStart w:id="517" w:name="_Toc29847"/>
      <w:bookmarkStart w:id="518" w:name="_Toc29722"/>
      <w:bookmarkStart w:id="519" w:name="_Toc25339"/>
      <w:bookmarkStart w:id="520" w:name="_Toc16385"/>
      <w:bookmarkStart w:id="521" w:name="_Toc31703"/>
      <w:bookmarkStart w:id="522" w:name="_Toc31958"/>
      <w:bookmarkStart w:id="523" w:name="_Toc28540"/>
      <w:bookmarkStart w:id="524" w:name="_Toc29977"/>
      <w:bookmarkStart w:id="525" w:name="_Toc5830"/>
      <w:bookmarkStart w:id="526" w:name="_Toc1391"/>
      <w:bookmarkStart w:id="527" w:name="_Toc20106"/>
      <w:bookmarkStart w:id="528" w:name="_Toc26320"/>
      <w:bookmarkStart w:id="529" w:name="_Toc2649"/>
      <w:bookmarkStart w:id="530" w:name="_Toc23186"/>
      <w:bookmarkStart w:id="531" w:name="_Toc21520"/>
      <w:r>
        <w:rPr>
          <w:rFonts w:hint="eastAsia" w:ascii="黑体" w:hAnsi="黑体" w:eastAsia="黑体" w:cs="黑体"/>
          <w:b w:val="0"/>
          <w:bCs w:val="0"/>
        </w:rPr>
        <w:t>打造绿色发展韶关样</w:t>
      </w:r>
      <w:bookmarkEnd w:id="516"/>
      <w:r>
        <w:rPr>
          <w:rFonts w:hint="eastAsia" w:ascii="黑体" w:hAnsi="黑体" w:eastAsia="黑体" w:cs="黑体"/>
          <w:b w:val="0"/>
          <w:bCs w:val="0"/>
        </w:rPr>
        <w:t>板</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pStyle w:val="27"/>
        <w:widowControl w:val="0"/>
        <w:wordWrap/>
        <w:adjustRightInd/>
        <w:snapToGrid/>
        <w:textAlignment w:val="auto"/>
        <w:outlineLvl w:val="9"/>
        <w:rPr>
          <w:rFonts w:hint="default"/>
        </w:rPr>
      </w:pPr>
      <w:bookmarkStart w:id="532" w:name="_Toc18905"/>
      <w:bookmarkStart w:id="533" w:name="_Toc31131"/>
      <w:bookmarkStart w:id="534" w:name="_Toc2325"/>
      <w:bookmarkStart w:id="535" w:name="_Toc2928"/>
      <w:bookmarkStart w:id="536" w:name="_Toc21277"/>
      <w:r>
        <w:rPr>
          <w:rFonts w:hint="eastAsia"/>
          <w:lang w:val="en-US" w:eastAsia="zh-CN"/>
        </w:rPr>
        <w:t>深入</w:t>
      </w:r>
      <w:r>
        <w:rPr>
          <w:rFonts w:hint="default"/>
        </w:rPr>
        <w:t>贯彻落实习近平生态文明思想，践行</w:t>
      </w:r>
      <w:r>
        <w:rPr>
          <w:rFonts w:hint="eastAsia"/>
          <w:lang w:eastAsia="zh-CN"/>
        </w:rPr>
        <w:t>“</w:t>
      </w:r>
      <w:r>
        <w:rPr>
          <w:rFonts w:hint="default"/>
        </w:rPr>
        <w:t>绿水青山就是金山银山</w:t>
      </w:r>
      <w:r>
        <w:rPr>
          <w:rFonts w:hint="eastAsia"/>
          <w:lang w:eastAsia="zh-CN"/>
        </w:rPr>
        <w:t>”</w:t>
      </w:r>
      <w:r>
        <w:rPr>
          <w:rFonts w:hint="default"/>
        </w:rPr>
        <w:t>理念</w:t>
      </w:r>
      <w:r>
        <w:rPr>
          <w:rFonts w:hint="eastAsia"/>
          <w:lang w:eastAsia="zh-CN"/>
        </w:rPr>
        <w:t>，</w:t>
      </w:r>
      <w:r>
        <w:rPr>
          <w:rFonts w:hint="default"/>
        </w:rPr>
        <w:t>坚持生态优先、绿色发展，坚持保护中开发、开发中保护，坚持政府主导、市场运作，坚持统筹谋划、系统部署，坚持改革创新、试点先行，坚持共建共享、互利共赢，坚持产业化思维、项目化举措，以体制机制改革创新为牵引，以实现资源资产价值化为主线，因地制宜、分类施策、循序渐进推进各项</w:t>
      </w:r>
      <w:r>
        <w:rPr>
          <w:rFonts w:hint="eastAsia"/>
          <w:lang w:eastAsia="zh-CN"/>
        </w:rPr>
        <w:t>生态环境保护和修复</w:t>
      </w:r>
      <w:r>
        <w:rPr>
          <w:rFonts w:hint="default"/>
        </w:rPr>
        <w:t>工作，推进生态产业化和产业生态化，走出一条既符合自身实际又具有地方特色的资源资产价值化路子，打造践行</w:t>
      </w:r>
      <w:r>
        <w:rPr>
          <w:rFonts w:hint="eastAsia"/>
          <w:lang w:eastAsia="zh-CN"/>
        </w:rPr>
        <w:t>“两山”理论</w:t>
      </w:r>
      <w:r>
        <w:rPr>
          <w:rFonts w:hint="default"/>
        </w:rPr>
        <w:t>的韶关样板。</w:t>
      </w:r>
      <w:bookmarkEnd w:id="462"/>
      <w:bookmarkEnd w:id="463"/>
      <w:bookmarkEnd w:id="464"/>
      <w:bookmarkEnd w:id="465"/>
      <w:bookmarkEnd w:id="466"/>
      <w:bookmarkEnd w:id="467"/>
      <w:bookmarkEnd w:id="532"/>
      <w:bookmarkEnd w:id="533"/>
      <w:bookmarkEnd w:id="534"/>
      <w:bookmarkEnd w:id="535"/>
      <w:bookmarkEnd w:id="536"/>
      <w:bookmarkStart w:id="537" w:name="_Toc8160"/>
      <w:bookmarkStart w:id="538" w:name="_Toc30779"/>
    </w:p>
    <w:p>
      <w:pPr>
        <w:pStyle w:val="27"/>
        <w:widowControl w:val="0"/>
        <w:wordWrap/>
        <w:adjustRightInd/>
        <w:snapToGrid/>
        <w:textAlignment w:val="auto"/>
        <w:outlineLvl w:val="9"/>
        <w:rPr>
          <w:rFonts w:hint="default"/>
        </w:rPr>
        <w:sectPr>
          <w:pgSz w:w="11906" w:h="16838"/>
          <w:pgMar w:top="2098" w:right="1474" w:bottom="1985" w:left="1587" w:header="851" w:footer="1474" w:gutter="0"/>
          <w:pgNumType w:fmt="numberInDash"/>
          <w:cols w:space="720" w:num="1"/>
          <w:docGrid w:type="lines" w:linePitch="312" w:charSpace="0"/>
        </w:sectPr>
      </w:pPr>
    </w:p>
    <w:p>
      <w:pPr>
        <w:pStyle w:val="3"/>
        <w:numPr>
          <w:ilvl w:val="0"/>
          <w:numId w:val="5"/>
        </w:numPr>
        <w:rPr>
          <w:rFonts w:hint="eastAsia" w:ascii="方正小标宋简体" w:hAnsi="方正小标宋简体" w:eastAsia="方正小标宋简体" w:cs="方正小标宋简体"/>
          <w:sz w:val="36"/>
          <w:szCs w:val="44"/>
        </w:rPr>
      </w:pPr>
      <w:bookmarkStart w:id="539" w:name="_Toc20515"/>
      <w:bookmarkStart w:id="540" w:name="_Toc10709"/>
      <w:bookmarkStart w:id="541" w:name="_Toc8367"/>
      <w:bookmarkStart w:id="542" w:name="_Toc9002"/>
      <w:bookmarkStart w:id="543" w:name="_Toc7604"/>
      <w:bookmarkStart w:id="544" w:name="_Toc11618"/>
      <w:bookmarkStart w:id="545" w:name="_Toc20231"/>
      <w:bookmarkStart w:id="546" w:name="_Toc27110"/>
      <w:bookmarkStart w:id="547" w:name="_Toc9434"/>
      <w:bookmarkStart w:id="548" w:name="_Toc30056"/>
      <w:bookmarkStart w:id="549" w:name="_Toc24376"/>
      <w:bookmarkStart w:id="550" w:name="_Toc19712"/>
      <w:bookmarkStart w:id="551" w:name="_Toc11917"/>
      <w:bookmarkStart w:id="552" w:name="_Toc29776"/>
      <w:bookmarkStart w:id="553" w:name="_Toc31332"/>
      <w:bookmarkStart w:id="554" w:name="_Toc2665"/>
      <w:bookmarkStart w:id="555" w:name="_Toc5234"/>
      <w:bookmarkStart w:id="556" w:name="_Toc7608"/>
      <w:bookmarkStart w:id="557" w:name="_Toc61001229"/>
      <w:bookmarkStart w:id="558" w:name="_Toc20968"/>
      <w:bookmarkStart w:id="559" w:name="_Toc14305"/>
      <w:bookmarkStart w:id="560" w:name="_Toc24775"/>
      <w:bookmarkStart w:id="561" w:name="_Toc32723"/>
      <w:bookmarkStart w:id="562" w:name="_Toc17516"/>
      <w:bookmarkStart w:id="563" w:name="_Toc9144"/>
      <w:bookmarkStart w:id="564" w:name="_Toc57663209"/>
      <w:r>
        <w:rPr>
          <w:rFonts w:hint="eastAsia" w:ascii="方正小标宋简体" w:hAnsi="方正小标宋简体" w:eastAsia="方正小标宋简体" w:cs="方正小标宋简体"/>
          <w:sz w:val="36"/>
          <w:szCs w:val="44"/>
          <w:lang w:val="en-US" w:eastAsia="zh-CN"/>
        </w:rPr>
        <w:t>加快实施</w:t>
      </w:r>
      <w:r>
        <w:rPr>
          <w:rFonts w:hint="eastAsia" w:ascii="方正小标宋简体" w:hAnsi="方正小标宋简体" w:eastAsia="方正小标宋简体" w:cs="方正小标宋简体"/>
          <w:sz w:val="36"/>
          <w:szCs w:val="44"/>
        </w:rPr>
        <w:t>碳达峰行动，推动经济绿色低碳转</w:t>
      </w:r>
      <w:bookmarkEnd w:id="539"/>
      <w:r>
        <w:rPr>
          <w:rFonts w:hint="eastAsia" w:ascii="方正小标宋简体" w:hAnsi="方正小标宋简体" w:eastAsia="方正小标宋简体" w:cs="方正小标宋简体"/>
          <w:sz w:val="36"/>
          <w:szCs w:val="44"/>
        </w:rPr>
        <w:t>型</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27"/>
        <w:rPr>
          <w:rFonts w:hint="default" w:ascii="Times New Roman" w:hAnsi="Times New Roman" w:cs="Times New Roman"/>
          <w:color w:val="auto"/>
        </w:rPr>
      </w:pPr>
      <w:bookmarkStart w:id="565" w:name="_Hlk80885282"/>
    </w:p>
    <w:p>
      <w:pPr>
        <w:pStyle w:val="27"/>
        <w:widowControl w:val="0"/>
        <w:wordWrap/>
        <w:adjustRightInd/>
        <w:snapToGrid/>
        <w:textAlignment w:val="auto"/>
        <w:outlineLvl w:val="9"/>
        <w:rPr>
          <w:rFonts w:hint="default"/>
        </w:rPr>
      </w:pPr>
      <w:r>
        <w:rPr>
          <w:rFonts w:hint="default"/>
        </w:rPr>
        <w:t>围绕落实碳达峰</w:t>
      </w:r>
      <w:r>
        <w:rPr>
          <w:rFonts w:hint="eastAsia"/>
          <w:lang w:eastAsia="zh-CN"/>
        </w:rPr>
        <w:t>、</w:t>
      </w:r>
      <w:r>
        <w:rPr>
          <w:rFonts w:hint="default"/>
        </w:rPr>
        <w:t>碳中和的</w:t>
      </w:r>
      <w:r>
        <w:rPr>
          <w:rFonts w:hint="eastAsia"/>
          <w:lang w:eastAsia="zh-CN"/>
        </w:rPr>
        <w:t>重大</w:t>
      </w:r>
      <w:r>
        <w:rPr>
          <w:rFonts w:hint="default"/>
        </w:rPr>
        <w:t>战略部署，开展碳排放达峰行动，构建碳排放和大气污染物协同防控体系，推动经济社会绿色低碳转型和生态环境质量协同改善，实现减污降碳协同增效，显著增强应对和适应气候变化能力。</w:t>
      </w:r>
      <w:bookmarkEnd w:id="565"/>
    </w:p>
    <w:p>
      <w:pPr>
        <w:pStyle w:val="4"/>
        <w:keepNext/>
        <w:keepLines/>
        <w:widowControl w:val="0"/>
        <w:numPr>
          <w:ilvl w:val="0"/>
          <w:numId w:val="6"/>
        </w:numPr>
        <w:wordWrap/>
        <w:adjustRightInd w:val="0"/>
        <w:snapToGrid w:val="0"/>
        <w:spacing w:beforeLines="50" w:afterLines="50"/>
        <w:textAlignment w:val="auto"/>
        <w:outlineLvl w:val="1"/>
        <w:rPr>
          <w:rFonts w:hint="eastAsia" w:ascii="黑体" w:hAnsi="黑体" w:eastAsia="黑体" w:cs="黑体"/>
          <w:b w:val="0"/>
          <w:bCs w:val="0"/>
        </w:rPr>
      </w:pPr>
      <w:bookmarkStart w:id="566" w:name="_Toc4787"/>
      <w:bookmarkStart w:id="567" w:name="_Toc17482"/>
      <w:bookmarkStart w:id="568" w:name="_Toc5199"/>
      <w:bookmarkStart w:id="569" w:name="_Toc30786"/>
      <w:bookmarkStart w:id="570" w:name="_Toc22674"/>
      <w:bookmarkStart w:id="571" w:name="_Toc31358"/>
      <w:bookmarkStart w:id="572" w:name="_Toc2752"/>
      <w:bookmarkStart w:id="573" w:name="_Toc14628"/>
      <w:bookmarkStart w:id="574" w:name="_Toc31286"/>
      <w:bookmarkStart w:id="575" w:name="_Toc24358"/>
      <w:bookmarkStart w:id="576" w:name="_Toc15527"/>
      <w:bookmarkStart w:id="577" w:name="_Toc31349"/>
      <w:bookmarkStart w:id="578" w:name="_Toc27988"/>
      <w:bookmarkStart w:id="579" w:name="_Toc32384"/>
      <w:bookmarkStart w:id="580" w:name="_Toc2174"/>
      <w:bookmarkStart w:id="581" w:name="_Toc12586"/>
      <w:bookmarkStart w:id="582" w:name="_Toc16007"/>
      <w:bookmarkStart w:id="583" w:name="_Toc8802"/>
      <w:bookmarkStart w:id="584" w:name="_Toc12536"/>
      <w:bookmarkStart w:id="585" w:name="_Toc2676"/>
      <w:bookmarkStart w:id="586" w:name="_Toc21749"/>
      <w:bookmarkStart w:id="587" w:name="_Toc18804"/>
      <w:bookmarkStart w:id="588" w:name="_Toc30627"/>
      <w:bookmarkStart w:id="589" w:name="_Toc61001230"/>
      <w:bookmarkStart w:id="590" w:name="_Toc16645"/>
      <w:r>
        <w:rPr>
          <w:rFonts w:hint="eastAsia" w:ascii="黑体" w:hAnsi="黑体" w:eastAsia="黑体" w:cs="黑体"/>
          <w:b w:val="0"/>
          <w:bCs w:val="0"/>
        </w:rPr>
        <w:t>加快实施碳排放达峰行</w:t>
      </w:r>
      <w:bookmarkEnd w:id="566"/>
      <w:r>
        <w:rPr>
          <w:rFonts w:hint="eastAsia" w:ascii="黑体" w:hAnsi="黑体" w:eastAsia="黑体" w:cs="黑体"/>
          <w:b w:val="0"/>
          <w:bCs w:val="0"/>
        </w:rPr>
        <w:t>动</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pStyle w:val="27"/>
        <w:rPr>
          <w:rFonts w:hint="default"/>
        </w:rPr>
      </w:pPr>
      <w:bookmarkStart w:id="591" w:name="_Toc21459"/>
      <w:bookmarkStart w:id="592" w:name="_Toc1884"/>
      <w:bookmarkStart w:id="593" w:name="_Toc1917"/>
      <w:bookmarkStart w:id="594" w:name="_Toc23095"/>
      <w:bookmarkStart w:id="595" w:name="_Toc12032"/>
      <w:bookmarkStart w:id="596" w:name="_Toc28133"/>
      <w:r>
        <w:rPr>
          <w:rFonts w:hint="default"/>
        </w:rPr>
        <w:t>聚焦</w:t>
      </w:r>
      <w:r>
        <w:rPr>
          <w:rFonts w:hint="eastAsia"/>
          <w:lang w:eastAsia="zh-CN"/>
        </w:rPr>
        <w:t>“</w:t>
      </w:r>
      <w:r>
        <w:rPr>
          <w:rFonts w:hint="default"/>
        </w:rPr>
        <w:t>双碳</w:t>
      </w:r>
      <w:r>
        <w:rPr>
          <w:rFonts w:hint="eastAsia"/>
          <w:lang w:eastAsia="zh-CN"/>
        </w:rPr>
        <w:t>”</w:t>
      </w:r>
      <w:r>
        <w:rPr>
          <w:rFonts w:hint="default"/>
        </w:rPr>
        <w:t>目标，推动产业结构、能源结构、交通运输结构加快调整，加快实施碳排放达峰行动。</w:t>
      </w:r>
    </w:p>
    <w:p>
      <w:pPr>
        <w:pStyle w:val="5"/>
        <w:spacing w:before="0" w:after="0"/>
        <w:ind w:firstLine="640" w:firstLineChars="200"/>
        <w:rPr>
          <w:rFonts w:hint="eastAsia" w:ascii="黑体" w:hAnsi="黑体" w:eastAsia="黑体" w:cs="黑体"/>
          <w:b w:val="0"/>
          <w:bCs w:val="0"/>
          <w:color w:val="auto"/>
        </w:rPr>
      </w:pPr>
      <w:bookmarkStart w:id="597" w:name="_Toc13415"/>
      <w:bookmarkStart w:id="598" w:name="_Toc32529"/>
      <w:bookmarkStart w:id="599" w:name="_Toc6237"/>
      <w:bookmarkStart w:id="600" w:name="_Toc3270"/>
      <w:bookmarkStart w:id="601" w:name="_Toc14562"/>
      <w:bookmarkStart w:id="602" w:name="_Toc22721"/>
      <w:bookmarkStart w:id="603" w:name="_Toc1388"/>
      <w:bookmarkStart w:id="604" w:name="_Toc11924"/>
      <w:bookmarkStart w:id="605" w:name="_Toc13021"/>
      <w:r>
        <w:rPr>
          <w:rFonts w:hint="eastAsia" w:ascii="黑体" w:hAnsi="黑体" w:eastAsia="黑体" w:cs="黑体"/>
          <w:b w:val="0"/>
          <w:bCs w:val="0"/>
          <w:color w:val="auto"/>
        </w:rPr>
        <w:t>一、开展碳排放达峰行动</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pPr>
        <w:pStyle w:val="27"/>
        <w:widowControl w:val="0"/>
        <w:wordWrap/>
        <w:adjustRightInd/>
        <w:snapToGrid/>
        <w:ind w:firstLine="640" w:firstLineChars="200"/>
        <w:textAlignment w:val="auto"/>
        <w:outlineLvl w:val="9"/>
        <w:rPr>
          <w:rFonts w:hint="default"/>
        </w:rPr>
      </w:pPr>
      <w:r>
        <w:rPr>
          <w:rFonts w:hint="default"/>
        </w:rPr>
        <w:t>建立低碳发展行动路线图，编制碳排放达峰行动方案。大力推广林业碳普惠，提升生态系统碳汇能力。加强温室气体和大气污染物协同控制，构建涵盖政策规划、技术标准、数据统计及考核机制的协同控制体系。提升节能减排力度，强化工业领域碳排放控制，着力加快调整产业结构、能源结构、交通运输结构和农业投入结构，推动钢铁、建材、有色、化工、电力等重点行业提出明确的达峰目标并制定达峰行动方案。发展绿色低碳智慧交通，大力推广节能及新能源汽车，扩大可再生能源建筑应用规模。控制农业生产活动温室气体排放，开展低碳农业试点示范，大力增加森林碳汇，全面推进森林碳汇、生态景观林带、森林进城围城、乡村绿化美化林业等重点生态工程建设。</w:t>
      </w:r>
    </w:p>
    <w:p>
      <w:pPr>
        <w:pStyle w:val="5"/>
        <w:spacing w:before="0" w:after="0"/>
        <w:ind w:firstLine="640" w:firstLineChars="200"/>
        <w:rPr>
          <w:rFonts w:hint="default" w:ascii="黑体" w:hAnsi="黑体" w:eastAsia="黑体" w:cs="黑体"/>
          <w:b w:val="0"/>
          <w:bCs w:val="0"/>
          <w:color w:val="auto"/>
        </w:rPr>
      </w:pPr>
      <w:bookmarkStart w:id="606" w:name="_Toc23916"/>
      <w:bookmarkStart w:id="607" w:name="_Toc8771"/>
      <w:bookmarkStart w:id="608" w:name="_Toc13925"/>
      <w:bookmarkStart w:id="609" w:name="_Toc32176"/>
      <w:bookmarkStart w:id="610" w:name="_Toc23893"/>
      <w:bookmarkStart w:id="611" w:name="_Toc7290"/>
      <w:bookmarkStart w:id="612" w:name="_Toc23462"/>
      <w:bookmarkStart w:id="613" w:name="_Toc26911"/>
      <w:bookmarkStart w:id="614" w:name="_Toc23164"/>
      <w:bookmarkStart w:id="615" w:name="_Toc3998"/>
      <w:r>
        <w:rPr>
          <w:rFonts w:hint="default" w:ascii="黑体" w:hAnsi="黑体" w:eastAsia="黑体" w:cs="黑体"/>
          <w:b w:val="0"/>
          <w:bCs w:val="0"/>
          <w:color w:val="auto"/>
        </w:rPr>
        <w:t>二、全面推进产业结构调整</w:t>
      </w:r>
      <w:bookmarkEnd w:id="606"/>
      <w:bookmarkEnd w:id="607"/>
      <w:bookmarkEnd w:id="608"/>
      <w:bookmarkEnd w:id="609"/>
      <w:bookmarkEnd w:id="610"/>
      <w:bookmarkEnd w:id="611"/>
      <w:bookmarkEnd w:id="612"/>
      <w:bookmarkEnd w:id="613"/>
      <w:bookmarkEnd w:id="614"/>
      <w:bookmarkEnd w:id="615"/>
    </w:p>
    <w:p>
      <w:pPr>
        <w:pStyle w:val="27"/>
        <w:widowControl w:val="0"/>
        <w:wordWrap/>
        <w:adjustRightInd/>
        <w:snapToGrid/>
        <w:textAlignment w:val="auto"/>
        <w:outlineLvl w:val="9"/>
        <w:rPr>
          <w:rFonts w:hint="default"/>
        </w:rPr>
      </w:pPr>
      <w:r>
        <w:rPr>
          <w:rFonts w:hint="default"/>
        </w:rPr>
        <w:t>重点打造先进材料、先进装备制造、现代轻工业三大战略性支柱产业集群，培育发展电子信息制造、生物医药与健康、大数据及软件信息服务三大战略性新兴产业</w:t>
      </w:r>
      <w:r>
        <w:rPr>
          <w:rFonts w:hint="eastAsia"/>
          <w:lang w:eastAsia="zh-CN"/>
        </w:rPr>
        <w:t>。</w:t>
      </w:r>
      <w:r>
        <w:rPr>
          <w:rFonts w:hint="default"/>
        </w:rPr>
        <w:t>引导绿色钢铁、有色金属、建筑材料等先进材料产业集群向集群化、高端化、智能化、绿色化、品牌化转型发展，推进韶钢、韶冶等</w:t>
      </w:r>
      <w:r>
        <w:rPr>
          <w:rFonts w:hint="eastAsia"/>
          <w:lang w:eastAsia="zh-CN"/>
        </w:rPr>
        <w:t>“</w:t>
      </w:r>
      <w:r>
        <w:rPr>
          <w:rFonts w:hint="default"/>
        </w:rPr>
        <w:t>厂区变园区、产区变城区</w:t>
      </w:r>
      <w:r>
        <w:rPr>
          <w:rFonts w:hint="eastAsia"/>
          <w:lang w:eastAsia="zh-CN"/>
        </w:rPr>
        <w:t>”</w:t>
      </w:r>
      <w:r>
        <w:rPr>
          <w:rFonts w:hint="default"/>
        </w:rPr>
        <w:t>工作，实现产城融合，加快绿色化改造、智能化升级，打造国家产业转型升级示范区。着力推新型工业化</w:t>
      </w:r>
      <w:r>
        <w:rPr>
          <w:rFonts w:hint="eastAsia"/>
          <w:lang w:eastAsia="zh-CN"/>
        </w:rPr>
        <w:t>和</w:t>
      </w:r>
      <w:r>
        <w:rPr>
          <w:rFonts w:hint="default"/>
        </w:rPr>
        <w:t>进新型城镇化，积极促进农业现代化，努力实现资源资产价值化。严把高耗能高排放建设项目准入关口，坚决遏制</w:t>
      </w:r>
      <w:r>
        <w:rPr>
          <w:rFonts w:hint="eastAsia"/>
          <w:lang w:eastAsia="zh-CN"/>
        </w:rPr>
        <w:t>“</w:t>
      </w:r>
      <w:r>
        <w:rPr>
          <w:rFonts w:hint="default"/>
        </w:rPr>
        <w:t>两</w:t>
      </w:r>
      <w:r>
        <w:rPr>
          <w:rFonts w:hint="default"/>
          <w:lang w:eastAsia="zh-CN"/>
        </w:rPr>
        <w:t>高</w:t>
      </w:r>
      <w:r>
        <w:rPr>
          <w:rFonts w:hint="eastAsia"/>
          <w:lang w:eastAsia="zh-CN"/>
        </w:rPr>
        <w:t>”</w:t>
      </w:r>
      <w:r>
        <w:rPr>
          <w:rFonts w:hint="default"/>
          <w:lang w:eastAsia="zh-CN"/>
        </w:rPr>
        <w:t>项目盲目发展，加大落后产能淘汰和过剩产能压减力度。</w:t>
      </w:r>
      <w:r>
        <w:rPr>
          <w:rFonts w:hint="default"/>
        </w:rPr>
        <w:t>严格控制水源保护敏感区域高耗水、高污染行业发展。定期对已清理整治</w:t>
      </w:r>
      <w:r>
        <w:rPr>
          <w:rFonts w:hint="eastAsia"/>
          <w:lang w:eastAsia="zh-CN"/>
        </w:rPr>
        <w:t>“</w:t>
      </w:r>
      <w:r>
        <w:rPr>
          <w:rFonts w:hint="default"/>
        </w:rPr>
        <w:t>散乱污</w:t>
      </w:r>
      <w:r>
        <w:rPr>
          <w:rFonts w:hint="eastAsia"/>
          <w:lang w:eastAsia="zh-CN"/>
        </w:rPr>
        <w:t>”</w:t>
      </w:r>
      <w:r>
        <w:rPr>
          <w:rFonts w:hint="default"/>
        </w:rPr>
        <w:t>工业企业开展</w:t>
      </w:r>
      <w:r>
        <w:rPr>
          <w:rFonts w:hint="eastAsia"/>
          <w:lang w:eastAsia="zh-CN"/>
        </w:rPr>
        <w:t>“</w:t>
      </w:r>
      <w:r>
        <w:rPr>
          <w:rFonts w:hint="default"/>
        </w:rPr>
        <w:t>回头看</w:t>
      </w:r>
      <w:r>
        <w:rPr>
          <w:rFonts w:hint="eastAsia"/>
          <w:lang w:eastAsia="zh-CN"/>
        </w:rPr>
        <w:t>”</w:t>
      </w:r>
      <w:r>
        <w:rPr>
          <w:rFonts w:hint="default"/>
        </w:rPr>
        <w:t>，健全</w:t>
      </w:r>
      <w:r>
        <w:rPr>
          <w:rFonts w:hint="eastAsia"/>
          <w:lang w:eastAsia="zh-CN"/>
        </w:rPr>
        <w:t>“</w:t>
      </w:r>
      <w:r>
        <w:rPr>
          <w:rFonts w:hint="default"/>
        </w:rPr>
        <w:t>消灭存量、控制增量、优化质量</w:t>
      </w:r>
      <w:r>
        <w:rPr>
          <w:rFonts w:hint="eastAsia"/>
          <w:lang w:eastAsia="zh-CN"/>
        </w:rPr>
        <w:t>”</w:t>
      </w:r>
      <w:r>
        <w:rPr>
          <w:rFonts w:hint="default"/>
        </w:rPr>
        <w:t>的长效监管机制。</w:t>
      </w:r>
    </w:p>
    <w:p>
      <w:pPr>
        <w:pStyle w:val="5"/>
        <w:spacing w:before="0" w:after="0"/>
        <w:ind w:firstLine="640" w:firstLineChars="200"/>
        <w:rPr>
          <w:rFonts w:hint="default" w:ascii="黑体" w:hAnsi="黑体" w:eastAsia="黑体" w:cs="黑体"/>
          <w:b w:val="0"/>
          <w:bCs w:val="0"/>
          <w:color w:val="auto"/>
        </w:rPr>
      </w:pPr>
      <w:bookmarkStart w:id="616" w:name="_Toc5674"/>
      <w:bookmarkStart w:id="617" w:name="_Toc2910"/>
      <w:bookmarkStart w:id="618" w:name="_Toc15313"/>
      <w:bookmarkStart w:id="619" w:name="_Toc6296"/>
      <w:bookmarkStart w:id="620" w:name="_Toc8282"/>
      <w:bookmarkStart w:id="621" w:name="_Toc16867"/>
      <w:bookmarkStart w:id="622" w:name="_Toc4883"/>
      <w:bookmarkStart w:id="623" w:name="_Toc7767"/>
      <w:bookmarkStart w:id="624" w:name="_Toc3788"/>
      <w:bookmarkStart w:id="625" w:name="_Toc2985"/>
      <w:r>
        <w:rPr>
          <w:rFonts w:hint="default" w:ascii="黑体" w:hAnsi="黑体" w:eastAsia="黑体" w:cs="黑体"/>
          <w:b w:val="0"/>
          <w:bCs w:val="0"/>
          <w:color w:val="auto"/>
        </w:rPr>
        <w:t>三、加快能源结构调整优化</w:t>
      </w:r>
      <w:bookmarkEnd w:id="616"/>
      <w:bookmarkEnd w:id="617"/>
      <w:bookmarkEnd w:id="618"/>
      <w:bookmarkEnd w:id="619"/>
      <w:bookmarkEnd w:id="620"/>
      <w:bookmarkEnd w:id="621"/>
      <w:bookmarkEnd w:id="622"/>
      <w:bookmarkEnd w:id="623"/>
      <w:bookmarkEnd w:id="624"/>
      <w:bookmarkEnd w:id="625"/>
    </w:p>
    <w:p>
      <w:pPr>
        <w:pStyle w:val="27"/>
        <w:widowControl w:val="0"/>
        <w:wordWrap/>
        <w:adjustRightInd/>
        <w:snapToGrid/>
        <w:textAlignment w:val="auto"/>
        <w:outlineLvl w:val="9"/>
        <w:rPr>
          <w:rFonts w:hint="default" w:ascii="Times New Roman" w:hAnsi="Times New Roman" w:eastAsia="仿宋_GB2312" w:cs="Times New Roman"/>
          <w:color w:val="auto"/>
        </w:rPr>
      </w:pPr>
      <w:r>
        <w:rPr>
          <w:rFonts w:hint="default"/>
        </w:rPr>
        <w:t>实行能源消费总量和强度</w:t>
      </w:r>
      <w:r>
        <w:rPr>
          <w:rFonts w:hint="eastAsia"/>
          <w:lang w:eastAsia="zh-CN"/>
        </w:rPr>
        <w:t>“</w:t>
      </w:r>
      <w:r>
        <w:rPr>
          <w:rFonts w:hint="default"/>
        </w:rPr>
        <w:t>双控</w:t>
      </w:r>
      <w:r>
        <w:rPr>
          <w:rFonts w:hint="eastAsia"/>
          <w:lang w:eastAsia="zh-CN"/>
        </w:rPr>
        <w:t>”</w:t>
      </w:r>
      <w:r>
        <w:rPr>
          <w:rFonts w:hint="default"/>
        </w:rPr>
        <w:t>，开展全市煤炭消费减量管理，严格控制煤炭消费总量，进一步优化调整能源结构。</w:t>
      </w:r>
      <w:r>
        <w:rPr>
          <w:rFonts w:hint="default"/>
          <w:lang w:eastAsia="zh-CN"/>
        </w:rPr>
        <w:t>推进</w:t>
      </w:r>
      <w:r>
        <w:rPr>
          <w:rFonts w:hint="default"/>
        </w:rPr>
        <w:t>服役满期</w:t>
      </w:r>
      <w:r>
        <w:rPr>
          <w:rFonts w:hint="default"/>
          <w:lang w:eastAsia="zh-CN"/>
        </w:rPr>
        <w:t>及</w:t>
      </w:r>
      <w:r>
        <w:rPr>
          <w:rFonts w:hint="default"/>
        </w:rPr>
        <w:t>老旧</w:t>
      </w:r>
      <w:r>
        <w:rPr>
          <w:rFonts w:hint="default"/>
          <w:lang w:eastAsia="zh-CN"/>
        </w:rPr>
        <w:t>落后燃</w:t>
      </w:r>
      <w:r>
        <w:rPr>
          <w:rFonts w:hint="default"/>
        </w:rPr>
        <w:t>煤</w:t>
      </w:r>
      <w:r>
        <w:rPr>
          <w:rFonts w:hint="eastAsia"/>
          <w:lang w:eastAsia="zh-CN"/>
        </w:rPr>
        <w:t>发</w:t>
      </w:r>
      <w:r>
        <w:rPr>
          <w:rFonts w:hint="default"/>
        </w:rPr>
        <w:t>电机组有序</w:t>
      </w:r>
      <w:r>
        <w:rPr>
          <w:rFonts w:hint="default"/>
          <w:lang w:eastAsia="zh-CN"/>
        </w:rPr>
        <w:t>退出</w:t>
      </w:r>
      <w:r>
        <w:rPr>
          <w:rFonts w:hint="default"/>
        </w:rPr>
        <w:t>，逐步降低煤电占比。发展以光伏全产业链为龙头的风、光、氢等多元化可再生清洁能源产业，提高可再生能源发电装机占比，推动电力源网荷储一体化和多能互补。抓好电力、医药、建材、冶炼、数据中心等重点耗能行业的节能降耗工作，推动单位GDP能源消耗、单位GDP二氧化碳排放持续下降。加快建设完善天然气管网，积极从气源供应、管输、降低天然气价格等环节，促进用热企业向园区集聚，供热需求工业园区天然气实现全覆盖。</w:t>
      </w:r>
    </w:p>
    <w:p>
      <w:pPr>
        <w:pStyle w:val="5"/>
        <w:spacing w:before="0" w:after="0"/>
        <w:ind w:firstLine="640" w:firstLineChars="200"/>
        <w:rPr>
          <w:rFonts w:hint="default" w:ascii="黑体" w:hAnsi="黑体" w:eastAsia="黑体" w:cs="黑体"/>
          <w:b w:val="0"/>
          <w:bCs w:val="0"/>
          <w:color w:val="auto"/>
        </w:rPr>
      </w:pPr>
      <w:bookmarkStart w:id="626" w:name="_Toc18615"/>
      <w:bookmarkStart w:id="627" w:name="_Toc16333"/>
      <w:bookmarkStart w:id="628" w:name="_Toc18008"/>
      <w:bookmarkStart w:id="629" w:name="_Toc10213"/>
      <w:bookmarkStart w:id="630" w:name="_Toc7445"/>
      <w:bookmarkStart w:id="631" w:name="_Toc14101"/>
      <w:bookmarkStart w:id="632" w:name="_Toc19387"/>
      <w:bookmarkStart w:id="633" w:name="_Toc14295"/>
      <w:bookmarkStart w:id="634" w:name="_Toc6048"/>
      <w:bookmarkStart w:id="635" w:name="_Toc16742"/>
      <w:r>
        <w:rPr>
          <w:rFonts w:hint="default" w:ascii="黑体" w:hAnsi="黑体" w:eastAsia="黑体" w:cs="黑体"/>
          <w:b w:val="0"/>
          <w:bCs w:val="0"/>
          <w:color w:val="auto"/>
          <w:lang w:eastAsia="zh-CN"/>
        </w:rPr>
        <w:t>四</w:t>
      </w:r>
      <w:r>
        <w:rPr>
          <w:rFonts w:hint="default" w:ascii="黑体" w:hAnsi="黑体" w:eastAsia="黑体" w:cs="黑体"/>
          <w:b w:val="0"/>
          <w:bCs w:val="0"/>
          <w:color w:val="auto"/>
        </w:rPr>
        <w:t>、优化调整交通运输结构</w:t>
      </w:r>
      <w:bookmarkEnd w:id="626"/>
      <w:bookmarkEnd w:id="627"/>
      <w:bookmarkEnd w:id="628"/>
      <w:bookmarkEnd w:id="629"/>
      <w:bookmarkEnd w:id="630"/>
      <w:bookmarkEnd w:id="631"/>
      <w:bookmarkEnd w:id="632"/>
      <w:bookmarkEnd w:id="633"/>
      <w:bookmarkEnd w:id="634"/>
      <w:bookmarkEnd w:id="635"/>
    </w:p>
    <w:p>
      <w:pPr>
        <w:pStyle w:val="27"/>
        <w:widowControl w:val="0"/>
        <w:wordWrap/>
        <w:adjustRightInd/>
        <w:snapToGrid/>
        <w:ind w:firstLine="64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推动中长距离大宗货物和集装箱由公路运输转向铁路、水路运输，大力发展</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公转铁、公转水</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铁水联运、多式联运等。深入推进煤炭、焦炭、矿石、钢铁、粮食等重点战略物资及中长距离货物铁路运输，引导中长距离货物运输向公铁和陆空等联运方式转变。加快建成乌石港、白土港、韶关新港项目，引导北江及上延干线沿岸大宗货物运输宜水则水，推进水运业务发展，到2025年，全市铁路货运量比2020年增长20%以上</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水路货运量保持增长趋势。持续优化城市公交线网结构，引导以公共交通为导向的城市</w:t>
      </w:r>
      <w:r>
        <w:rPr>
          <w:rFonts w:hint="eastAsia" w:ascii="仿宋_GB2312" w:hAnsi="仿宋_GB2312" w:eastAsia="仿宋_GB2312" w:cs="仿宋_GB2312"/>
          <w:color w:val="auto"/>
          <w:lang w:eastAsia="zh-CN"/>
        </w:rPr>
        <w:t>交通</w:t>
      </w:r>
      <w:r>
        <w:rPr>
          <w:rFonts w:hint="eastAsia" w:ascii="仿宋_GB2312" w:hAnsi="仿宋_GB2312" w:eastAsia="仿宋_GB2312" w:cs="仿宋_GB2312"/>
          <w:color w:val="auto"/>
        </w:rPr>
        <w:t>模式。积极推进公路、水路等交通运输燃料清洁化。加大新能源和清洁能源在城市公共交通和客货运输领域的应用，加快充电桩、加氢站建设，到</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十四五</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末，新能源汽车新车销量占比</w:t>
      </w:r>
      <w:r>
        <w:rPr>
          <w:rFonts w:hint="eastAsia" w:ascii="仿宋_GB2312" w:hAnsi="仿宋_GB2312" w:eastAsia="仿宋_GB2312" w:cs="仿宋_GB2312"/>
          <w:color w:val="auto"/>
          <w:lang w:val="en-US" w:eastAsia="zh-CN"/>
        </w:rPr>
        <w:t>力争</w:t>
      </w:r>
      <w:r>
        <w:rPr>
          <w:rFonts w:hint="eastAsia" w:ascii="仿宋_GB2312" w:hAnsi="仿宋_GB2312" w:eastAsia="仿宋_GB2312" w:cs="仿宋_GB2312"/>
          <w:color w:val="auto"/>
        </w:rPr>
        <w:t>达到20%，实现城市短途客运、城市公交、出租车100%更换为清洁、环保的新能源车。推广内河LNG、电力等清洁能源应用，积极推进内河船舶受电设施改造和靠港使用岸电，有序推进船舶与港口应用LNG工作，逐步扩大LNG燃料、电能、氢能等新能源在水运行业的应用范围，将北江航道打造成绿色智能航道。加快淘汰高污染、高耗能的客船和老旧运输船舶。</w:t>
      </w:r>
    </w:p>
    <w:p>
      <w:pPr>
        <w:pStyle w:val="5"/>
        <w:spacing w:before="0" w:after="0"/>
        <w:ind w:firstLine="640" w:firstLineChars="200"/>
        <w:rPr>
          <w:rFonts w:hint="default" w:ascii="黑体" w:hAnsi="黑体" w:eastAsia="黑体" w:cs="黑体"/>
          <w:b w:val="0"/>
          <w:bCs w:val="0"/>
          <w:color w:val="auto"/>
        </w:rPr>
      </w:pPr>
      <w:bookmarkStart w:id="636" w:name="_Toc1986"/>
      <w:bookmarkStart w:id="637" w:name="_Toc4669"/>
      <w:bookmarkStart w:id="638" w:name="_Toc27440"/>
      <w:bookmarkStart w:id="639" w:name="_Toc16143"/>
      <w:bookmarkStart w:id="640" w:name="_Toc17038"/>
      <w:bookmarkStart w:id="641" w:name="_Toc7461"/>
      <w:bookmarkStart w:id="642" w:name="_Toc13426"/>
      <w:bookmarkStart w:id="643" w:name="_Toc15899"/>
      <w:r>
        <w:rPr>
          <w:rFonts w:hint="eastAsia" w:ascii="黑体" w:hAnsi="黑体" w:eastAsia="黑体" w:cs="黑体"/>
          <w:b w:val="0"/>
          <w:bCs w:val="0"/>
          <w:color w:val="auto"/>
          <w:lang w:val="en-US" w:eastAsia="zh-CN"/>
        </w:rPr>
        <w:t>五</w:t>
      </w:r>
      <w:r>
        <w:rPr>
          <w:rFonts w:hint="default" w:ascii="黑体" w:hAnsi="黑体" w:eastAsia="黑体" w:cs="黑体"/>
          <w:b w:val="0"/>
          <w:bCs w:val="0"/>
          <w:color w:val="auto"/>
        </w:rPr>
        <w:t>、全面推广绿色低碳建筑</w:t>
      </w:r>
      <w:bookmarkEnd w:id="636"/>
      <w:bookmarkEnd w:id="637"/>
      <w:bookmarkEnd w:id="638"/>
      <w:bookmarkEnd w:id="639"/>
      <w:bookmarkEnd w:id="640"/>
      <w:bookmarkEnd w:id="641"/>
      <w:bookmarkEnd w:id="642"/>
      <w:bookmarkEnd w:id="643"/>
    </w:p>
    <w:p>
      <w:pPr>
        <w:pStyle w:val="27"/>
        <w:widowControl w:val="0"/>
        <w:wordWrap/>
        <w:adjustRightInd/>
        <w:snapToGrid/>
        <w:ind w:firstLine="640" w:firstLineChars="200"/>
        <w:textAlignment w:val="auto"/>
        <w:outlineLvl w:val="9"/>
        <w:rPr>
          <w:rFonts w:hint="eastAsia" w:ascii="仿宋_GB2312" w:hAnsi="仿宋_GB2312" w:eastAsia="仿宋_GB2312" w:cs="仿宋_GB2312"/>
          <w:color w:val="auto"/>
        </w:rPr>
      </w:pPr>
      <w:r>
        <w:rPr>
          <w:rFonts w:hint="default" w:ascii="Times New Roman" w:hAnsi="Times New Roman" w:cs="Times New Roman"/>
          <w:color w:val="auto"/>
        </w:rPr>
        <w:t>开展绿色建筑量质齐升工作，加强绿色建筑质量跟踪管理，因地制宜推进</w:t>
      </w:r>
      <w:r>
        <w:rPr>
          <w:rFonts w:hint="eastAsia" w:cs="Times New Roman"/>
          <w:color w:val="auto"/>
          <w:lang w:eastAsia="zh-CN"/>
        </w:rPr>
        <w:t>“</w:t>
      </w:r>
      <w:r>
        <w:rPr>
          <w:rFonts w:hint="default" w:ascii="Times New Roman" w:hAnsi="Times New Roman" w:cs="Times New Roman"/>
          <w:color w:val="auto"/>
        </w:rPr>
        <w:t>城市限粘、县城禁实、农村推新</w:t>
      </w:r>
      <w:r>
        <w:rPr>
          <w:rFonts w:hint="eastAsia" w:cs="Times New Roman"/>
          <w:color w:val="auto"/>
          <w:lang w:eastAsia="zh-CN"/>
        </w:rPr>
        <w:t>”</w:t>
      </w:r>
      <w:r>
        <w:rPr>
          <w:rFonts w:hint="default" w:ascii="Times New Roman" w:hAnsi="Times New Roman" w:cs="Times New Roman"/>
          <w:color w:val="auto"/>
        </w:rPr>
        <w:t>，发展绿色新型墙材，大力推广应用绿色建材，加快推进绿色建材产品标准、认证、标识工作，鼓励符合条件的企业申报绿色建材产品标识认证。大力</w:t>
      </w:r>
      <w:r>
        <w:rPr>
          <w:rFonts w:hint="eastAsia" w:ascii="仿宋_GB2312" w:hAnsi="仿宋_GB2312" w:eastAsia="仿宋_GB2312" w:cs="仿宋_GB2312"/>
          <w:color w:val="auto"/>
        </w:rPr>
        <w:t>发展装配式建筑，引进装配式部品部件生产企业，积极推进部品部件生产示范基地的建设；支持可再生能源资源丰富、工作基础扎实的地区，实施可再生能源建筑应用集中连片推广。加快推进建筑节能、绿色建筑、散装水泥和新型墙材推广应用工作。结合城镇老旧小区改造工作，推动既有居住建筑节能节水改造。到2025年，城镇新建绿色建筑比例达到100%。</w:t>
      </w:r>
      <w:bookmarkStart w:id="644" w:name="_Toc29596"/>
      <w:bookmarkStart w:id="645" w:name="_Toc21547"/>
      <w:bookmarkStart w:id="646" w:name="_Toc5430"/>
      <w:bookmarkStart w:id="647" w:name="_Toc5646"/>
    </w:p>
    <w:bookmarkEnd w:id="644"/>
    <w:bookmarkEnd w:id="645"/>
    <w:bookmarkEnd w:id="646"/>
    <w:bookmarkEnd w:id="647"/>
    <w:p>
      <w:pPr>
        <w:pStyle w:val="4"/>
        <w:keepNext/>
        <w:keepLines/>
        <w:widowControl w:val="0"/>
        <w:wordWrap/>
        <w:adjustRightInd w:val="0"/>
        <w:snapToGrid w:val="0"/>
        <w:spacing w:beforeLines="50" w:afterLines="50" w:line="560" w:lineRule="exact"/>
        <w:jc w:val="center"/>
        <w:textAlignment w:val="auto"/>
        <w:outlineLvl w:val="1"/>
        <w:rPr>
          <w:rFonts w:hint="eastAsia" w:ascii="黑体" w:hAnsi="黑体" w:eastAsia="黑体" w:cs="黑体"/>
          <w:b w:val="0"/>
          <w:bCs w:val="0"/>
        </w:rPr>
      </w:pPr>
      <w:bookmarkStart w:id="648" w:name="_Toc9080"/>
      <w:bookmarkStart w:id="649" w:name="_Toc24533"/>
      <w:bookmarkStart w:id="650" w:name="_Toc24277"/>
      <w:bookmarkStart w:id="651" w:name="_Toc17850"/>
      <w:bookmarkStart w:id="652" w:name="_Toc28778"/>
      <w:bookmarkStart w:id="653" w:name="_Toc13284"/>
      <w:bookmarkStart w:id="654" w:name="_Toc61001231"/>
      <w:bookmarkStart w:id="655" w:name="_Toc24214"/>
      <w:bookmarkStart w:id="656" w:name="_Toc11940"/>
      <w:bookmarkStart w:id="657" w:name="_Toc26326"/>
      <w:bookmarkStart w:id="658" w:name="_Toc8314"/>
      <w:bookmarkStart w:id="659" w:name="_Toc19707"/>
      <w:bookmarkStart w:id="660" w:name="_Toc17955"/>
      <w:bookmarkStart w:id="661" w:name="_Toc14539"/>
      <w:bookmarkStart w:id="662" w:name="_Toc26070"/>
      <w:bookmarkStart w:id="663" w:name="_Toc22133"/>
      <w:bookmarkStart w:id="664" w:name="_Toc29101"/>
      <w:bookmarkStart w:id="665" w:name="_Toc5094"/>
      <w:bookmarkStart w:id="666" w:name="_Toc11790"/>
      <w:bookmarkStart w:id="667" w:name="_Toc28456"/>
      <w:bookmarkStart w:id="668" w:name="_Toc3278"/>
      <w:bookmarkStart w:id="669" w:name="_Toc11572"/>
      <w:bookmarkStart w:id="670" w:name="_Toc17576"/>
      <w:bookmarkStart w:id="671" w:name="_Toc25182"/>
      <w:bookmarkStart w:id="672" w:name="_Toc6668"/>
      <w:r>
        <w:rPr>
          <w:rFonts w:hint="eastAsia" w:ascii="黑体" w:hAnsi="黑体" w:eastAsia="黑体" w:cs="黑体"/>
          <w:b w:val="0"/>
          <w:bCs w:val="0"/>
        </w:rPr>
        <w:t>第二节</w:t>
      </w:r>
      <w:r>
        <w:rPr>
          <w:rFonts w:hint="eastAsia" w:ascii="黑体" w:hAnsi="黑体" w:eastAsia="黑体" w:cs="黑体"/>
          <w:b w:val="0"/>
          <w:bCs w:val="0"/>
          <w:lang w:eastAsia="zh-CN"/>
        </w:rPr>
        <w:t>　</w:t>
      </w:r>
      <w:r>
        <w:rPr>
          <w:rFonts w:hint="eastAsia" w:ascii="黑体" w:hAnsi="黑体" w:eastAsia="黑体" w:cs="黑体"/>
          <w:b w:val="0"/>
          <w:bCs w:val="0"/>
        </w:rPr>
        <w:t>深化低碳发展试点示</w:t>
      </w:r>
      <w:bookmarkEnd w:id="648"/>
      <w:r>
        <w:rPr>
          <w:rFonts w:hint="eastAsia" w:ascii="黑体" w:hAnsi="黑体" w:eastAsia="黑体" w:cs="黑体"/>
          <w:b w:val="0"/>
          <w:bCs w:val="0"/>
        </w:rPr>
        <w:t>范</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27"/>
        <w:rPr>
          <w:rFonts w:hint="default"/>
        </w:rPr>
      </w:pPr>
      <w:r>
        <w:rPr>
          <w:rFonts w:hint="default"/>
        </w:rPr>
        <w:t>依托广东碳中和研究院（韶关），为实现碳达峰、碳中和提供科学路径、技术支撑与政策建议，助推韶关成为广东碳中和重要的技术示范和产业应用基地，力争在广东省率先创建碳中和先行示范区。完善温室气体清单编制工作机制，定期编制韶关市温室气体排放清单，鼓励县区开展温室气体清单试点，逐步扩大县区级清单编制工作范围，完善温室气体相关统计和核算工作基础并探索推动部门间数据的互通互联。</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rPr>
      </w:pPr>
      <w:bookmarkStart w:id="673" w:name="_Toc14970"/>
      <w:bookmarkStart w:id="674" w:name="_Toc28312"/>
      <w:bookmarkStart w:id="675" w:name="_Toc27624"/>
      <w:bookmarkStart w:id="676" w:name="_Toc2061"/>
      <w:bookmarkStart w:id="677" w:name="_Toc27925"/>
      <w:bookmarkStart w:id="678" w:name="_Toc9098"/>
      <w:bookmarkStart w:id="679" w:name="_Toc12904"/>
      <w:bookmarkStart w:id="680" w:name="_Toc9515"/>
      <w:bookmarkStart w:id="681" w:name="_Toc1125"/>
      <w:bookmarkStart w:id="682" w:name="_Toc20615"/>
      <w:bookmarkStart w:id="683" w:name="_Toc7424"/>
      <w:bookmarkStart w:id="684" w:name="_Toc23900"/>
      <w:bookmarkStart w:id="685" w:name="_Toc21307"/>
      <w:bookmarkStart w:id="686" w:name="_Toc3685"/>
      <w:bookmarkStart w:id="687" w:name="_Toc31628"/>
      <w:bookmarkStart w:id="688" w:name="_Toc23444"/>
      <w:bookmarkStart w:id="689" w:name="_Toc6297"/>
      <w:bookmarkStart w:id="690" w:name="_Toc26335"/>
      <w:bookmarkStart w:id="691" w:name="_Toc27316"/>
      <w:bookmarkStart w:id="692" w:name="_Toc20566"/>
      <w:bookmarkStart w:id="693" w:name="_Toc2052"/>
      <w:bookmarkStart w:id="694" w:name="_Toc9718"/>
      <w:bookmarkStart w:id="695" w:name="_Toc61001232"/>
      <w:bookmarkStart w:id="696" w:name="_Toc28200"/>
      <w:bookmarkStart w:id="697" w:name="_Toc19300"/>
      <w:r>
        <w:rPr>
          <w:rFonts w:hint="default" w:ascii="黑体" w:hAnsi="黑体" w:eastAsia="黑体" w:cs="黑体"/>
          <w:b w:val="0"/>
          <w:bCs w:val="0"/>
        </w:rPr>
        <w:t>第三节</w:t>
      </w:r>
      <w:r>
        <w:rPr>
          <w:rFonts w:hint="eastAsia" w:ascii="黑体" w:hAnsi="黑体" w:eastAsia="黑体" w:cs="黑体"/>
          <w:b w:val="0"/>
          <w:bCs w:val="0"/>
          <w:lang w:eastAsia="zh-CN"/>
        </w:rPr>
        <w:t>　</w:t>
      </w:r>
      <w:r>
        <w:rPr>
          <w:rFonts w:hint="default" w:ascii="黑体" w:hAnsi="黑体" w:eastAsia="黑体" w:cs="黑体"/>
          <w:b w:val="0"/>
          <w:bCs w:val="0"/>
        </w:rPr>
        <w:t>大力强化绿色科技创</w:t>
      </w:r>
      <w:bookmarkEnd w:id="673"/>
      <w:r>
        <w:rPr>
          <w:rFonts w:hint="default" w:ascii="黑体" w:hAnsi="黑体" w:eastAsia="黑体" w:cs="黑体"/>
          <w:b w:val="0"/>
          <w:bCs w:val="0"/>
        </w:rPr>
        <w:t>新</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pPr>
        <w:pStyle w:val="27"/>
        <w:widowControl w:val="0"/>
        <w:wordWrap/>
        <w:adjustRightInd/>
        <w:snapToGrid/>
        <w:textAlignment w:val="auto"/>
        <w:outlineLvl w:val="9"/>
        <w:rPr>
          <w:rFonts w:hint="default" w:ascii="Times New Roman" w:hAnsi="Times New Roman" w:cs="Times New Roman"/>
          <w:color w:val="auto"/>
        </w:rPr>
      </w:pPr>
      <w:r>
        <w:rPr>
          <w:rFonts w:hint="default"/>
        </w:rPr>
        <w:t>将绿色低碳循环理念有机融入生产全过程，引导企业开展工业产品生态（绿色）设计，从源头减少废物产生和污染排放。鼓励推广循环经济模式，加快建立</w:t>
      </w:r>
      <w:r>
        <w:rPr>
          <w:rFonts w:hint="eastAsia"/>
          <w:lang w:eastAsia="zh-CN"/>
        </w:rPr>
        <w:t>“</w:t>
      </w:r>
      <w:r>
        <w:rPr>
          <w:rFonts w:hint="default"/>
        </w:rPr>
        <w:t>绿色、低碳、循环</w:t>
      </w:r>
      <w:r>
        <w:rPr>
          <w:rFonts w:hint="eastAsia"/>
          <w:lang w:eastAsia="zh-CN"/>
        </w:rPr>
        <w:t>”</w:t>
      </w:r>
      <w:r>
        <w:rPr>
          <w:rFonts w:hint="default"/>
        </w:rPr>
        <w:t>为特征的制造业体系，对传统产业进行绿色化、生态化改造，不断完善工业循环产业链。加快推动构建绿色制造体系，大力实施绿色产品、绿色工厂、绿色园区、绿色供应链创建，树立和扩大绿色品牌效应。瞄准国际同行业标杆，充分发挥环保标准、总量指标、排污许可等的引导和倒逼作用，积极引导企业采取清洁生产工艺，实施清洁生产、能效提升、循环利用等技术升级，提升绿色化水平。推进韶钢、韶冶绿色化改造、智能化升级。以创建国家绿色矿业示范区为引领，推进矿产资源精深加工和资源综合利用，将韶关打造成尾矿综合开发利用示范基地。</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rPr>
      </w:pPr>
      <w:bookmarkStart w:id="698" w:name="_Toc24946"/>
      <w:bookmarkStart w:id="699" w:name="_Toc17646"/>
      <w:bookmarkStart w:id="700" w:name="_Toc1595"/>
      <w:bookmarkStart w:id="701" w:name="_Toc15586"/>
      <w:bookmarkStart w:id="702" w:name="_Toc25837"/>
      <w:bookmarkStart w:id="703" w:name="_Toc17936"/>
      <w:bookmarkStart w:id="704" w:name="_Toc18182"/>
      <w:bookmarkStart w:id="705" w:name="_Toc31627"/>
      <w:bookmarkStart w:id="706" w:name="_Toc16009"/>
      <w:bookmarkStart w:id="707" w:name="_Toc30689"/>
      <w:bookmarkStart w:id="708" w:name="_Toc19105"/>
      <w:bookmarkStart w:id="709" w:name="_Toc29029"/>
      <w:bookmarkStart w:id="710" w:name="_Toc9500"/>
      <w:bookmarkStart w:id="711" w:name="_Toc16301"/>
      <w:bookmarkStart w:id="712" w:name="_Toc28223"/>
      <w:bookmarkStart w:id="713" w:name="_Toc26779"/>
      <w:bookmarkStart w:id="714" w:name="_Toc15455"/>
      <w:r>
        <w:rPr>
          <w:rFonts w:hint="default" w:ascii="黑体" w:hAnsi="黑体" w:eastAsia="黑体" w:cs="黑体"/>
          <w:b w:val="0"/>
          <w:bCs w:val="0"/>
        </w:rPr>
        <w:t>第</w:t>
      </w:r>
      <w:r>
        <w:rPr>
          <w:rFonts w:hint="eastAsia" w:ascii="黑体" w:hAnsi="黑体" w:eastAsia="黑体" w:cs="黑体"/>
          <w:b w:val="0"/>
          <w:bCs w:val="0"/>
          <w:lang w:val="en-US" w:eastAsia="zh-CN"/>
        </w:rPr>
        <w:t>四</w:t>
      </w:r>
      <w:r>
        <w:rPr>
          <w:rFonts w:hint="default" w:ascii="黑体" w:hAnsi="黑体" w:eastAsia="黑体" w:cs="黑体"/>
          <w:b w:val="0"/>
          <w:bCs w:val="0"/>
        </w:rPr>
        <w:t>节</w:t>
      </w:r>
      <w:r>
        <w:rPr>
          <w:rFonts w:hint="eastAsia" w:ascii="黑体" w:hAnsi="黑体" w:eastAsia="黑体" w:cs="黑体"/>
          <w:b w:val="0"/>
          <w:bCs w:val="0"/>
          <w:lang w:eastAsia="zh-CN"/>
        </w:rPr>
        <w:t>　</w:t>
      </w:r>
      <w:r>
        <w:rPr>
          <w:rFonts w:hint="default" w:ascii="黑体" w:hAnsi="黑体" w:eastAsia="黑体" w:cs="黑体"/>
          <w:b w:val="0"/>
          <w:bCs w:val="0"/>
        </w:rPr>
        <w:t>提升气候变化适应能</w:t>
      </w:r>
      <w:bookmarkEnd w:id="698"/>
      <w:r>
        <w:rPr>
          <w:rFonts w:hint="default" w:ascii="黑体" w:hAnsi="黑体" w:eastAsia="黑体" w:cs="黑体"/>
          <w:b w:val="0"/>
          <w:bCs w:val="0"/>
        </w:rPr>
        <w:t>力</w:t>
      </w:r>
      <w:bookmarkEnd w:id="690"/>
      <w:bookmarkEnd w:id="691"/>
      <w:bookmarkEnd w:id="692"/>
      <w:bookmarkEnd w:id="693"/>
      <w:bookmarkEnd w:id="694"/>
      <w:bookmarkEnd w:id="695"/>
      <w:bookmarkEnd w:id="696"/>
      <w:bookmarkEnd w:id="697"/>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27"/>
        <w:widowControl w:val="0"/>
        <w:wordWrap/>
        <w:adjustRightInd/>
        <w:snapToGrid/>
        <w:textAlignment w:val="auto"/>
        <w:outlineLvl w:val="9"/>
        <w:rPr>
          <w:rFonts w:hint="default"/>
        </w:rPr>
      </w:pPr>
      <w:r>
        <w:rPr>
          <w:rFonts w:hint="default"/>
        </w:rPr>
        <w:t>加强气候变化综合评估和风险管理，在生产力布局、基础设施、重大项目规划设计和建设中，充分考虑气候变化因素，针对性提升农业、林业</w:t>
      </w:r>
      <w:r>
        <w:rPr>
          <w:rFonts w:hint="eastAsia"/>
          <w:lang w:eastAsia="zh-CN"/>
        </w:rPr>
        <w:t>、</w:t>
      </w:r>
      <w:r>
        <w:rPr>
          <w:rFonts w:hint="default"/>
        </w:rPr>
        <w:t>水资源、气象、公共卫生等重点领域及生态脆弱区的气候变化适应能力和服务水平。推进气候韧性城市建设，将适应气候变化理念落实到城市规划、建设与管理中，提高城市生命线系统和基础设施建设标准，优化城市功能分区及空间设计，加强地下综合管廊建设，积极推广被动式超</w:t>
      </w:r>
      <w:r>
        <w:rPr>
          <w:rFonts w:hint="eastAsia"/>
          <w:lang w:eastAsia="zh-CN"/>
        </w:rPr>
        <w:t>低</w:t>
      </w:r>
      <w:r>
        <w:rPr>
          <w:rFonts w:hint="default"/>
        </w:rPr>
        <w:t>能耗建筑、海绵城市等绿色节能技术，提升城市能源供应系统、交通运输体系、建筑设施、自然生态等适应气候变化的能力。加强气候变化系统观测和科学研究基础工作，提高应对极端天气和气候事件的能力。</w:t>
      </w:r>
    </w:p>
    <w:p>
      <w:pPr>
        <w:pStyle w:val="27"/>
        <w:widowControl w:val="0"/>
        <w:wordWrap/>
        <w:adjustRightInd/>
        <w:snapToGrid/>
        <w:textAlignment w:val="auto"/>
        <w:outlineLvl w:val="9"/>
        <w:rPr>
          <w:rFonts w:hint="default"/>
        </w:rPr>
        <w:sectPr>
          <w:pgSz w:w="11906" w:h="16838"/>
          <w:pgMar w:top="2098" w:right="1474" w:bottom="1984" w:left="1587" w:header="851" w:footer="850" w:gutter="0"/>
          <w:pgNumType w:fmt="numberInDash"/>
          <w:cols w:space="720" w:num="1"/>
          <w:docGrid w:type="lines" w:linePitch="312" w:charSpace="0"/>
        </w:sectPr>
      </w:pPr>
      <w:bookmarkStart w:id="715" w:name="_Toc26404"/>
      <w:bookmarkStart w:id="716" w:name="_Toc31495"/>
      <w:bookmarkStart w:id="717" w:name="_Toc61001233"/>
      <w:bookmarkStart w:id="718" w:name="_Toc3761"/>
      <w:bookmarkStart w:id="719" w:name="_Toc11042"/>
      <w:bookmarkStart w:id="720" w:name="_Toc21104"/>
      <w:bookmarkStart w:id="721" w:name="_Toc24664"/>
      <w:bookmarkStart w:id="722" w:name="_Toc12178"/>
    </w:p>
    <w:bookmarkEnd w:id="537"/>
    <w:bookmarkEnd w:id="538"/>
    <w:bookmarkEnd w:id="564"/>
    <w:p>
      <w:pPr>
        <w:pStyle w:val="3"/>
        <w:numPr>
          <w:ilvl w:val="0"/>
          <w:numId w:val="5"/>
        </w:numPr>
        <w:ind w:left="0" w:leftChars="0" w:firstLine="0" w:firstLineChars="0"/>
        <w:rPr>
          <w:rFonts w:hint="eastAsia" w:ascii="方正小标宋简体" w:hAnsi="方正小标宋简体" w:eastAsia="方正小标宋简体" w:cs="方正小标宋简体"/>
          <w:sz w:val="36"/>
          <w:szCs w:val="44"/>
        </w:rPr>
      </w:pPr>
      <w:bookmarkStart w:id="723" w:name="_Toc4292"/>
      <w:bookmarkStart w:id="724" w:name="_Toc17942"/>
      <w:bookmarkStart w:id="725" w:name="_Toc30562"/>
      <w:bookmarkStart w:id="726" w:name="_Toc8243"/>
      <w:bookmarkStart w:id="727" w:name="_Toc7590"/>
      <w:bookmarkStart w:id="728" w:name="_Toc23096"/>
      <w:bookmarkStart w:id="729" w:name="_Toc30846"/>
      <w:bookmarkStart w:id="730" w:name="_Toc31077"/>
      <w:bookmarkStart w:id="731" w:name="_Toc11972"/>
      <w:bookmarkStart w:id="732" w:name="_Toc3111"/>
      <w:bookmarkStart w:id="733" w:name="_Toc17878"/>
      <w:bookmarkStart w:id="734" w:name="_Toc13137"/>
      <w:bookmarkStart w:id="735" w:name="_Toc29838"/>
      <w:bookmarkStart w:id="736" w:name="_Toc24348"/>
      <w:bookmarkStart w:id="737" w:name="_Toc1586"/>
      <w:bookmarkStart w:id="738" w:name="_Toc17735"/>
      <w:bookmarkStart w:id="739" w:name="_Toc15619"/>
      <w:r>
        <w:rPr>
          <w:rFonts w:hint="eastAsia" w:ascii="方正小标宋简体" w:hAnsi="方正小标宋简体" w:eastAsia="方正小标宋简体" w:cs="方正小标宋简体"/>
          <w:sz w:val="36"/>
          <w:szCs w:val="44"/>
        </w:rPr>
        <w:t>加强细颗粒物控制，引领大气环境质量改</w:t>
      </w:r>
      <w:bookmarkEnd w:id="723"/>
      <w:r>
        <w:rPr>
          <w:rFonts w:hint="eastAsia" w:ascii="方正小标宋简体" w:hAnsi="方正小标宋简体" w:eastAsia="方正小标宋简体" w:cs="方正小标宋简体"/>
          <w:sz w:val="36"/>
          <w:szCs w:val="44"/>
        </w:rPr>
        <w:t>善</w:t>
      </w:r>
      <w:bookmarkEnd w:id="715"/>
      <w:bookmarkEnd w:id="716"/>
      <w:bookmarkEnd w:id="717"/>
      <w:bookmarkEnd w:id="718"/>
      <w:bookmarkEnd w:id="719"/>
      <w:bookmarkEnd w:id="720"/>
      <w:bookmarkEnd w:id="721"/>
      <w:bookmarkEnd w:id="722"/>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pStyle w:val="27"/>
        <w:widowControl w:val="0"/>
        <w:wordWrap/>
        <w:adjustRightInd/>
        <w:snapToGrid/>
        <w:textAlignment w:val="auto"/>
        <w:outlineLvl w:val="9"/>
        <w:rPr>
          <w:rFonts w:hint="default" w:ascii="Times New Roman" w:hAnsi="Times New Roman" w:cs="Times New Roman"/>
          <w:color w:val="auto"/>
        </w:rPr>
      </w:pPr>
    </w:p>
    <w:p>
      <w:pPr>
        <w:pStyle w:val="27"/>
        <w:widowControl w:val="0"/>
        <w:wordWrap/>
        <w:adjustRightInd/>
        <w:snapToGrid/>
        <w:textAlignment w:val="auto"/>
        <w:outlineLvl w:val="9"/>
        <w:rPr>
          <w:rFonts w:hint="default" w:ascii="Times New Roman" w:hAnsi="Times New Roman" w:cs="Times New Roman"/>
          <w:color w:val="auto"/>
        </w:rPr>
      </w:pPr>
      <w:r>
        <w:rPr>
          <w:rFonts w:hint="default" w:ascii="Times New Roman" w:hAnsi="Times New Roman" w:cs="Times New Roman"/>
          <w:color w:val="auto"/>
        </w:rPr>
        <w:t>聚焦臭氧协同防控，持续推进大气污染防治攻坚，强化多污染物协同控制和区域联防联控，持续降低细颗粒物浓度。将细颗粒物和臭氧的主要前体物氮氧化物、挥发性有机物作为总量减排约束性指标，科学确定细颗粒物和臭氧减排目标和比例，实施重</w:t>
      </w:r>
      <w:r>
        <w:rPr>
          <w:rFonts w:hint="eastAsia" w:cs="Times New Roman"/>
          <w:color w:val="auto"/>
          <w:lang w:eastAsia="zh-CN"/>
        </w:rPr>
        <w:t>点</w:t>
      </w:r>
      <w:r>
        <w:rPr>
          <w:rFonts w:hint="default" w:ascii="Times New Roman" w:hAnsi="Times New Roman" w:cs="Times New Roman"/>
          <w:color w:val="auto"/>
        </w:rPr>
        <w:t>减排工程，大力削减氮氧化物、挥发性有机物排放量，努力实现协同增效。</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rPr>
      </w:pPr>
      <w:bookmarkStart w:id="740" w:name="_Toc25752"/>
      <w:bookmarkStart w:id="741" w:name="_Toc7564"/>
      <w:bookmarkStart w:id="742" w:name="_Toc5369"/>
      <w:bookmarkStart w:id="743" w:name="_Toc21967"/>
      <w:bookmarkStart w:id="744" w:name="_Toc11465"/>
      <w:bookmarkStart w:id="745" w:name="_Toc28037"/>
      <w:bookmarkStart w:id="746" w:name="_Toc61001234"/>
      <w:bookmarkStart w:id="747" w:name="_Toc24150"/>
      <w:bookmarkStart w:id="748" w:name="_Toc893"/>
      <w:bookmarkStart w:id="749" w:name="_Toc3920"/>
      <w:bookmarkStart w:id="750" w:name="_Toc7731"/>
      <w:bookmarkStart w:id="751" w:name="_Toc8200"/>
      <w:bookmarkStart w:id="752" w:name="_Toc31577"/>
      <w:bookmarkStart w:id="753" w:name="_Toc6214"/>
      <w:bookmarkStart w:id="754" w:name="_Toc19082"/>
      <w:bookmarkStart w:id="755" w:name="_Toc32720"/>
      <w:bookmarkStart w:id="756" w:name="_Toc29801"/>
      <w:bookmarkStart w:id="757" w:name="_Toc30123"/>
      <w:bookmarkStart w:id="758" w:name="_Toc23906"/>
      <w:bookmarkStart w:id="759" w:name="_Toc4857"/>
      <w:bookmarkStart w:id="760" w:name="_Toc24298"/>
      <w:bookmarkStart w:id="761" w:name="_Toc13740"/>
      <w:bookmarkStart w:id="762" w:name="_Toc20794"/>
      <w:bookmarkStart w:id="763" w:name="_Toc27546"/>
      <w:bookmarkStart w:id="764" w:name="_Toc6720"/>
      <w:bookmarkStart w:id="765" w:name="_Toc5797"/>
      <w:bookmarkStart w:id="766" w:name="_Toc32194"/>
      <w:bookmarkStart w:id="767" w:name="_Toc11842"/>
      <w:bookmarkStart w:id="768" w:name="_Toc26730"/>
      <w:bookmarkStart w:id="769" w:name="_Toc22082"/>
      <w:bookmarkStart w:id="770" w:name="_Toc57663210"/>
      <w:bookmarkStart w:id="771" w:name="_Toc20827"/>
      <w:bookmarkStart w:id="772" w:name="_Toc1574"/>
      <w:r>
        <w:rPr>
          <w:rFonts w:hint="default" w:ascii="黑体" w:hAnsi="黑体" w:eastAsia="黑体" w:cs="黑体"/>
          <w:b w:val="0"/>
          <w:bCs w:val="0"/>
        </w:rPr>
        <w:t>第一节</w:t>
      </w:r>
      <w:bookmarkEnd w:id="740"/>
      <w:r>
        <w:rPr>
          <w:rFonts w:hint="eastAsia" w:ascii="黑体" w:hAnsi="黑体" w:eastAsia="黑体" w:cs="黑体"/>
          <w:b w:val="0"/>
          <w:bCs w:val="0"/>
          <w:lang w:eastAsia="zh-CN"/>
        </w:rPr>
        <w:t>　</w:t>
      </w:r>
      <w:r>
        <w:rPr>
          <w:rFonts w:hint="default" w:ascii="黑体" w:hAnsi="黑体" w:eastAsia="黑体" w:cs="黑体"/>
          <w:b w:val="0"/>
          <w:bCs w:val="0"/>
        </w:rPr>
        <w:t>提升大气污染精准防控能</w:t>
      </w:r>
      <w:bookmarkEnd w:id="741"/>
      <w:r>
        <w:rPr>
          <w:rFonts w:hint="default" w:ascii="黑体" w:hAnsi="黑体" w:eastAsia="黑体" w:cs="黑体"/>
          <w:b w:val="0"/>
          <w:bCs w:val="0"/>
        </w:rPr>
        <w:t>力</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27"/>
        <w:rPr>
          <w:rFonts w:hint="default" w:ascii="Times New Roman" w:hAnsi="Times New Roman" w:eastAsia="仿宋_GB2312" w:cs="Times New Roman"/>
          <w:color w:val="auto"/>
        </w:rPr>
      </w:pPr>
      <w:bookmarkStart w:id="773" w:name="_Toc29559"/>
      <w:bookmarkStart w:id="774" w:name="_Toc16660"/>
      <w:bookmarkStart w:id="775" w:name="_Toc18046"/>
      <w:bookmarkStart w:id="776" w:name="_Toc8658"/>
      <w:bookmarkStart w:id="777" w:name="_Toc860"/>
      <w:bookmarkStart w:id="778" w:name="_Toc13829"/>
      <w:r>
        <w:rPr>
          <w:rFonts w:hint="default" w:cs="Times New Roman"/>
          <w:color w:val="auto"/>
        </w:rPr>
        <w:t>开展臭氧污染成因溯源，加强大气污染防治能力建设，持续完善大气污染联防联控机制，强化高污染燃料禁燃区管理，提升大气污染防治精细化管理水平。</w:t>
      </w:r>
    </w:p>
    <w:p>
      <w:pPr>
        <w:pStyle w:val="5"/>
        <w:spacing w:before="0" w:after="0"/>
        <w:ind w:firstLine="640" w:firstLineChars="200"/>
        <w:rPr>
          <w:rFonts w:hint="eastAsia" w:ascii="黑体" w:hAnsi="黑体" w:eastAsia="黑体" w:cs="黑体"/>
          <w:b w:val="0"/>
          <w:bCs w:val="0"/>
          <w:color w:val="auto"/>
        </w:rPr>
      </w:pPr>
      <w:bookmarkStart w:id="779" w:name="_Toc25233"/>
      <w:bookmarkStart w:id="780" w:name="_Toc25351"/>
      <w:bookmarkStart w:id="781" w:name="_Toc21197"/>
      <w:bookmarkStart w:id="782" w:name="_Toc208"/>
      <w:bookmarkStart w:id="783" w:name="_Toc1612"/>
      <w:bookmarkStart w:id="784" w:name="_Toc871"/>
      <w:bookmarkStart w:id="785" w:name="_Toc16685"/>
      <w:bookmarkStart w:id="786" w:name="_Toc3180"/>
      <w:bookmarkStart w:id="787" w:name="_Toc17445"/>
      <w:r>
        <w:rPr>
          <w:rFonts w:hint="eastAsia" w:ascii="黑体" w:hAnsi="黑体" w:eastAsia="黑体" w:cs="黑体"/>
          <w:b w:val="0"/>
          <w:bCs w:val="0"/>
          <w:color w:val="auto"/>
        </w:rPr>
        <w:t>一、实施空气质量精细化管理</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pPr>
        <w:pStyle w:val="27"/>
        <w:widowControl w:val="0"/>
        <w:wordWrap/>
        <w:adjustRightInd/>
        <w:snapToGrid/>
        <w:textAlignment w:val="auto"/>
        <w:outlineLvl w:val="9"/>
        <w:rPr>
          <w:rFonts w:hint="default" w:ascii="Times New Roman" w:hAnsi="Times New Roman" w:cs="Times New Roman"/>
          <w:color w:val="auto"/>
        </w:rPr>
      </w:pPr>
      <w:r>
        <w:rPr>
          <w:rFonts w:hint="default" w:cs="Times New Roman"/>
          <w:color w:val="auto"/>
        </w:rPr>
        <w:t>建立市县联动的大气污染源排放清单管理机制和挥发性有机物</w:t>
      </w:r>
      <w:r>
        <w:rPr>
          <w:rFonts w:hint="eastAsia" w:cs="Times New Roman"/>
          <w:color w:val="auto"/>
          <w:lang w:eastAsia="zh-CN"/>
        </w:rPr>
        <w:t>（</w:t>
      </w:r>
      <w:r>
        <w:rPr>
          <w:rFonts w:hint="default" w:cs="Times New Roman"/>
          <w:color w:val="auto"/>
        </w:rPr>
        <w:t>VOCs</w:t>
      </w:r>
      <w:r>
        <w:rPr>
          <w:rFonts w:hint="eastAsia" w:cs="Times New Roman"/>
          <w:color w:val="auto"/>
          <w:lang w:eastAsia="zh-CN"/>
        </w:rPr>
        <w:t>）</w:t>
      </w:r>
      <w:r>
        <w:rPr>
          <w:rFonts w:hint="default" w:cs="Times New Roman"/>
          <w:color w:val="auto"/>
        </w:rPr>
        <w:t>源谱调查机制，推进区域和城市源排放清单编制与更新工作常态化，推动武江区（甘棠工业园）、南雄市、翁源县、新丰县增加可定量、可核查、可溯源的环境VOCs自动监测站点，开展臭氧污染成因溯源，强化重点企业VOCs排放监管。</w:t>
      </w:r>
      <w:r>
        <w:rPr>
          <w:rFonts w:hint="default" w:ascii="Times New Roman" w:hAnsi="Times New Roman" w:cs="Times New Roman"/>
          <w:color w:val="auto"/>
        </w:rPr>
        <w:t>积极推进环境空气质量预报预警平台建设，完善与气象等部门联合会商机制，加强监测信息汇聚共享与技术协作，提高预警信息可信度和反应速度。</w:t>
      </w:r>
    </w:p>
    <w:p>
      <w:pPr>
        <w:pStyle w:val="5"/>
        <w:spacing w:before="0" w:after="0"/>
        <w:ind w:firstLine="640" w:firstLineChars="200"/>
        <w:rPr>
          <w:rFonts w:hint="default" w:ascii="黑体" w:hAnsi="黑体" w:eastAsia="黑体" w:cs="黑体"/>
          <w:b w:val="0"/>
          <w:bCs w:val="0"/>
          <w:color w:val="auto"/>
        </w:rPr>
      </w:pPr>
      <w:bookmarkStart w:id="788" w:name="_Toc22100"/>
      <w:bookmarkStart w:id="789" w:name="_Toc22541"/>
      <w:bookmarkStart w:id="790" w:name="_Toc19685"/>
      <w:bookmarkStart w:id="791" w:name="_Toc5478"/>
      <w:bookmarkStart w:id="792" w:name="_Toc17928"/>
      <w:bookmarkStart w:id="793" w:name="_Toc1325"/>
      <w:bookmarkStart w:id="794" w:name="_Toc25194"/>
      <w:bookmarkStart w:id="795" w:name="_Toc5641"/>
      <w:bookmarkStart w:id="796" w:name="_Toc22682"/>
      <w:bookmarkStart w:id="797" w:name="_Toc16528"/>
      <w:bookmarkStart w:id="798" w:name="_Toc7223"/>
      <w:bookmarkStart w:id="799" w:name="_Toc22866"/>
      <w:bookmarkStart w:id="800" w:name="_Toc9450"/>
      <w:bookmarkStart w:id="801" w:name="_Toc27052"/>
      <w:bookmarkStart w:id="802" w:name="_Toc12315"/>
      <w:r>
        <w:rPr>
          <w:rFonts w:hint="default" w:ascii="黑体" w:hAnsi="黑体" w:eastAsia="黑体" w:cs="黑体"/>
          <w:b w:val="0"/>
          <w:bCs w:val="0"/>
          <w:color w:val="auto"/>
        </w:rPr>
        <w:t>二、深化大气污染联防联控</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pStyle w:val="27"/>
        <w:widowControl w:val="0"/>
        <w:wordWrap/>
        <w:adjustRightInd/>
        <w:snapToGrid/>
        <w:textAlignment w:val="auto"/>
        <w:outlineLvl w:val="9"/>
        <w:rPr>
          <w:rFonts w:hint="default"/>
          <w:lang w:eastAsia="zh-CN"/>
        </w:rPr>
      </w:pPr>
      <w:r>
        <w:rPr>
          <w:rFonts w:hint="default"/>
        </w:rPr>
        <w:t>强化区域联防联控联治，夏季重点治理臭氧，秋冬季重点治理细颗粒物。加强污染天气应对</w:t>
      </w:r>
      <w:r>
        <w:rPr>
          <w:rFonts w:hint="default"/>
          <w:lang w:eastAsia="zh-CN"/>
        </w:rPr>
        <w:t>，</w:t>
      </w:r>
      <w:r>
        <w:rPr>
          <w:rFonts w:hint="default"/>
        </w:rPr>
        <w:t>充分利用气象和环境空气监测分析工具，摸清局部污染源，及时发布污染天气管控通知</w:t>
      </w:r>
      <w:r>
        <w:rPr>
          <w:rFonts w:hint="default"/>
          <w:lang w:eastAsia="zh-CN"/>
        </w:rPr>
        <w:t>，</w:t>
      </w:r>
      <w:r>
        <w:rPr>
          <w:rFonts w:hint="default"/>
        </w:rPr>
        <w:t>依法实施应急减排措施和区域应急联动，及时开展污染天气应急实施效果评估。按照属地管理、分级负责、分区管控、综合治理的原则</w:t>
      </w:r>
      <w:r>
        <w:rPr>
          <w:rFonts w:hint="eastAsia"/>
          <w:lang w:eastAsia="zh-CN"/>
        </w:rPr>
        <w:t>，实行网格化管理</w:t>
      </w:r>
      <w:r>
        <w:rPr>
          <w:rFonts w:hint="default"/>
        </w:rPr>
        <w:t>，推进秸秆综合利用，采取</w:t>
      </w:r>
      <w:r>
        <w:rPr>
          <w:rFonts w:hint="eastAsia"/>
          <w:lang w:eastAsia="zh-CN"/>
        </w:rPr>
        <w:t>“</w:t>
      </w:r>
      <w:r>
        <w:rPr>
          <w:rFonts w:hint="default"/>
        </w:rPr>
        <w:t>疏堵结合</w:t>
      </w:r>
      <w:r>
        <w:rPr>
          <w:rFonts w:hint="eastAsia"/>
          <w:lang w:eastAsia="zh-CN"/>
        </w:rPr>
        <w:t>”“</w:t>
      </w:r>
      <w:r>
        <w:rPr>
          <w:rFonts w:hint="default"/>
        </w:rPr>
        <w:t>以用促禁</w:t>
      </w:r>
      <w:r>
        <w:rPr>
          <w:rFonts w:hint="eastAsia"/>
          <w:lang w:eastAsia="zh-CN"/>
        </w:rPr>
        <w:t>”</w:t>
      </w:r>
      <w:r>
        <w:rPr>
          <w:rFonts w:hint="default"/>
        </w:rPr>
        <w:t>等方式大力开展露天禁烧工作</w:t>
      </w:r>
      <w:r>
        <w:rPr>
          <w:rFonts w:hint="eastAsia"/>
          <w:lang w:eastAsia="zh-CN"/>
        </w:rPr>
        <w:t>，</w:t>
      </w:r>
      <w:r>
        <w:rPr>
          <w:rFonts w:hint="default"/>
        </w:rPr>
        <w:t>有效遏制和杜绝露天焚烧行为。</w:t>
      </w:r>
    </w:p>
    <w:p>
      <w:pPr>
        <w:pStyle w:val="5"/>
        <w:spacing w:before="0" w:after="0"/>
        <w:ind w:firstLine="640" w:firstLineChars="200"/>
        <w:rPr>
          <w:rFonts w:hint="default" w:ascii="黑体" w:hAnsi="黑体" w:eastAsia="黑体" w:cs="黑体"/>
          <w:b w:val="0"/>
          <w:bCs w:val="0"/>
          <w:color w:val="auto"/>
        </w:rPr>
      </w:pPr>
      <w:bookmarkStart w:id="803" w:name="_Toc3657"/>
      <w:bookmarkStart w:id="804" w:name="_Toc3888"/>
      <w:bookmarkStart w:id="805" w:name="_Toc16946"/>
      <w:bookmarkStart w:id="806" w:name="_Toc19293"/>
      <w:bookmarkStart w:id="807" w:name="_Toc22095"/>
      <w:bookmarkStart w:id="808" w:name="_Toc990"/>
      <w:bookmarkStart w:id="809" w:name="_Toc22764"/>
      <w:bookmarkStart w:id="810" w:name="_Toc27032"/>
      <w:bookmarkStart w:id="811" w:name="_Toc28865"/>
      <w:bookmarkStart w:id="812" w:name="_Toc16077"/>
      <w:bookmarkStart w:id="813" w:name="_Toc2581"/>
      <w:bookmarkStart w:id="814" w:name="_Toc5807"/>
      <w:bookmarkStart w:id="815" w:name="_Toc2424"/>
      <w:bookmarkStart w:id="816" w:name="_Toc26297"/>
      <w:bookmarkStart w:id="817" w:name="_Toc4656"/>
      <w:r>
        <w:rPr>
          <w:rFonts w:hint="default" w:ascii="黑体" w:hAnsi="黑体" w:eastAsia="黑体" w:cs="黑体"/>
          <w:b w:val="0"/>
          <w:bCs w:val="0"/>
          <w:color w:val="auto"/>
        </w:rPr>
        <w:t>三、加强高污染燃料禁燃区管理</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27"/>
        <w:widowControl w:val="0"/>
        <w:wordWrap/>
        <w:adjustRightInd/>
        <w:snapToGrid/>
        <w:textAlignment w:val="auto"/>
        <w:outlineLvl w:val="9"/>
        <w:rPr>
          <w:rFonts w:hint="default" w:ascii="Times New Roman" w:hAnsi="Times New Roman" w:cs="Times New Roman"/>
          <w:color w:val="auto"/>
        </w:rPr>
      </w:pPr>
      <w:r>
        <w:rPr>
          <w:rFonts w:hint="default" w:ascii="Times New Roman" w:hAnsi="Times New Roman" w:cs="Times New Roman"/>
          <w:color w:val="auto"/>
        </w:rPr>
        <w:t>在禁燃区内，禁止燃用高污染燃料</w:t>
      </w:r>
      <w:r>
        <w:rPr>
          <w:rFonts w:hint="eastAsia" w:cs="Times New Roman"/>
          <w:color w:val="auto"/>
          <w:lang w:eastAsia="zh-CN"/>
        </w:rPr>
        <w:t>，</w:t>
      </w:r>
      <w:r>
        <w:rPr>
          <w:rFonts w:hint="default" w:ascii="Times New Roman" w:hAnsi="Times New Roman" w:cs="Times New Roman"/>
          <w:color w:val="auto"/>
        </w:rPr>
        <w:t>禁止新建、扩建燃用高污染燃料的设施，已建成的按要求改用天然气、电或者其他清洁能源。</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rPr>
      </w:pPr>
      <w:bookmarkStart w:id="818" w:name="_Toc20649"/>
      <w:bookmarkStart w:id="819" w:name="_Toc13220"/>
      <w:bookmarkStart w:id="820" w:name="_Toc17345"/>
      <w:bookmarkStart w:id="821" w:name="_Toc31437"/>
      <w:bookmarkStart w:id="822" w:name="_Toc3849"/>
      <w:bookmarkStart w:id="823" w:name="_Toc136"/>
      <w:bookmarkStart w:id="824" w:name="_Toc18085"/>
      <w:bookmarkStart w:id="825" w:name="_Toc24629"/>
      <w:bookmarkStart w:id="826" w:name="_Toc27687"/>
      <w:bookmarkStart w:id="827" w:name="_Toc11253"/>
      <w:bookmarkStart w:id="828" w:name="_Toc12447"/>
      <w:bookmarkStart w:id="829" w:name="_Toc25414"/>
      <w:bookmarkStart w:id="830" w:name="_Toc15465"/>
      <w:bookmarkStart w:id="831" w:name="_Toc14935"/>
      <w:bookmarkStart w:id="832" w:name="_Toc9479"/>
      <w:bookmarkStart w:id="833" w:name="_Toc8630"/>
      <w:bookmarkStart w:id="834" w:name="_Toc18772"/>
      <w:bookmarkStart w:id="835" w:name="_Toc15144"/>
      <w:bookmarkStart w:id="836" w:name="_Toc19314"/>
      <w:bookmarkStart w:id="837" w:name="_Toc19668"/>
      <w:bookmarkStart w:id="838" w:name="_Toc25722"/>
      <w:bookmarkStart w:id="839" w:name="_Toc24499"/>
      <w:bookmarkStart w:id="840" w:name="_Toc61001235"/>
      <w:bookmarkStart w:id="841" w:name="_Toc17697"/>
      <w:bookmarkStart w:id="842" w:name="_Toc13174"/>
      <w:r>
        <w:rPr>
          <w:rFonts w:hint="default" w:ascii="黑体" w:hAnsi="黑体" w:eastAsia="黑体" w:cs="黑体"/>
          <w:b w:val="0"/>
          <w:bCs w:val="0"/>
        </w:rPr>
        <w:t>第二节</w:t>
      </w:r>
      <w:r>
        <w:rPr>
          <w:rFonts w:hint="eastAsia" w:ascii="黑体" w:hAnsi="黑体" w:eastAsia="黑体" w:cs="黑体"/>
          <w:b w:val="0"/>
          <w:bCs w:val="0"/>
          <w:lang w:eastAsia="zh-CN"/>
        </w:rPr>
        <w:t>　</w:t>
      </w:r>
      <w:r>
        <w:rPr>
          <w:rFonts w:hint="default" w:ascii="黑体" w:hAnsi="黑体" w:eastAsia="黑体" w:cs="黑体"/>
          <w:b w:val="0"/>
          <w:bCs w:val="0"/>
        </w:rPr>
        <w:t>控制移动污染源</w:t>
      </w:r>
      <w:bookmarkEnd w:id="818"/>
      <w:r>
        <w:rPr>
          <w:rFonts w:hint="default" w:ascii="黑体" w:hAnsi="黑体" w:eastAsia="黑体" w:cs="黑体"/>
          <w:b w:val="0"/>
          <w:bCs w:val="0"/>
        </w:rPr>
        <w:t>排</w:t>
      </w:r>
      <w:bookmarkEnd w:id="819"/>
      <w:r>
        <w:rPr>
          <w:rFonts w:hint="default" w:ascii="黑体" w:hAnsi="黑体" w:eastAsia="黑体" w:cs="黑体"/>
          <w:b w:val="0"/>
          <w:bCs w:val="0"/>
        </w:rPr>
        <w:t>放</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pPr>
        <w:pStyle w:val="27"/>
        <w:rPr>
          <w:rFonts w:hint="default" w:ascii="Times New Roman" w:hAnsi="Times New Roman" w:cs="Times New Roman"/>
          <w:color w:val="auto"/>
        </w:rPr>
      </w:pPr>
      <w:bookmarkStart w:id="843" w:name="_Toc15988"/>
      <w:bookmarkStart w:id="844" w:name="_Toc18302"/>
      <w:bookmarkStart w:id="845" w:name="_Toc6010"/>
      <w:bookmarkStart w:id="846" w:name="_Toc30128"/>
      <w:bookmarkStart w:id="847" w:name="_Toc11196"/>
      <w:bookmarkStart w:id="848" w:name="_Toc24415"/>
      <w:r>
        <w:rPr>
          <w:rFonts w:hint="default" w:ascii="Times New Roman" w:hAnsi="Times New Roman" w:cs="Times New Roman"/>
          <w:color w:val="auto"/>
        </w:rPr>
        <w:t>深化移动源污染防治，加强油品质量全过程监管，深化机动车尾气治理，强化非道路移动机械污染防治。</w:t>
      </w:r>
    </w:p>
    <w:p>
      <w:pPr>
        <w:pStyle w:val="5"/>
        <w:spacing w:before="0" w:after="0"/>
        <w:ind w:firstLine="640" w:firstLineChars="200"/>
        <w:rPr>
          <w:rFonts w:hint="default" w:ascii="黑体" w:hAnsi="黑体" w:eastAsia="黑体" w:cs="黑体"/>
          <w:b w:val="0"/>
          <w:bCs w:val="0"/>
          <w:color w:val="auto"/>
        </w:rPr>
      </w:pPr>
      <w:bookmarkStart w:id="849" w:name="_Toc19165"/>
      <w:bookmarkStart w:id="850" w:name="_Toc29128"/>
      <w:bookmarkStart w:id="851" w:name="_Toc30248"/>
      <w:bookmarkStart w:id="852" w:name="_Toc29328"/>
      <w:bookmarkStart w:id="853" w:name="_Toc20820"/>
      <w:bookmarkStart w:id="854" w:name="_Toc26416"/>
      <w:bookmarkStart w:id="855" w:name="_Toc32660"/>
      <w:bookmarkStart w:id="856" w:name="_Toc19413"/>
      <w:bookmarkStart w:id="857" w:name="_Toc24266"/>
      <w:r>
        <w:rPr>
          <w:rFonts w:hint="default" w:ascii="黑体" w:hAnsi="黑体" w:eastAsia="黑体" w:cs="黑体"/>
          <w:b w:val="0"/>
          <w:bCs w:val="0"/>
          <w:color w:val="auto"/>
        </w:rPr>
        <w:t>一、持续加强成品油质量和油品储运销监管</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pPr>
        <w:pStyle w:val="27"/>
        <w:widowControl w:val="0"/>
        <w:wordWrap/>
        <w:adjustRightInd/>
        <w:snapToGrid/>
        <w:textAlignment w:val="auto"/>
        <w:outlineLvl w:val="9"/>
        <w:rPr>
          <w:rFonts w:hint="default" w:ascii="Times New Roman" w:hAnsi="Times New Roman" w:cs="Times New Roman"/>
          <w:color w:val="auto"/>
        </w:rPr>
      </w:pPr>
      <w:r>
        <w:rPr>
          <w:rFonts w:hint="default" w:ascii="Times New Roman" w:hAnsi="Times New Roman" w:cs="Times New Roman"/>
          <w:color w:val="auto"/>
        </w:rPr>
        <w:t>强化全市加油站、储油库及新增油罐车管理，全面满足国家油气污染治理标准的有关要求；全面排查韶关市内加油站、油罐车油气回收改造情况、设备设施运行情况、改造治理验收情况以及成品油质量。推</w:t>
      </w:r>
      <w:r>
        <w:rPr>
          <w:rFonts w:hint="default" w:ascii="Times New Roman" w:hAnsi="Times New Roman" w:cs="Times New Roman"/>
          <w:color w:val="auto"/>
          <w:lang w:eastAsia="zh-CN"/>
        </w:rPr>
        <w:t>进</w:t>
      </w:r>
      <w:r>
        <w:rPr>
          <w:rFonts w:hint="default" w:ascii="Times New Roman" w:hAnsi="Times New Roman" w:cs="Times New Roman"/>
          <w:color w:val="auto"/>
        </w:rPr>
        <w:t>油品储运销体系安装油气回收自动监控系统。严厉打击非法调制和销售成品油行为，加大对非法流动加油、销售不合格油品、销售未完税油品等违法行为的查处力度。</w:t>
      </w:r>
    </w:p>
    <w:p>
      <w:pPr>
        <w:pStyle w:val="5"/>
        <w:spacing w:before="0" w:after="0"/>
        <w:ind w:firstLine="640" w:firstLineChars="200"/>
        <w:rPr>
          <w:rFonts w:hint="default" w:ascii="黑体" w:hAnsi="黑体" w:eastAsia="黑体" w:cs="黑体"/>
          <w:b w:val="0"/>
          <w:bCs w:val="0"/>
          <w:color w:val="auto"/>
        </w:rPr>
      </w:pPr>
      <w:bookmarkStart w:id="858" w:name="_Toc7776"/>
      <w:bookmarkStart w:id="859" w:name="_Toc6495"/>
      <w:bookmarkStart w:id="860" w:name="_Toc31509"/>
      <w:bookmarkStart w:id="861" w:name="_Toc29807"/>
      <w:bookmarkStart w:id="862" w:name="_Toc13820"/>
      <w:bookmarkStart w:id="863" w:name="_Toc10733"/>
      <w:bookmarkStart w:id="864" w:name="_Toc11764"/>
      <w:bookmarkStart w:id="865" w:name="_Toc19051"/>
      <w:bookmarkStart w:id="866" w:name="_Toc31855"/>
      <w:bookmarkStart w:id="867" w:name="_Toc28686"/>
      <w:bookmarkStart w:id="868" w:name="_Toc10889"/>
      <w:bookmarkStart w:id="869" w:name="_Toc16726"/>
      <w:bookmarkStart w:id="870" w:name="_Toc5355"/>
      <w:bookmarkStart w:id="871" w:name="_Toc23111"/>
      <w:bookmarkStart w:id="872" w:name="_Toc13917"/>
      <w:r>
        <w:rPr>
          <w:rFonts w:hint="default" w:ascii="黑体" w:hAnsi="黑体" w:eastAsia="黑体" w:cs="黑体"/>
          <w:b w:val="0"/>
          <w:bCs w:val="0"/>
          <w:color w:val="auto"/>
        </w:rPr>
        <w:t>二、强化机动车环保达标监管</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pPr>
        <w:pStyle w:val="27"/>
        <w:widowControl w:val="0"/>
        <w:wordWrap/>
        <w:adjustRightInd/>
        <w:snapToGrid/>
        <w:textAlignment w:val="auto"/>
        <w:outlineLvl w:val="9"/>
        <w:rPr>
          <w:rFonts w:hint="default"/>
        </w:rPr>
      </w:pPr>
      <w:r>
        <w:rPr>
          <w:rFonts w:hint="default"/>
          <w:lang w:eastAsia="zh-CN"/>
        </w:rPr>
        <w:t>完善</w:t>
      </w:r>
      <w:r>
        <w:rPr>
          <w:rFonts w:hint="eastAsia"/>
          <w:lang w:eastAsia="zh-CN"/>
        </w:rPr>
        <w:t>“</w:t>
      </w:r>
      <w:r>
        <w:rPr>
          <w:rFonts w:hint="default"/>
        </w:rPr>
        <w:t>天地车人</w:t>
      </w:r>
      <w:r>
        <w:rPr>
          <w:rFonts w:hint="eastAsia"/>
          <w:lang w:eastAsia="zh-CN"/>
        </w:rPr>
        <w:t>”</w:t>
      </w:r>
      <w:r>
        <w:rPr>
          <w:rFonts w:hint="default"/>
        </w:rPr>
        <w:t>一体化的机动车排放监控系统，强化机动车排气环保监管系统运营使用</w:t>
      </w:r>
      <w:r>
        <w:rPr>
          <w:rFonts w:hint="eastAsia"/>
          <w:lang w:eastAsia="zh-CN"/>
        </w:rPr>
        <w:t>。</w:t>
      </w:r>
      <w:r>
        <w:rPr>
          <w:rFonts w:hint="default"/>
        </w:rPr>
        <w:t>强化公路货运污染排放源头管控，持续推进老旧和高能耗、高排放营运车辆淘汰更新，推广应用高效、节能、环保的车辆装备。推行汽车检测与维护（I/M）制度，确保在用车达到排放标准，积极推广绿色汽车维修技术，提升汽车维修行业环保水平</w:t>
      </w:r>
      <w:r>
        <w:rPr>
          <w:rFonts w:hint="eastAsia"/>
          <w:lang w:eastAsia="zh-CN"/>
        </w:rPr>
        <w:t>。</w:t>
      </w:r>
      <w:r>
        <w:rPr>
          <w:rFonts w:hint="default"/>
        </w:rPr>
        <w:t>加强机动车尾气污染路检、场检。</w:t>
      </w:r>
      <w:r>
        <w:rPr>
          <w:rFonts w:hint="eastAsia"/>
          <w:lang w:eastAsia="zh-CN"/>
        </w:rPr>
        <w:t>逐步</w:t>
      </w:r>
      <w:r>
        <w:rPr>
          <w:rFonts w:hint="default"/>
        </w:rPr>
        <w:t>淘汰国三及以下营运柴油货车。</w:t>
      </w:r>
    </w:p>
    <w:p>
      <w:pPr>
        <w:pStyle w:val="5"/>
        <w:spacing w:before="0" w:after="0"/>
        <w:ind w:firstLine="640" w:firstLineChars="200"/>
        <w:rPr>
          <w:rFonts w:hint="default" w:ascii="黑体" w:hAnsi="黑体" w:eastAsia="黑体" w:cs="黑体"/>
          <w:b w:val="0"/>
          <w:bCs w:val="0"/>
          <w:color w:val="auto"/>
        </w:rPr>
      </w:pPr>
      <w:bookmarkStart w:id="873" w:name="_Toc19740"/>
      <w:bookmarkStart w:id="874" w:name="_Toc7596"/>
      <w:bookmarkStart w:id="875" w:name="_Toc14461"/>
      <w:bookmarkStart w:id="876" w:name="_Toc1569"/>
      <w:bookmarkStart w:id="877" w:name="_Toc30970"/>
      <w:bookmarkStart w:id="878" w:name="_Toc21433"/>
      <w:bookmarkStart w:id="879" w:name="_Toc15816"/>
      <w:bookmarkStart w:id="880" w:name="_Toc25098"/>
      <w:bookmarkStart w:id="881" w:name="_Toc13093"/>
      <w:bookmarkStart w:id="882" w:name="_Toc8112"/>
      <w:bookmarkStart w:id="883" w:name="_Toc13855"/>
      <w:bookmarkStart w:id="884" w:name="_Toc18272"/>
      <w:bookmarkStart w:id="885" w:name="_Toc2286"/>
      <w:bookmarkStart w:id="886" w:name="_Toc26452"/>
      <w:bookmarkStart w:id="887" w:name="_Toc17243"/>
      <w:r>
        <w:rPr>
          <w:rFonts w:hint="default" w:ascii="黑体" w:hAnsi="黑体" w:eastAsia="黑体" w:cs="黑体"/>
          <w:b w:val="0"/>
          <w:bCs w:val="0"/>
          <w:color w:val="auto"/>
        </w:rPr>
        <w:t>三、推进非道路移动</w:t>
      </w:r>
      <w:r>
        <w:rPr>
          <w:rFonts w:hint="eastAsia" w:ascii="黑体" w:hAnsi="黑体" w:eastAsia="黑体" w:cs="黑体"/>
          <w:b w:val="0"/>
          <w:bCs w:val="0"/>
          <w:color w:val="auto"/>
          <w:lang w:val="en-US" w:eastAsia="zh-CN"/>
        </w:rPr>
        <w:t>源</w:t>
      </w:r>
      <w:r>
        <w:rPr>
          <w:rFonts w:hint="default" w:ascii="黑体" w:hAnsi="黑体" w:eastAsia="黑体" w:cs="黑体"/>
          <w:b w:val="0"/>
          <w:bCs w:val="0"/>
          <w:color w:val="auto"/>
          <w:lang w:eastAsia="zh-CN"/>
        </w:rPr>
        <w:t>污染</w:t>
      </w:r>
      <w:r>
        <w:rPr>
          <w:rFonts w:hint="default" w:ascii="黑体" w:hAnsi="黑体" w:eastAsia="黑体" w:cs="黑体"/>
          <w:b w:val="0"/>
          <w:bCs w:val="0"/>
          <w:color w:val="auto"/>
        </w:rPr>
        <w:t>治理</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pPr>
        <w:pStyle w:val="27"/>
        <w:rPr>
          <w:rFonts w:hint="default" w:ascii="Times New Roman" w:hAnsi="Times New Roman" w:cs="Times New Roman"/>
          <w:color w:val="auto"/>
        </w:rPr>
      </w:pPr>
      <w:r>
        <w:rPr>
          <w:rFonts w:hint="default" w:ascii="Times New Roman" w:hAnsi="Times New Roman" w:cs="Times New Roman"/>
          <w:color w:val="auto"/>
        </w:rPr>
        <w:t>严格实施非道路移动机械编码登记制度，严厉打击在韶关市非道路移动机械低排放控制区内使用高排放非道路移动机械的行为。强化非道路移动机械的大气污染物排放状况监督管理，加强非道路移动机械排气状况和所用油品的现场抽测，开展非道路移动机械专项检查，依法对使用不合格油品及冒黑烟机械开展处罚，基本消除未登记或冒黑烟工程机械。</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rPr>
      </w:pPr>
      <w:bookmarkStart w:id="888" w:name="_Toc27047"/>
      <w:bookmarkStart w:id="889" w:name="_Toc32190"/>
      <w:bookmarkStart w:id="890" w:name="_Toc12418"/>
      <w:bookmarkStart w:id="891" w:name="_Toc30733"/>
      <w:bookmarkStart w:id="892" w:name="_Toc61001236"/>
      <w:bookmarkStart w:id="893" w:name="_Toc13149"/>
      <w:bookmarkStart w:id="894" w:name="_Toc7004"/>
      <w:bookmarkStart w:id="895" w:name="_Toc4569"/>
      <w:bookmarkStart w:id="896" w:name="_Toc7327"/>
      <w:bookmarkStart w:id="897" w:name="_Toc18549"/>
      <w:bookmarkStart w:id="898" w:name="_Toc4475"/>
      <w:bookmarkStart w:id="899" w:name="_Toc5973"/>
      <w:bookmarkStart w:id="900" w:name="_Toc506"/>
      <w:bookmarkStart w:id="901" w:name="_Toc31527"/>
      <w:bookmarkStart w:id="902" w:name="_Toc10437"/>
      <w:bookmarkStart w:id="903" w:name="_Toc16734"/>
      <w:bookmarkStart w:id="904" w:name="_Toc8212"/>
      <w:bookmarkStart w:id="905" w:name="_Toc1776"/>
      <w:bookmarkStart w:id="906" w:name="_Toc27152"/>
      <w:bookmarkStart w:id="907" w:name="_Toc25716"/>
      <w:bookmarkStart w:id="908" w:name="_Toc28042"/>
      <w:bookmarkStart w:id="909" w:name="_Toc1339"/>
      <w:bookmarkStart w:id="910" w:name="_Toc18243"/>
      <w:bookmarkStart w:id="911" w:name="_Toc3218"/>
      <w:bookmarkStart w:id="912" w:name="_Toc18489"/>
      <w:r>
        <w:rPr>
          <w:rFonts w:hint="default" w:ascii="黑体" w:hAnsi="黑体" w:eastAsia="黑体" w:cs="黑体"/>
          <w:b w:val="0"/>
          <w:bCs w:val="0"/>
        </w:rPr>
        <w:t>第三节</w:t>
      </w:r>
      <w:r>
        <w:rPr>
          <w:rFonts w:hint="eastAsia" w:ascii="黑体" w:hAnsi="黑体" w:eastAsia="黑体" w:cs="黑体"/>
          <w:b w:val="0"/>
          <w:bCs w:val="0"/>
          <w:lang w:eastAsia="zh-CN"/>
        </w:rPr>
        <w:t>　</w:t>
      </w:r>
      <w:r>
        <w:rPr>
          <w:rFonts w:hint="default" w:ascii="黑体" w:hAnsi="黑体" w:eastAsia="黑体" w:cs="黑体"/>
          <w:b w:val="0"/>
          <w:bCs w:val="0"/>
        </w:rPr>
        <w:t>深化工业源污染治</w:t>
      </w:r>
      <w:bookmarkEnd w:id="888"/>
      <w:r>
        <w:rPr>
          <w:rFonts w:hint="default" w:ascii="黑体" w:hAnsi="黑体" w:eastAsia="黑体" w:cs="黑体"/>
          <w:b w:val="0"/>
          <w:bCs w:val="0"/>
        </w:rPr>
        <w:t>理</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pPr>
        <w:pStyle w:val="27"/>
        <w:ind w:firstLine="640"/>
        <w:rPr>
          <w:rFonts w:hint="default" w:ascii="Times New Roman" w:hAnsi="Times New Roman" w:eastAsia="仿宋_GB2312" w:cs="Times New Roman"/>
          <w:color w:val="auto"/>
        </w:rPr>
      </w:pPr>
      <w:bookmarkStart w:id="913" w:name="_Toc23698"/>
      <w:bookmarkStart w:id="914" w:name="_Toc24382"/>
      <w:bookmarkStart w:id="915" w:name="_Toc21820"/>
      <w:bookmarkStart w:id="916" w:name="_Toc7031"/>
      <w:bookmarkStart w:id="917" w:name="_Toc24406"/>
      <w:bookmarkStart w:id="918" w:name="_Toc18192"/>
      <w:r>
        <w:rPr>
          <w:rFonts w:hint="eastAsia" w:ascii="仿宋_GB2312" w:hAnsi="仿宋_GB2312" w:cs="仿宋_GB2312"/>
          <w:snapToGrid w:val="0"/>
          <w:color w:val="auto"/>
          <w:kern w:val="0"/>
          <w:sz w:val="32"/>
          <w:szCs w:val="32"/>
        </w:rPr>
        <w:t>以挥发性有机物</w:t>
      </w:r>
      <w:r>
        <w:rPr>
          <w:rFonts w:hint="eastAsia" w:ascii="仿宋_GB2312" w:hAnsi="仿宋_GB2312" w:cs="仿宋_GB2312"/>
          <w:snapToGrid w:val="0"/>
          <w:color w:val="auto"/>
          <w:kern w:val="0"/>
          <w:sz w:val="32"/>
          <w:szCs w:val="32"/>
          <w:lang w:eastAsia="zh-CN"/>
        </w:rPr>
        <w:t>、</w:t>
      </w:r>
      <w:r>
        <w:rPr>
          <w:rFonts w:hint="eastAsia" w:ascii="仿宋_GB2312" w:hAnsi="仿宋_GB2312" w:cs="仿宋_GB2312"/>
          <w:snapToGrid w:val="0"/>
          <w:color w:val="auto"/>
          <w:kern w:val="0"/>
          <w:sz w:val="32"/>
          <w:szCs w:val="32"/>
        </w:rPr>
        <w:t>工业炉窑</w:t>
      </w:r>
      <w:r>
        <w:rPr>
          <w:rFonts w:hint="eastAsia" w:ascii="仿宋_GB2312" w:hAnsi="仿宋_GB2312" w:cs="仿宋_GB2312"/>
          <w:snapToGrid w:val="0"/>
          <w:color w:val="auto"/>
          <w:kern w:val="0"/>
          <w:sz w:val="32"/>
          <w:szCs w:val="32"/>
          <w:lang w:val="en-US" w:eastAsia="zh-CN"/>
        </w:rPr>
        <w:t>和</w:t>
      </w:r>
      <w:r>
        <w:rPr>
          <w:rFonts w:hint="eastAsia" w:ascii="仿宋_GB2312" w:hAnsi="仿宋_GB2312" w:cs="仿宋_GB2312"/>
          <w:snapToGrid w:val="0"/>
          <w:color w:val="auto"/>
          <w:kern w:val="0"/>
          <w:sz w:val="32"/>
          <w:szCs w:val="32"/>
        </w:rPr>
        <w:t>锅炉综合治理为重点，深化工业源污染防治，健全分级管控体系，提升重点行业企业深度治理水平</w:t>
      </w:r>
      <w:r>
        <w:rPr>
          <w:rFonts w:hint="eastAsia" w:ascii="仿宋_GB2312" w:hAnsi="仿宋_GB2312" w:cs="仿宋_GB2312"/>
          <w:snapToGrid w:val="0"/>
          <w:color w:val="auto"/>
          <w:kern w:val="0"/>
          <w:sz w:val="32"/>
          <w:szCs w:val="32"/>
          <w:lang w:eastAsia="zh-CN"/>
        </w:rPr>
        <w:t>。</w:t>
      </w:r>
    </w:p>
    <w:p>
      <w:pPr>
        <w:pStyle w:val="5"/>
        <w:spacing w:before="0" w:after="0"/>
        <w:ind w:firstLine="640" w:firstLineChars="200"/>
        <w:rPr>
          <w:rFonts w:hint="default" w:ascii="黑体" w:hAnsi="黑体" w:eastAsia="黑体" w:cs="黑体"/>
          <w:b w:val="0"/>
          <w:bCs w:val="0"/>
          <w:color w:val="auto"/>
        </w:rPr>
      </w:pPr>
      <w:bookmarkStart w:id="919" w:name="_Toc8219"/>
      <w:bookmarkStart w:id="920" w:name="_Toc14302"/>
      <w:bookmarkStart w:id="921" w:name="_Toc20921"/>
      <w:bookmarkStart w:id="922" w:name="_Toc2850"/>
      <w:bookmarkStart w:id="923" w:name="_Toc22189"/>
      <w:bookmarkStart w:id="924" w:name="_Toc32710"/>
      <w:bookmarkStart w:id="925" w:name="_Toc8624"/>
      <w:bookmarkStart w:id="926" w:name="_Toc12506"/>
      <w:bookmarkStart w:id="927" w:name="_Toc5948"/>
      <w:r>
        <w:rPr>
          <w:rFonts w:hint="default" w:ascii="黑体" w:hAnsi="黑体" w:eastAsia="黑体" w:cs="黑体"/>
          <w:b w:val="0"/>
          <w:bCs w:val="0"/>
          <w:color w:val="auto"/>
        </w:rPr>
        <w:t>一、持续推进挥</w:t>
      </w:r>
      <w:r>
        <w:rPr>
          <w:rFonts w:hint="default" w:ascii="黑体" w:hAnsi="黑体" w:eastAsia="黑体" w:cs="黑体"/>
          <w:b w:val="0"/>
          <w:bCs w:val="0"/>
          <w:color w:val="auto"/>
          <w:lang w:eastAsia="zh-CN"/>
        </w:rPr>
        <w:t>发</w:t>
      </w:r>
      <w:r>
        <w:rPr>
          <w:rFonts w:hint="default" w:ascii="黑体" w:hAnsi="黑体" w:eastAsia="黑体" w:cs="黑体"/>
          <w:b w:val="0"/>
          <w:bCs w:val="0"/>
          <w:color w:val="auto"/>
        </w:rPr>
        <w:t>性有机物综合治理</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pPr>
        <w:pStyle w:val="27"/>
        <w:widowControl w:val="0"/>
        <w:wordWrap/>
        <w:adjustRightInd/>
        <w:snapToGrid/>
        <w:ind w:firstLine="640" w:firstLineChars="200"/>
        <w:textAlignment w:val="auto"/>
        <w:outlineLvl w:val="9"/>
        <w:rPr>
          <w:rFonts w:hint="default"/>
        </w:rPr>
      </w:pPr>
      <w:r>
        <w:rPr>
          <w:rFonts w:hint="eastAsia"/>
          <w:lang w:val="en-US" w:eastAsia="zh-CN"/>
        </w:rPr>
        <w:t>推进挥发性有机物（VOCs）源头控制和重点行业深度治理。开展原油、成品油、有机化学品等涉VOCs物质储罐排查，深化重点行业VOCs排放基数调查，系统掌握工业源VOCs产生、处理、排放及分布情况，分类建立台账，实施VOCs精细化管理。严格落实国家产品VOCs含量限值标准，除现阶段确无法实施替代的工序外，禁止新建生产和使用高挥发性有机物原辅材料的项目。严格实施VOCs排放企业分级管控，全面推进涉VOCs排放企业深度治理。督促VOCs重点企业编制VOCs深度治理手册，组织和指导VOCs重点企业“照单施治”。</w:t>
      </w:r>
      <w:r>
        <w:rPr>
          <w:rFonts w:hint="default"/>
        </w:rPr>
        <w:t>抓好化工园区和化工企业VOCs排放管理。推动</w:t>
      </w:r>
      <w:r>
        <w:rPr>
          <w:rFonts w:hint="eastAsia"/>
          <w:lang w:eastAsia="zh-CN"/>
        </w:rPr>
        <w:t>化工园区增加</w:t>
      </w:r>
      <w:r>
        <w:rPr>
          <w:rFonts w:hint="default"/>
        </w:rPr>
        <w:t>环境VOCs自动监测站点，强化重点企业VOCs排放监管</w:t>
      </w:r>
      <w:r>
        <w:rPr>
          <w:rFonts w:hint="eastAsia"/>
          <w:lang w:eastAsia="zh-CN"/>
        </w:rPr>
        <w:t>。</w:t>
      </w:r>
      <w:r>
        <w:rPr>
          <w:rFonts w:hint="eastAsia"/>
        </w:rPr>
        <w:t>开展无组织排放源排查，深入推进泄漏检测与修复（LDAR）工作</w:t>
      </w:r>
      <w:r>
        <w:rPr>
          <w:rFonts w:hint="eastAsia"/>
          <w:lang w:val="en-US" w:eastAsia="zh-CN"/>
        </w:rPr>
        <w:t>。</w:t>
      </w:r>
    </w:p>
    <w:p>
      <w:pPr>
        <w:pStyle w:val="5"/>
        <w:spacing w:before="0" w:after="0"/>
        <w:ind w:firstLine="640" w:firstLineChars="200"/>
        <w:rPr>
          <w:rFonts w:hint="default" w:ascii="黑体" w:hAnsi="黑体" w:eastAsia="黑体" w:cs="黑体"/>
          <w:b w:val="0"/>
          <w:bCs w:val="0"/>
          <w:color w:val="auto"/>
        </w:rPr>
      </w:pPr>
      <w:bookmarkStart w:id="928" w:name="_Toc1380"/>
      <w:bookmarkStart w:id="929" w:name="_Toc23049"/>
      <w:bookmarkStart w:id="930" w:name="_Toc12826"/>
      <w:bookmarkStart w:id="931" w:name="_Toc18260"/>
      <w:bookmarkStart w:id="932" w:name="_Toc27877"/>
      <w:bookmarkStart w:id="933" w:name="_Toc844"/>
      <w:bookmarkStart w:id="934" w:name="_Toc8797"/>
      <w:bookmarkStart w:id="935" w:name="_Toc18412"/>
      <w:bookmarkStart w:id="936" w:name="_Toc5626"/>
      <w:bookmarkStart w:id="937" w:name="_Toc10991"/>
      <w:bookmarkStart w:id="938" w:name="_Toc26871"/>
      <w:bookmarkStart w:id="939" w:name="_Toc20513"/>
      <w:bookmarkStart w:id="940" w:name="_Toc26485"/>
      <w:bookmarkStart w:id="941" w:name="_Toc11925"/>
      <w:bookmarkStart w:id="942" w:name="_Toc22423"/>
      <w:r>
        <w:rPr>
          <w:rFonts w:hint="default" w:ascii="黑体" w:hAnsi="黑体" w:eastAsia="黑体" w:cs="黑体"/>
          <w:b w:val="0"/>
          <w:bCs w:val="0"/>
          <w:color w:val="auto"/>
        </w:rPr>
        <w:t>二、深化工业炉窑和锅炉排放治理</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pStyle w:val="27"/>
        <w:jc w:val="both"/>
        <w:rPr>
          <w:rFonts w:hint="eastAsia" w:ascii="仿宋_GB2312" w:hAnsi="仿宋_GB2312" w:eastAsia="仿宋_GB2312" w:cs="仿宋_GB2312"/>
          <w:color w:val="auto"/>
          <w:szCs w:val="32"/>
        </w:rPr>
      </w:pPr>
      <w:r>
        <w:rPr>
          <w:rFonts w:hint="eastAsia" w:ascii="仿宋_GB2312" w:hAnsi="仿宋_GB2312" w:eastAsia="仿宋_GB2312" w:cs="仿宋_GB2312"/>
        </w:rPr>
        <w:t>钢铁、水泥、化工、有色金属等行业严格执行大气污染物特别排放限值。推进钢铁</w:t>
      </w:r>
      <w:r>
        <w:rPr>
          <w:rFonts w:hint="eastAsia" w:ascii="仿宋_GB2312" w:hAnsi="仿宋_GB2312" w:eastAsia="仿宋_GB2312" w:cs="仿宋_GB2312"/>
          <w:lang w:eastAsia="zh-CN"/>
        </w:rPr>
        <w:t>企业</w:t>
      </w:r>
      <w:r>
        <w:rPr>
          <w:rFonts w:hint="eastAsia" w:ascii="仿宋_GB2312" w:hAnsi="仿宋_GB2312" w:eastAsia="仿宋_GB2312" w:cs="仿宋_GB2312"/>
        </w:rPr>
        <w:t>实施超低排放改造，2025年底前，全市钢铁</w:t>
      </w:r>
      <w:r>
        <w:rPr>
          <w:rFonts w:hint="eastAsia" w:ascii="仿宋_GB2312" w:hAnsi="仿宋_GB2312" w:eastAsia="仿宋_GB2312" w:cs="仿宋_GB2312"/>
          <w:lang w:eastAsia="zh-CN"/>
        </w:rPr>
        <w:t>企业</w:t>
      </w:r>
      <w:r>
        <w:rPr>
          <w:rFonts w:hint="eastAsia" w:ascii="仿宋_GB2312" w:hAnsi="仿宋_GB2312" w:eastAsia="仿宋_GB2312" w:cs="仿宋_GB2312"/>
        </w:rPr>
        <w:t xml:space="preserve">完成超低排放改造。逐步推进水泥行业实施超低排放改造，力争到2025年全市水泥（熟料）制造企业的水泥窑及窑尾余热利用系统烟气NOx排放浓度不高于100 </w:t>
      </w:r>
      <w:r>
        <w:rPr>
          <w:rFonts w:hint="eastAsia" w:cs="仿宋_GB2312"/>
          <w:lang w:eastAsia="zh-CN"/>
        </w:rPr>
        <w:t>毫克</w:t>
      </w:r>
      <w:r>
        <w:rPr>
          <w:rFonts w:hint="eastAsia" w:cs="仿宋_GB2312"/>
          <w:lang w:val="en-US" w:eastAsia="zh-CN"/>
        </w:rPr>
        <w:t>/立方米</w:t>
      </w:r>
      <w:r>
        <w:rPr>
          <w:rFonts w:hint="eastAsia" w:ascii="仿宋_GB2312" w:hAnsi="仿宋_GB2312" w:eastAsia="仿宋_GB2312" w:cs="仿宋_GB2312"/>
        </w:rPr>
        <w:t>。加大工业锅炉整治力度，禁止新建35蒸吨</w:t>
      </w:r>
      <w:r>
        <w:rPr>
          <w:rFonts w:hint="eastAsia" w:ascii="仿宋_GB2312" w:hAnsi="仿宋_GB2312" w:eastAsia="仿宋_GB2312" w:cs="仿宋_GB2312"/>
          <w:lang w:val="en-US" w:eastAsia="zh-CN"/>
        </w:rPr>
        <w:t>/</w:t>
      </w:r>
      <w:r>
        <w:rPr>
          <w:rFonts w:hint="eastAsia" w:ascii="仿宋_GB2312" w:hAnsi="仿宋_GB2312" w:eastAsia="仿宋_GB2312" w:cs="仿宋_GB2312"/>
        </w:rPr>
        <w:t>小时以下燃煤锅炉</w:t>
      </w:r>
      <w:r>
        <w:rPr>
          <w:rFonts w:hint="eastAsia" w:ascii="仿宋_GB2312" w:hAnsi="仿宋_GB2312" w:eastAsia="仿宋_GB2312" w:cs="仿宋_GB2312"/>
          <w:lang w:eastAsia="zh-CN"/>
        </w:rPr>
        <w:t>；</w:t>
      </w:r>
      <w:r>
        <w:rPr>
          <w:rFonts w:hint="eastAsia" w:ascii="仿宋_GB2312" w:hAnsi="仿宋_GB2312" w:eastAsia="仿宋_GB2312" w:cs="仿宋_GB2312"/>
        </w:rPr>
        <w:t>推进陶瓷等行业实施深度治理，持续开展生物质成型燃料锅炉整治，推动实施燃气锅炉低氮燃烧改造。严格实施工业炉窑分级管控，全面推动B级</w:t>
      </w:r>
      <w:r>
        <w:rPr>
          <w:rStyle w:val="17"/>
          <w:rFonts w:hint="eastAsia" w:ascii="仿宋_GB2312" w:hAnsi="仿宋_GB2312" w:eastAsia="仿宋_GB2312" w:cs="仿宋_GB2312"/>
          <w:color w:val="auto"/>
        </w:rPr>
        <w:footnoteReference w:id="0"/>
      </w:r>
      <w:r>
        <w:rPr>
          <w:rFonts w:hint="eastAsia" w:ascii="仿宋_GB2312" w:hAnsi="仿宋_GB2312" w:eastAsia="仿宋_GB2312" w:cs="仿宋_GB2312"/>
        </w:rPr>
        <w:t>以下工业炉窑的清洁低碳化改造、废气治理设施升级改造、全过程无组织排放管控。</w:t>
      </w:r>
    </w:p>
    <w:p>
      <w:pPr>
        <w:pStyle w:val="4"/>
        <w:keepNext/>
        <w:keepLines/>
        <w:widowControl w:val="0"/>
        <w:wordWrap/>
        <w:adjustRightInd w:val="0"/>
        <w:snapToGrid w:val="0"/>
        <w:spacing w:before="0" w:afterLines="50" w:line="560" w:lineRule="exact"/>
        <w:jc w:val="center"/>
        <w:textAlignment w:val="auto"/>
        <w:outlineLvl w:val="1"/>
        <w:rPr>
          <w:rFonts w:hint="eastAsia" w:ascii="黑体" w:hAnsi="黑体" w:eastAsia="黑体" w:cs="黑体"/>
          <w:b w:val="0"/>
          <w:bCs w:val="0"/>
          <w:color w:val="auto"/>
          <w:kern w:val="2"/>
          <w:sz w:val="32"/>
        </w:rPr>
      </w:pPr>
      <w:bookmarkStart w:id="943" w:name="_Toc8318"/>
      <w:bookmarkStart w:id="944" w:name="_Toc12389"/>
      <w:bookmarkStart w:id="945" w:name="_Toc13815"/>
      <w:bookmarkStart w:id="946" w:name="_Toc61001237"/>
      <w:bookmarkStart w:id="947" w:name="_Toc9633"/>
      <w:bookmarkStart w:id="948" w:name="_Toc30034"/>
      <w:bookmarkStart w:id="949" w:name="_Toc32051"/>
      <w:bookmarkStart w:id="950" w:name="_Toc32348"/>
      <w:bookmarkStart w:id="951" w:name="_Toc12186"/>
      <w:bookmarkStart w:id="952" w:name="_Toc6056"/>
      <w:bookmarkStart w:id="953" w:name="_Toc19288"/>
      <w:bookmarkStart w:id="954" w:name="_Toc18809"/>
      <w:bookmarkStart w:id="955" w:name="_Toc9846"/>
      <w:bookmarkStart w:id="956" w:name="_Toc25319"/>
      <w:bookmarkStart w:id="957" w:name="_Toc32505"/>
      <w:bookmarkStart w:id="958" w:name="_Toc12456"/>
      <w:bookmarkStart w:id="959" w:name="_Toc718"/>
      <w:bookmarkStart w:id="960" w:name="_Toc4812"/>
      <w:bookmarkStart w:id="961" w:name="_Toc20142"/>
      <w:bookmarkStart w:id="962" w:name="_Toc5037"/>
      <w:bookmarkStart w:id="963" w:name="_Toc3557"/>
      <w:bookmarkStart w:id="964" w:name="_Toc716"/>
      <w:bookmarkStart w:id="965" w:name="_Toc4806"/>
      <w:bookmarkStart w:id="966" w:name="_Toc2783"/>
      <w:bookmarkStart w:id="967" w:name="_Toc32549"/>
      <w:r>
        <w:rPr>
          <w:rFonts w:hint="eastAsia" w:ascii="黑体" w:hAnsi="黑体" w:eastAsia="黑体" w:cs="黑体"/>
          <w:b w:val="0"/>
          <w:bCs w:val="0"/>
          <w:color w:val="auto"/>
          <w:kern w:val="2"/>
          <w:sz w:val="32"/>
        </w:rPr>
        <w:t>第四节</w:t>
      </w:r>
      <w:r>
        <w:rPr>
          <w:rFonts w:hint="eastAsia" w:ascii="黑体" w:hAnsi="黑体" w:eastAsia="黑体" w:cs="黑体"/>
          <w:b w:val="0"/>
          <w:bCs w:val="0"/>
          <w:color w:val="auto"/>
          <w:kern w:val="2"/>
          <w:sz w:val="32"/>
          <w:lang w:eastAsia="zh-CN"/>
        </w:rPr>
        <w:t>　</w:t>
      </w:r>
      <w:r>
        <w:rPr>
          <w:rFonts w:hint="eastAsia" w:ascii="黑体" w:hAnsi="黑体" w:eastAsia="黑体" w:cs="黑体"/>
          <w:b w:val="0"/>
          <w:bCs w:val="0"/>
          <w:color w:val="auto"/>
          <w:kern w:val="2"/>
          <w:sz w:val="32"/>
        </w:rPr>
        <w:t>有效防控</w:t>
      </w:r>
      <w:r>
        <w:rPr>
          <w:rFonts w:hint="eastAsia" w:ascii="黑体" w:hAnsi="黑体" w:eastAsia="黑体" w:cs="黑体"/>
          <w:b w:val="0"/>
          <w:bCs w:val="0"/>
          <w:color w:val="auto"/>
          <w:kern w:val="2"/>
          <w:sz w:val="32"/>
          <w:lang w:eastAsia="zh-CN"/>
        </w:rPr>
        <w:t>面源及</w:t>
      </w:r>
      <w:r>
        <w:rPr>
          <w:rFonts w:hint="eastAsia" w:ascii="黑体" w:hAnsi="黑体" w:eastAsia="黑体" w:cs="黑体"/>
          <w:b w:val="0"/>
          <w:bCs w:val="0"/>
          <w:color w:val="auto"/>
          <w:kern w:val="2"/>
          <w:sz w:val="32"/>
        </w:rPr>
        <w:t>其他大气污染</w:t>
      </w:r>
      <w:bookmarkEnd w:id="943"/>
      <w:r>
        <w:rPr>
          <w:rFonts w:hint="eastAsia" w:ascii="黑体" w:hAnsi="黑体" w:eastAsia="黑体" w:cs="黑体"/>
          <w:b w:val="0"/>
          <w:bCs w:val="0"/>
          <w:color w:val="auto"/>
          <w:kern w:val="2"/>
          <w:sz w:val="32"/>
        </w:rPr>
        <w:t>物</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pPr>
        <w:pStyle w:val="27"/>
        <w:widowControl w:val="0"/>
        <w:wordWrap/>
        <w:adjustRightInd/>
        <w:snapToGrid/>
        <w:textAlignment w:val="auto"/>
        <w:outlineLvl w:val="9"/>
        <w:rPr>
          <w:rFonts w:hint="default"/>
        </w:rPr>
      </w:pPr>
      <w:r>
        <w:rPr>
          <w:rFonts w:hint="default"/>
        </w:rPr>
        <w:t>加强道路扬尘污染控制，上路运输的车辆应当采用密闭措施运输物料、渣土、垃圾，保证物料不遗撒外漏，确保散体物料运输车辆100%实现全封闭运输。严格落实工地扬尘污染防治</w:t>
      </w:r>
      <w:r>
        <w:rPr>
          <w:rFonts w:hint="eastAsia" w:ascii="仿宋_GB2312" w:hAnsi="仿宋_GB2312"/>
          <w:lang w:eastAsia="zh-CN"/>
        </w:rPr>
        <w:t>“</w:t>
      </w:r>
      <w:r>
        <w:rPr>
          <w:rFonts w:hint="eastAsia" w:ascii="仿宋_GB2312" w:hAnsi="仿宋_GB2312"/>
        </w:rPr>
        <w:t>6个100%</w:t>
      </w:r>
      <w:r>
        <w:rPr>
          <w:rFonts w:hint="eastAsia" w:ascii="仿宋_GB2312" w:hAnsi="仿宋_GB2312"/>
          <w:lang w:eastAsia="zh-CN"/>
        </w:rPr>
        <w:t>”</w:t>
      </w:r>
      <w:r>
        <w:rPr>
          <w:rFonts w:hint="default"/>
        </w:rPr>
        <w:t>措施，严格落实建筑工地扬尘视频监控和在线监控要求。加强堆场和裸露土地扬尘污染控制，对煤堆、料堆、灰堆、产品堆场以及混凝土</w:t>
      </w:r>
      <w:r>
        <w:rPr>
          <w:rFonts w:hint="eastAsia"/>
          <w:lang w:eastAsia="zh-CN"/>
        </w:rPr>
        <w:t>（</w:t>
      </w:r>
      <w:r>
        <w:rPr>
          <w:rFonts w:hint="default"/>
        </w:rPr>
        <w:t>沥青</w:t>
      </w:r>
      <w:r>
        <w:rPr>
          <w:rFonts w:hint="eastAsia"/>
          <w:lang w:eastAsia="zh-CN"/>
        </w:rPr>
        <w:t>）</w:t>
      </w:r>
      <w:r>
        <w:rPr>
          <w:rFonts w:hint="default"/>
        </w:rPr>
        <w:t>搅拌、配送站等扬尘源进行清单化管理并定期更新。</w:t>
      </w:r>
      <w:r>
        <w:rPr>
          <w:rFonts w:hint="eastAsia"/>
          <w:lang w:eastAsia="zh-CN"/>
        </w:rPr>
        <w:t>强化</w:t>
      </w:r>
      <w:r>
        <w:rPr>
          <w:rFonts w:hint="default"/>
        </w:rPr>
        <w:t>露天焚烧的管控，建立健全禁烧工作的长效监管机制</w:t>
      </w:r>
      <w:r>
        <w:rPr>
          <w:rFonts w:hint="eastAsia"/>
          <w:lang w:eastAsia="zh-CN"/>
        </w:rPr>
        <w:t>，</w:t>
      </w:r>
      <w:r>
        <w:rPr>
          <w:rFonts w:hint="default"/>
        </w:rPr>
        <w:t>全面加强露天烧烤和燃放烟花爆竹的管控</w:t>
      </w:r>
      <w:r>
        <w:rPr>
          <w:rFonts w:hint="eastAsia"/>
          <w:lang w:eastAsia="zh-CN"/>
        </w:rPr>
        <w:t>。</w:t>
      </w:r>
      <w:r>
        <w:rPr>
          <w:rFonts w:hint="default"/>
        </w:rPr>
        <w:t>加强大气氨排放控制，探索建立大气氨规范化排放清单，摸清重点排放源，探索推进养殖业、种植业大气氨减排。</w:t>
      </w:r>
    </w:p>
    <w:bookmarkEnd w:id="766"/>
    <w:bookmarkEnd w:id="767"/>
    <w:bookmarkEnd w:id="768"/>
    <w:bookmarkEnd w:id="769"/>
    <w:bookmarkEnd w:id="770"/>
    <w:bookmarkEnd w:id="771"/>
    <w:bookmarkEnd w:id="772"/>
    <w:p>
      <w:pPr>
        <w:pStyle w:val="3"/>
        <w:rPr>
          <w:rFonts w:hint="default" w:ascii="Times New Roman" w:hAnsi="Times New Roman" w:cs="Times New Roman"/>
          <w:color w:val="auto"/>
        </w:rPr>
        <w:sectPr>
          <w:pgSz w:w="11906" w:h="16838"/>
          <w:pgMar w:top="2098" w:right="1474" w:bottom="1984" w:left="1587" w:header="851" w:footer="850" w:gutter="0"/>
          <w:pgNumType w:fmt="numberInDash"/>
          <w:cols w:space="720" w:num="1"/>
          <w:docGrid w:type="lines" w:linePitch="312" w:charSpace="0"/>
        </w:sectPr>
      </w:pPr>
      <w:bookmarkStart w:id="968" w:name="_Toc31266"/>
      <w:bookmarkStart w:id="969" w:name="_Toc8726"/>
      <w:bookmarkStart w:id="970" w:name="_Toc61001239"/>
      <w:bookmarkStart w:id="971" w:name="_Toc20326"/>
      <w:bookmarkStart w:id="972" w:name="_Toc9105"/>
      <w:bookmarkStart w:id="973" w:name="_Toc57663212"/>
      <w:bookmarkStart w:id="974" w:name="_Toc5367"/>
      <w:bookmarkStart w:id="975" w:name="_Toc16302"/>
      <w:bookmarkStart w:id="976" w:name="_Toc30258"/>
      <w:bookmarkStart w:id="977" w:name="_Toc26174"/>
      <w:bookmarkStart w:id="978" w:name="_Toc27598"/>
    </w:p>
    <w:bookmarkEnd w:id="968"/>
    <w:bookmarkEnd w:id="969"/>
    <w:bookmarkEnd w:id="970"/>
    <w:bookmarkEnd w:id="971"/>
    <w:bookmarkEnd w:id="972"/>
    <w:bookmarkEnd w:id="973"/>
    <w:bookmarkEnd w:id="974"/>
    <w:bookmarkEnd w:id="975"/>
    <w:bookmarkEnd w:id="976"/>
    <w:p>
      <w:pPr>
        <w:pStyle w:val="3"/>
        <w:numPr>
          <w:ilvl w:val="0"/>
          <w:numId w:val="5"/>
        </w:numPr>
        <w:ind w:left="0" w:leftChars="0" w:firstLine="0" w:firstLineChars="0"/>
        <w:rPr>
          <w:rFonts w:hint="eastAsia" w:ascii="方正小标宋简体" w:hAnsi="方正小标宋简体" w:eastAsia="方正小标宋简体" w:cs="方正小标宋简体"/>
          <w:color w:val="auto"/>
          <w:sz w:val="36"/>
          <w:szCs w:val="44"/>
        </w:rPr>
      </w:pPr>
      <w:bookmarkStart w:id="979" w:name="_Toc16121"/>
      <w:bookmarkStart w:id="980" w:name="_Toc12348"/>
      <w:bookmarkStart w:id="981" w:name="_Toc19984"/>
      <w:bookmarkStart w:id="982" w:name="_Toc24051"/>
      <w:bookmarkStart w:id="983" w:name="_Toc10614"/>
      <w:bookmarkStart w:id="984" w:name="_Toc4338"/>
      <w:bookmarkStart w:id="985" w:name="_Toc19039"/>
      <w:bookmarkStart w:id="986" w:name="_Toc29672"/>
      <w:bookmarkStart w:id="987" w:name="_Toc30216"/>
      <w:bookmarkStart w:id="988" w:name="_Toc6570"/>
      <w:bookmarkStart w:id="989" w:name="_Toc17042"/>
      <w:bookmarkStart w:id="990" w:name="_Toc18572"/>
      <w:bookmarkStart w:id="991" w:name="_Toc3653"/>
      <w:bookmarkStart w:id="992" w:name="_Toc28849"/>
      <w:bookmarkStart w:id="993" w:name="_Toc27379"/>
      <w:bookmarkStart w:id="994" w:name="_Toc5410"/>
      <w:bookmarkStart w:id="995" w:name="_Toc8640"/>
      <w:r>
        <w:rPr>
          <w:rFonts w:hint="eastAsia" w:ascii="方正小标宋简体" w:hAnsi="方正小标宋简体" w:eastAsia="方正小标宋简体" w:cs="方正小标宋简体"/>
          <w:b w:val="0"/>
          <w:bCs/>
          <w:color w:val="auto"/>
          <w:sz w:val="36"/>
          <w:szCs w:val="44"/>
        </w:rPr>
        <w:t>深入打好水污染防治攻坚战，巩固水环境质</w:t>
      </w:r>
      <w:bookmarkEnd w:id="979"/>
      <w:r>
        <w:rPr>
          <w:rFonts w:hint="eastAsia" w:ascii="方正小标宋简体" w:hAnsi="方正小标宋简体" w:eastAsia="方正小标宋简体" w:cs="方正小标宋简体"/>
          <w:b w:val="0"/>
          <w:bCs/>
          <w:color w:val="auto"/>
          <w:sz w:val="36"/>
          <w:szCs w:val="44"/>
        </w:rPr>
        <w:t>量</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pPr>
        <w:pStyle w:val="27"/>
        <w:widowControl w:val="0"/>
        <w:wordWrap/>
        <w:adjustRightInd/>
        <w:snapToGrid/>
        <w:textAlignment w:val="auto"/>
        <w:outlineLvl w:val="9"/>
        <w:rPr>
          <w:rFonts w:hint="default" w:ascii="Times New Roman" w:hAnsi="Times New Roman" w:cs="Times New Roman"/>
          <w:color w:val="auto"/>
        </w:rPr>
      </w:pPr>
    </w:p>
    <w:p>
      <w:pPr>
        <w:pStyle w:val="27"/>
        <w:widowControl w:val="0"/>
        <w:wordWrap/>
        <w:adjustRightInd/>
        <w:snapToGrid/>
        <w:textAlignment w:val="auto"/>
        <w:outlineLvl w:val="9"/>
        <w:rPr>
          <w:rFonts w:hint="default"/>
        </w:rPr>
      </w:pPr>
      <w:r>
        <w:rPr>
          <w:rFonts w:hint="default"/>
        </w:rPr>
        <w:t>以水生态环境质量改善为核心，</w:t>
      </w:r>
      <w:r>
        <w:rPr>
          <w:rFonts w:hint="eastAsia"/>
        </w:rPr>
        <w:t>坚持因地制宜、系统联动、水岸同治，凝心聚力做好管水治水兴水</w:t>
      </w:r>
      <w:r>
        <w:rPr>
          <w:rFonts w:hint="eastAsia"/>
          <w:lang w:eastAsia="zh-CN"/>
        </w:rPr>
        <w:t>“</w:t>
      </w:r>
      <w:r>
        <w:rPr>
          <w:rFonts w:hint="eastAsia"/>
        </w:rPr>
        <w:t>大文章</w:t>
      </w:r>
      <w:r>
        <w:rPr>
          <w:rFonts w:hint="eastAsia"/>
          <w:lang w:eastAsia="zh-CN"/>
        </w:rPr>
        <w:t>”</w:t>
      </w:r>
      <w:r>
        <w:rPr>
          <w:rFonts w:hint="eastAsia"/>
        </w:rPr>
        <w:t>，</w:t>
      </w:r>
      <w:r>
        <w:rPr>
          <w:rFonts w:hint="default"/>
        </w:rPr>
        <w:t>充分发挥河长制</w:t>
      </w:r>
      <w:r>
        <w:rPr>
          <w:rFonts w:hint="default"/>
          <w:lang w:eastAsia="zh-CN"/>
        </w:rPr>
        <w:t>、</w:t>
      </w:r>
      <w:r>
        <w:rPr>
          <w:rFonts w:hint="default"/>
        </w:rPr>
        <w:t>湖长制作用，</w:t>
      </w:r>
      <w:r>
        <w:rPr>
          <w:rFonts w:hint="eastAsia"/>
        </w:rPr>
        <w:t>坚持环境治理与生态修复两手发力，统筹水资源利用、水生态保护和水环境治理，打造绿色生态水网，</w:t>
      </w:r>
      <w:r>
        <w:rPr>
          <w:rFonts w:hint="eastAsia"/>
          <w:lang w:eastAsia="zh-CN"/>
        </w:rPr>
        <w:t>实现“水清岸绿、鱼翔浅底”</w:t>
      </w:r>
      <w:r>
        <w:rPr>
          <w:rFonts w:hint="eastAsia"/>
        </w:rPr>
        <w:t>的</w:t>
      </w:r>
      <w:r>
        <w:rPr>
          <w:rFonts w:hint="eastAsia"/>
          <w:lang w:eastAsia="zh-CN"/>
        </w:rPr>
        <w:t>美好愿景</w:t>
      </w:r>
      <w:r>
        <w:rPr>
          <w:rFonts w:hint="eastAsia"/>
        </w:rPr>
        <w:t>。</w:t>
      </w:r>
    </w:p>
    <w:p>
      <w:pPr>
        <w:pStyle w:val="4"/>
        <w:keepNext/>
        <w:keepLines/>
        <w:widowControl w:val="0"/>
        <w:wordWrap/>
        <w:adjustRightInd w:val="0"/>
        <w:snapToGrid w:val="0"/>
        <w:spacing w:beforeLines="50" w:afterLines="50" w:line="560" w:lineRule="exact"/>
        <w:jc w:val="center"/>
        <w:textAlignment w:val="auto"/>
        <w:outlineLvl w:val="1"/>
        <w:rPr>
          <w:rFonts w:hint="eastAsia" w:ascii="黑体" w:hAnsi="黑体" w:eastAsia="黑体" w:cs="黑体"/>
          <w:b w:val="0"/>
          <w:bCs w:val="0"/>
          <w:color w:val="auto"/>
          <w:kern w:val="2"/>
          <w:sz w:val="32"/>
        </w:rPr>
      </w:pPr>
      <w:bookmarkStart w:id="996" w:name="_Toc9202"/>
      <w:bookmarkStart w:id="997" w:name="_Toc20220"/>
      <w:bookmarkStart w:id="998" w:name="_Toc21284"/>
      <w:bookmarkStart w:id="999" w:name="_Toc7643"/>
      <w:bookmarkStart w:id="1000" w:name="_Toc22782"/>
      <w:bookmarkStart w:id="1001" w:name="_Toc28748"/>
      <w:bookmarkStart w:id="1002" w:name="_Toc23813"/>
      <w:bookmarkStart w:id="1003" w:name="_Toc15201"/>
      <w:bookmarkStart w:id="1004" w:name="_Toc3968"/>
      <w:bookmarkStart w:id="1005" w:name="_Toc31667"/>
      <w:bookmarkStart w:id="1006" w:name="_Toc4917"/>
      <w:bookmarkStart w:id="1007" w:name="_Toc19139"/>
      <w:bookmarkStart w:id="1008" w:name="_Toc15326"/>
      <w:bookmarkStart w:id="1009" w:name="_Toc27452"/>
      <w:bookmarkStart w:id="1010" w:name="_Toc31473"/>
      <w:bookmarkStart w:id="1011" w:name="_Toc28537"/>
      <w:bookmarkStart w:id="1012" w:name="_Toc14337"/>
      <w:r>
        <w:rPr>
          <w:rFonts w:hint="eastAsia" w:ascii="黑体" w:hAnsi="黑体" w:eastAsia="黑体" w:cs="黑体"/>
          <w:b w:val="0"/>
          <w:bCs w:val="0"/>
          <w:color w:val="auto"/>
          <w:kern w:val="2"/>
          <w:sz w:val="32"/>
        </w:rPr>
        <w:t>第</w:t>
      </w:r>
      <w:r>
        <w:rPr>
          <w:rFonts w:hint="eastAsia" w:ascii="黑体" w:hAnsi="黑体" w:eastAsia="黑体" w:cs="黑体"/>
          <w:b w:val="0"/>
          <w:bCs w:val="0"/>
          <w:color w:val="auto"/>
          <w:kern w:val="2"/>
          <w:sz w:val="32"/>
          <w:lang w:val="en-US" w:eastAsia="zh-CN"/>
        </w:rPr>
        <w:t>一</w:t>
      </w:r>
      <w:r>
        <w:rPr>
          <w:rFonts w:hint="eastAsia" w:ascii="黑体" w:hAnsi="黑体" w:eastAsia="黑体" w:cs="黑体"/>
          <w:b w:val="0"/>
          <w:bCs w:val="0"/>
          <w:color w:val="auto"/>
          <w:kern w:val="2"/>
          <w:sz w:val="32"/>
        </w:rPr>
        <w:t>节</w:t>
      </w:r>
      <w:r>
        <w:rPr>
          <w:rFonts w:hint="eastAsia" w:ascii="黑体" w:hAnsi="黑体" w:eastAsia="黑体" w:cs="黑体"/>
          <w:b w:val="0"/>
          <w:bCs w:val="0"/>
          <w:color w:val="auto"/>
          <w:kern w:val="2"/>
          <w:sz w:val="32"/>
          <w:lang w:eastAsia="zh-CN"/>
        </w:rPr>
        <w:t>　</w:t>
      </w:r>
      <w:r>
        <w:rPr>
          <w:rFonts w:hint="eastAsia" w:ascii="黑体" w:hAnsi="黑体" w:eastAsia="黑体" w:cs="黑体"/>
          <w:b w:val="0"/>
          <w:bCs w:val="0"/>
          <w:color w:val="auto"/>
          <w:kern w:val="2"/>
          <w:sz w:val="32"/>
          <w:lang w:val="en-US" w:eastAsia="zh-CN"/>
        </w:rPr>
        <w:t>全力</w:t>
      </w:r>
      <w:r>
        <w:rPr>
          <w:rFonts w:hint="eastAsia" w:ascii="黑体" w:hAnsi="黑体" w:eastAsia="黑体" w:cs="黑体"/>
          <w:b w:val="0"/>
          <w:bCs w:val="0"/>
          <w:color w:val="auto"/>
          <w:kern w:val="2"/>
          <w:sz w:val="32"/>
        </w:rPr>
        <w:t>保障</w:t>
      </w:r>
      <w:r>
        <w:rPr>
          <w:rFonts w:hint="eastAsia" w:ascii="黑体" w:hAnsi="黑体" w:eastAsia="黑体" w:cs="黑体"/>
          <w:b w:val="0"/>
          <w:bCs w:val="0"/>
          <w:color w:val="auto"/>
          <w:kern w:val="2"/>
          <w:sz w:val="32"/>
          <w:lang w:val="en-US" w:eastAsia="zh-CN"/>
        </w:rPr>
        <w:t>饮用水源</w:t>
      </w:r>
      <w:r>
        <w:rPr>
          <w:rFonts w:hint="eastAsia" w:ascii="黑体" w:hAnsi="黑体" w:eastAsia="黑体" w:cs="黑体"/>
          <w:b w:val="0"/>
          <w:bCs w:val="0"/>
          <w:color w:val="auto"/>
          <w:kern w:val="2"/>
          <w:sz w:val="32"/>
        </w:rPr>
        <w:t>安</w:t>
      </w:r>
      <w:bookmarkEnd w:id="996"/>
      <w:r>
        <w:rPr>
          <w:rFonts w:hint="eastAsia" w:ascii="黑体" w:hAnsi="黑体" w:eastAsia="黑体" w:cs="黑体"/>
          <w:b w:val="0"/>
          <w:bCs w:val="0"/>
          <w:color w:val="auto"/>
          <w:kern w:val="2"/>
          <w:sz w:val="32"/>
        </w:rPr>
        <w:t>全</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27"/>
        <w:widowControl w:val="0"/>
        <w:wordWrap/>
        <w:adjustRightInd/>
        <w:snapToGrid/>
        <w:textAlignment w:val="auto"/>
        <w:outlineLvl w:val="9"/>
        <w:rPr>
          <w:rFonts w:hint="eastAsia" w:ascii="Times New Roman" w:hAnsi="Times New Roman" w:eastAsia="仿宋_GB2312" w:cs="Times New Roman"/>
          <w:b w:val="0"/>
          <w:bCs w:val="0"/>
          <w:color w:val="auto"/>
          <w:szCs w:val="32"/>
        </w:rPr>
      </w:pPr>
      <w:bookmarkStart w:id="1013" w:name="_Toc3567"/>
      <w:r>
        <w:rPr>
          <w:rFonts w:hint="eastAsia"/>
        </w:rPr>
        <w:t>全面统筹规划饮用水水源地，坚持以人为本，持续优化调整供水格局，推进饮用水水源地</w:t>
      </w:r>
      <w:r>
        <w:rPr>
          <w:rFonts w:hint="eastAsia"/>
          <w:lang w:eastAsia="zh-CN"/>
        </w:rPr>
        <w:t>“</w:t>
      </w:r>
      <w:r>
        <w:rPr>
          <w:rFonts w:hint="eastAsia"/>
        </w:rPr>
        <w:t>划、立、治</w:t>
      </w:r>
      <w:r>
        <w:rPr>
          <w:rFonts w:hint="eastAsia"/>
          <w:lang w:eastAsia="zh-CN"/>
        </w:rPr>
        <w:t>”</w:t>
      </w:r>
      <w:r>
        <w:rPr>
          <w:rFonts w:hint="eastAsia"/>
        </w:rPr>
        <w:t>，保障饮用水水源地水质稳定达标，切实保障人民群众饮水安全。</w:t>
      </w:r>
      <w:bookmarkEnd w:id="1013"/>
    </w:p>
    <w:p>
      <w:pPr>
        <w:pStyle w:val="5"/>
        <w:spacing w:before="0" w:after="0"/>
        <w:ind w:firstLine="640" w:firstLineChars="200"/>
        <w:rPr>
          <w:rFonts w:hint="eastAsia" w:ascii="黑体" w:hAnsi="黑体" w:eastAsia="黑体" w:cs="黑体"/>
          <w:b w:val="0"/>
          <w:bCs w:val="0"/>
          <w:color w:val="auto"/>
        </w:rPr>
      </w:pPr>
      <w:bookmarkStart w:id="1014" w:name="_Toc28213"/>
      <w:bookmarkStart w:id="1015" w:name="_Toc7127"/>
      <w:bookmarkStart w:id="1016" w:name="_Toc12512"/>
      <w:bookmarkStart w:id="1017" w:name="_Toc32746"/>
      <w:bookmarkStart w:id="1018" w:name="_Toc17797"/>
      <w:bookmarkStart w:id="1019" w:name="_Toc4944"/>
      <w:bookmarkStart w:id="1020" w:name="_Toc28701"/>
      <w:bookmarkStart w:id="1021" w:name="_Toc440"/>
      <w:bookmarkStart w:id="1022" w:name="_Toc23856"/>
      <w:bookmarkStart w:id="1023" w:name="_Toc14379"/>
      <w:r>
        <w:rPr>
          <w:rFonts w:hint="eastAsia" w:ascii="黑体" w:hAnsi="黑体" w:eastAsia="黑体" w:cs="黑体"/>
          <w:b w:val="0"/>
          <w:bCs w:val="0"/>
          <w:color w:val="auto"/>
        </w:rPr>
        <w:t>一、</w:t>
      </w:r>
      <w:r>
        <w:rPr>
          <w:rFonts w:hint="eastAsia" w:ascii="黑体" w:hAnsi="黑体" w:eastAsia="黑体" w:cs="黑体"/>
          <w:b w:val="0"/>
          <w:bCs w:val="0"/>
          <w:color w:val="auto"/>
          <w:lang w:val="en-US" w:eastAsia="zh-CN"/>
        </w:rPr>
        <w:t>系统</w:t>
      </w:r>
      <w:r>
        <w:rPr>
          <w:rFonts w:hint="eastAsia" w:ascii="黑体" w:hAnsi="黑体" w:eastAsia="黑体" w:cs="黑体"/>
          <w:b w:val="0"/>
          <w:bCs w:val="0"/>
          <w:color w:val="auto"/>
        </w:rPr>
        <w:t>优化调整供排水格局</w:t>
      </w:r>
      <w:bookmarkEnd w:id="1014"/>
      <w:bookmarkEnd w:id="1015"/>
      <w:bookmarkEnd w:id="1016"/>
      <w:bookmarkEnd w:id="1017"/>
      <w:bookmarkEnd w:id="1018"/>
      <w:bookmarkEnd w:id="1019"/>
      <w:bookmarkEnd w:id="1020"/>
      <w:bookmarkEnd w:id="1021"/>
      <w:bookmarkEnd w:id="1022"/>
      <w:bookmarkEnd w:id="1023"/>
    </w:p>
    <w:p>
      <w:pPr>
        <w:pStyle w:val="27"/>
        <w:widowControl w:val="0"/>
        <w:wordWrap/>
        <w:adjustRightInd/>
        <w:snapToGrid/>
        <w:textAlignment w:val="auto"/>
        <w:outlineLvl w:val="9"/>
        <w:rPr>
          <w:rFonts w:hint="default"/>
        </w:rPr>
      </w:pPr>
      <w:r>
        <w:rPr>
          <w:rFonts w:hint="eastAsia"/>
        </w:rPr>
        <w:t>科学规划供水布局，全面统筹、合理规划流域、区域饮用水水源地。严格落实供排水通道保护要求，供水通道严格控制新建排污口，依法关停涉重金属、持久性有机污染物的排污口。开展水功能区和水环境功能区整合优化，实现高低用水功能区之间的相对分离与协调。持续推进重点流域跨区域联保共治、协同保护。</w:t>
      </w:r>
      <w:r>
        <w:rPr>
          <w:rFonts w:hint="default"/>
        </w:rPr>
        <w:t>加强县级以上应急备用水源建设。在南水水库引水工程竣工通水的基础上，开展可行性研究撤销浈江备用饮用水源保护区；在鲁古河水库向新丰县城供水的基础上，开展可行性研究撤销梅坑河、小正河备用饮用水源保护区。</w:t>
      </w:r>
      <w:bookmarkStart w:id="1024" w:name="_Toc7549"/>
      <w:bookmarkStart w:id="1025" w:name="_Toc9023"/>
      <w:bookmarkStart w:id="1026" w:name="_Toc23224"/>
    </w:p>
    <w:p>
      <w:pPr>
        <w:pStyle w:val="5"/>
        <w:widowControl w:val="0"/>
        <w:kinsoku w:val="0"/>
        <w:wordWrap/>
        <w:overflowPunct w:val="0"/>
        <w:autoSpaceDE w:val="0"/>
        <w:autoSpaceDN w:val="0"/>
        <w:adjustRightInd w:val="0"/>
        <w:snapToGrid w:val="0"/>
        <w:spacing w:before="0" w:after="0"/>
        <w:ind w:firstLine="640" w:firstLineChars="200"/>
        <w:textAlignment w:val="auto"/>
        <w:outlineLvl w:val="2"/>
        <w:rPr>
          <w:rFonts w:hint="eastAsia" w:ascii="黑体" w:hAnsi="黑体" w:eastAsia="黑体" w:cs="黑体"/>
          <w:b w:val="0"/>
          <w:bCs w:val="0"/>
          <w:color w:val="auto"/>
          <w:lang w:eastAsia="zh-CN"/>
        </w:rPr>
      </w:pPr>
      <w:bookmarkStart w:id="1027" w:name="_Toc20583"/>
      <w:bookmarkStart w:id="1028" w:name="_Toc31161"/>
      <w:bookmarkStart w:id="1029" w:name="_Toc12393"/>
      <w:bookmarkStart w:id="1030" w:name="_Toc2493"/>
      <w:bookmarkStart w:id="1031" w:name="_Toc3229"/>
      <w:bookmarkStart w:id="1032" w:name="_Toc3521"/>
      <w:bookmarkStart w:id="1033" w:name="_Toc10898"/>
      <w:r>
        <w:rPr>
          <w:rFonts w:hint="default" w:ascii="黑体" w:hAnsi="黑体" w:eastAsia="黑体" w:cs="黑体"/>
          <w:b w:val="0"/>
          <w:bCs w:val="0"/>
          <w:color w:val="auto"/>
        </w:rPr>
        <w:t>二、持续推进饮用水源地</w:t>
      </w:r>
      <w:r>
        <w:rPr>
          <w:rFonts w:hint="eastAsia" w:ascii="黑体" w:hAnsi="黑体" w:eastAsia="黑体" w:cs="黑体"/>
          <w:b w:val="0"/>
          <w:bCs w:val="0"/>
          <w:color w:val="auto"/>
          <w:lang w:eastAsia="zh-CN"/>
        </w:rPr>
        <w:t>“</w:t>
      </w:r>
      <w:r>
        <w:rPr>
          <w:rFonts w:hint="default" w:ascii="黑体" w:hAnsi="黑体" w:eastAsia="黑体" w:cs="黑体"/>
          <w:b w:val="0"/>
          <w:bCs w:val="0"/>
          <w:color w:val="auto"/>
        </w:rPr>
        <w:t>划、立、治</w:t>
      </w:r>
      <w:bookmarkEnd w:id="1024"/>
      <w:bookmarkEnd w:id="1025"/>
      <w:bookmarkEnd w:id="1026"/>
      <w:r>
        <w:rPr>
          <w:rFonts w:hint="eastAsia" w:ascii="黑体" w:hAnsi="黑体" w:eastAsia="黑体" w:cs="黑体"/>
          <w:b w:val="0"/>
          <w:bCs w:val="0"/>
          <w:color w:val="auto"/>
          <w:lang w:eastAsia="zh-CN"/>
        </w:rPr>
        <w:t>”</w:t>
      </w:r>
      <w:bookmarkEnd w:id="1027"/>
      <w:bookmarkEnd w:id="1028"/>
      <w:bookmarkEnd w:id="1029"/>
      <w:bookmarkEnd w:id="1030"/>
      <w:bookmarkEnd w:id="1031"/>
      <w:bookmarkEnd w:id="1032"/>
      <w:bookmarkEnd w:id="1033"/>
    </w:p>
    <w:p>
      <w:pPr>
        <w:pStyle w:val="27"/>
        <w:widowControl w:val="0"/>
        <w:wordWrap/>
        <w:adjustRightInd/>
        <w:snapToGrid/>
        <w:textAlignment w:val="auto"/>
        <w:outlineLvl w:val="9"/>
        <w:rPr>
          <w:rFonts w:hint="eastAsia"/>
          <w:lang w:val="en-US" w:eastAsia="zh-CN"/>
        </w:rPr>
      </w:pPr>
      <w:r>
        <w:rPr>
          <w:rFonts w:hint="eastAsia"/>
          <w:lang w:val="en-US" w:eastAsia="zh-CN"/>
        </w:rPr>
        <w:t>强化水源地空间管控，严格限制饮用水水源汇水区内不利于水源保护的土地利用变更。合理安排、布局农村饮用水水源，加快推进已完成划定的“千吨万人”饮用水水源地的规范化建设，着力开展饮用水水源地内环境问题清理整治。按要求完成农村饮用水源风险排查和整治工作，提升我市农村饮水安全保障水平。全面完成乡镇级饮用水水源地保护区划定与勘界定标、规范化建设和清理整治工作。持续推进市、县级饮用水源保护区环境问题排查整治，建立完善巡查机制，做好水质检测和卫生防护等工作。鼓励有条件的地区采取城镇供水管网延伸或者建设跨村、跨乡镇联片集中供水工程等方式，发展规模集中供水，推动形成城乡一体化的饮用水源保护机制。到2025年，县级及以上城市饮用水源水质达标率保持100%。</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034" w:name="_Toc20796"/>
      <w:bookmarkStart w:id="1035" w:name="_Toc15183"/>
      <w:bookmarkStart w:id="1036" w:name="_Toc23348"/>
      <w:bookmarkStart w:id="1037" w:name="_Toc20491"/>
      <w:bookmarkStart w:id="1038" w:name="_Toc6779"/>
      <w:bookmarkStart w:id="1039" w:name="_Toc25054"/>
      <w:bookmarkStart w:id="1040" w:name="_Toc9488"/>
      <w:bookmarkStart w:id="1041" w:name="_Toc11518"/>
      <w:bookmarkStart w:id="1042" w:name="_Toc30162"/>
      <w:bookmarkStart w:id="1043" w:name="_Toc29475"/>
      <w:bookmarkStart w:id="1044" w:name="_Toc16159"/>
      <w:bookmarkStart w:id="1045" w:name="_Toc12526"/>
      <w:bookmarkStart w:id="1046" w:name="_Toc4993"/>
      <w:bookmarkStart w:id="1047" w:name="_Toc27858"/>
      <w:bookmarkStart w:id="1048" w:name="_Toc13862"/>
      <w:bookmarkStart w:id="1049" w:name="_Toc21420"/>
      <w:bookmarkStart w:id="1050" w:name="_Toc31598"/>
      <w:r>
        <w:rPr>
          <w:rFonts w:hint="default" w:ascii="黑体" w:hAnsi="黑体" w:eastAsia="黑体" w:cs="黑体"/>
          <w:b w:val="0"/>
          <w:bCs w:val="0"/>
          <w:color w:val="auto"/>
          <w:kern w:val="2"/>
          <w:sz w:val="32"/>
        </w:rPr>
        <w:t>第</w:t>
      </w:r>
      <w:r>
        <w:rPr>
          <w:rFonts w:hint="eastAsia" w:ascii="黑体" w:hAnsi="黑体" w:eastAsia="黑体" w:cs="黑体"/>
          <w:b w:val="0"/>
          <w:bCs w:val="0"/>
          <w:color w:val="auto"/>
          <w:kern w:val="2"/>
          <w:sz w:val="32"/>
          <w:lang w:val="en-US" w:eastAsia="zh-CN"/>
        </w:rPr>
        <w:t>二</w:t>
      </w:r>
      <w:r>
        <w:rPr>
          <w:rFonts w:hint="default" w:ascii="黑体" w:hAnsi="黑体" w:eastAsia="黑体" w:cs="黑体"/>
          <w:b w:val="0"/>
          <w:bCs w:val="0"/>
          <w:color w:val="auto"/>
          <w:kern w:val="2"/>
          <w:sz w:val="32"/>
        </w:rPr>
        <w:t>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深化水环境综合治</w:t>
      </w:r>
      <w:bookmarkEnd w:id="1034"/>
      <w:r>
        <w:rPr>
          <w:rFonts w:hint="default" w:ascii="黑体" w:hAnsi="黑体" w:eastAsia="黑体" w:cs="黑体"/>
          <w:b w:val="0"/>
          <w:bCs w:val="0"/>
          <w:color w:val="auto"/>
          <w:kern w:val="2"/>
          <w:sz w:val="32"/>
        </w:rPr>
        <w:t>理</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pStyle w:val="27"/>
        <w:rPr>
          <w:rFonts w:hint="default"/>
        </w:rPr>
      </w:pPr>
      <w:r>
        <w:rPr>
          <w:rFonts w:hint="default"/>
        </w:rPr>
        <w:t>坚持系统治理，深入推进城镇、工业、农业农村、船舶港口四源共治，推进入河排污口</w:t>
      </w:r>
      <w:r>
        <w:rPr>
          <w:rFonts w:hint="eastAsia"/>
          <w:lang w:eastAsia="zh-CN"/>
        </w:rPr>
        <w:t>规范化</w:t>
      </w:r>
      <w:r>
        <w:rPr>
          <w:rFonts w:hint="default"/>
        </w:rPr>
        <w:t>整治，推动重点流域实现长治久清。</w:t>
      </w:r>
    </w:p>
    <w:p>
      <w:pPr>
        <w:pStyle w:val="5"/>
        <w:widowControl w:val="0"/>
        <w:kinsoku w:val="0"/>
        <w:wordWrap/>
        <w:overflowPunct w:val="0"/>
        <w:autoSpaceDE w:val="0"/>
        <w:autoSpaceDN w:val="0"/>
        <w:adjustRightInd w:val="0"/>
        <w:snapToGrid w:val="0"/>
        <w:spacing w:before="0" w:after="0"/>
        <w:ind w:firstLine="640" w:firstLineChars="200"/>
        <w:textAlignment w:val="auto"/>
        <w:outlineLvl w:val="2"/>
        <w:rPr>
          <w:rFonts w:hint="default" w:ascii="黑体" w:hAnsi="黑体" w:eastAsia="黑体" w:cs="黑体"/>
          <w:b w:val="0"/>
          <w:bCs w:val="0"/>
          <w:color w:val="auto"/>
          <w:lang w:val="en-US" w:eastAsia="zh-CN"/>
        </w:rPr>
      </w:pPr>
      <w:bookmarkStart w:id="1051" w:name="_Toc15570"/>
      <w:bookmarkStart w:id="1052" w:name="_Toc29302"/>
      <w:bookmarkStart w:id="1053" w:name="_Toc414"/>
      <w:bookmarkStart w:id="1054" w:name="_Toc16605"/>
      <w:bookmarkStart w:id="1055" w:name="_Toc1515"/>
      <w:bookmarkStart w:id="1056" w:name="_Toc9158"/>
      <w:bookmarkStart w:id="1057" w:name="_Toc18054"/>
      <w:bookmarkStart w:id="1058" w:name="_Toc318"/>
      <w:bookmarkStart w:id="1059" w:name="_Toc19402"/>
      <w:bookmarkStart w:id="1060" w:name="_Toc23508"/>
      <w:r>
        <w:rPr>
          <w:rFonts w:hint="eastAsia" w:ascii="黑体" w:hAnsi="黑体" w:eastAsia="黑体" w:cs="黑体"/>
          <w:b w:val="0"/>
          <w:bCs w:val="0"/>
          <w:color w:val="auto"/>
          <w:lang w:val="en-US" w:eastAsia="zh-CN"/>
        </w:rPr>
        <w:t>一、加快补齐城镇生活污水处理设施建设短板</w:t>
      </w:r>
      <w:bookmarkEnd w:id="1051"/>
      <w:bookmarkEnd w:id="1052"/>
      <w:bookmarkEnd w:id="1053"/>
      <w:bookmarkEnd w:id="1054"/>
      <w:bookmarkEnd w:id="1055"/>
      <w:bookmarkEnd w:id="1056"/>
      <w:bookmarkEnd w:id="1057"/>
      <w:bookmarkEnd w:id="1058"/>
      <w:bookmarkEnd w:id="1059"/>
      <w:bookmarkEnd w:id="1060"/>
    </w:p>
    <w:p>
      <w:pPr>
        <w:widowControl w:val="0"/>
        <w:wordWrap/>
        <w:adjustRightInd/>
        <w:snapToGrid/>
        <w:spacing w:line="560" w:lineRule="exact"/>
        <w:ind w:firstLine="640" w:firstLineChars="200"/>
        <w:textAlignment w:val="auto"/>
        <w:outlineLvl w:val="9"/>
        <w:rPr>
          <w:rStyle w:val="35"/>
          <w:rFonts w:hint="eastAsia" w:ascii="仿宋_GB2312" w:hAnsi="仿宋_GB2312" w:eastAsia="仿宋_GB2312" w:cs="仿宋_GB2312"/>
        </w:rPr>
      </w:pPr>
      <w:bookmarkStart w:id="1061" w:name="_Toc23534"/>
      <w:r>
        <w:rPr>
          <w:rFonts w:hint="eastAsia" w:ascii="楷体_GB2312" w:hAnsi="楷体_GB2312" w:eastAsia="楷体_GB2312" w:cs="楷体_GB2312"/>
          <w:b w:val="0"/>
          <w:bCs w:val="0"/>
          <w:color w:val="auto"/>
          <w:sz w:val="32"/>
          <w:szCs w:val="32"/>
          <w:lang w:val="en-US" w:eastAsia="zh-CN"/>
        </w:rPr>
        <w:t>补齐城镇生活污水收集管网短板</w:t>
      </w:r>
      <w:bookmarkEnd w:id="1061"/>
      <w:r>
        <w:rPr>
          <w:rFonts w:hint="eastAsia" w:ascii="楷体_GB2312" w:hAnsi="楷体_GB2312" w:eastAsia="楷体_GB2312" w:cs="楷体_GB2312"/>
          <w:b w:val="0"/>
          <w:bCs w:val="0"/>
          <w:color w:val="auto"/>
          <w:sz w:val="32"/>
          <w:szCs w:val="32"/>
          <w:lang w:val="en-US" w:eastAsia="zh-CN"/>
        </w:rPr>
        <w:t>。</w:t>
      </w:r>
      <w:r>
        <w:rPr>
          <w:rStyle w:val="35"/>
          <w:rFonts w:hint="eastAsia" w:ascii="仿宋_GB2312" w:hAnsi="仿宋_GB2312" w:eastAsia="仿宋_GB2312" w:cs="仿宋_GB2312"/>
        </w:rPr>
        <w:t>将城镇生活污水收集管网建设作为补短板重中之重，加快实现生活污水管网全覆盖、全收集。到2023年，市区基本消除城中村、老旧城区和城乡结合部生活污水收集管网空白区；到2025年底，</w:t>
      </w:r>
      <w:r>
        <w:rPr>
          <w:rStyle w:val="35"/>
          <w:rFonts w:hint="eastAsia" w:ascii="仿宋_GB2312" w:hAnsi="仿宋_GB2312" w:eastAsia="仿宋_GB2312" w:cs="仿宋_GB2312"/>
          <w:lang w:eastAsia="zh-CN"/>
        </w:rPr>
        <w:t>市区</w:t>
      </w:r>
      <w:r>
        <w:rPr>
          <w:rStyle w:val="35"/>
          <w:rFonts w:hint="eastAsia" w:ascii="仿宋_GB2312" w:hAnsi="仿宋_GB2312" w:eastAsia="仿宋_GB2312" w:cs="仿宋_GB2312"/>
        </w:rPr>
        <w:t>生活污水集中收集率</w:t>
      </w:r>
      <w:r>
        <w:rPr>
          <w:rStyle w:val="35"/>
          <w:rFonts w:hint="eastAsia" w:ascii="仿宋_GB2312" w:hAnsi="仿宋_GB2312" w:eastAsia="仿宋_GB2312" w:cs="仿宋_GB2312"/>
          <w:lang w:eastAsia="zh-CN"/>
        </w:rPr>
        <w:t>达到</w:t>
      </w:r>
      <w:r>
        <w:rPr>
          <w:rStyle w:val="35"/>
          <w:rFonts w:hint="eastAsia" w:ascii="仿宋_GB2312" w:hAnsi="仿宋_GB2312" w:eastAsia="仿宋_GB2312" w:cs="仿宋_GB2312"/>
          <w:lang w:val="en-US" w:eastAsia="zh-CN"/>
        </w:rPr>
        <w:t>45%以上</w:t>
      </w:r>
      <w:r>
        <w:rPr>
          <w:rStyle w:val="35"/>
          <w:rFonts w:hint="eastAsia" w:ascii="仿宋_GB2312" w:hAnsi="仿宋_GB2312" w:eastAsia="仿宋_GB2312" w:cs="仿宋_GB2312"/>
        </w:rPr>
        <w:t>。</w:t>
      </w:r>
    </w:p>
    <w:p>
      <w:pPr>
        <w:widowControl/>
        <w:wordWrap/>
        <w:adjustRightInd/>
        <w:snapToGrid/>
        <w:spacing w:line="560" w:lineRule="exact"/>
        <w:ind w:firstLine="640" w:firstLineChars="200"/>
        <w:textAlignment w:val="auto"/>
        <w:outlineLvl w:val="9"/>
        <w:rPr>
          <w:rStyle w:val="35"/>
          <w:rFonts w:hint="eastAsia" w:ascii="仿宋_GB2312" w:hAnsi="仿宋_GB2312" w:eastAsia="仿宋_GB2312" w:cs="仿宋_GB2312"/>
        </w:rPr>
      </w:pPr>
      <w:bookmarkStart w:id="1062" w:name="_Toc24674"/>
      <w:r>
        <w:rPr>
          <w:rFonts w:hint="eastAsia" w:ascii="楷体_GB2312" w:hAnsi="楷体_GB2312" w:eastAsia="楷体_GB2312" w:cs="楷体_GB2312"/>
          <w:b w:val="0"/>
          <w:bCs w:val="0"/>
          <w:color w:val="auto"/>
          <w:sz w:val="32"/>
          <w:szCs w:val="32"/>
          <w:lang w:val="en-US" w:eastAsia="zh-CN"/>
        </w:rPr>
        <w:t>提升城镇污水处理效能</w:t>
      </w:r>
      <w:bookmarkEnd w:id="1062"/>
      <w:r>
        <w:rPr>
          <w:rFonts w:hint="eastAsia" w:ascii="楷体_GB2312" w:hAnsi="楷体_GB2312" w:eastAsia="楷体_GB2312" w:cs="楷体_GB2312"/>
          <w:b w:val="0"/>
          <w:bCs w:val="0"/>
          <w:color w:val="auto"/>
          <w:sz w:val="32"/>
          <w:szCs w:val="32"/>
          <w:lang w:val="en-US" w:eastAsia="zh-CN"/>
        </w:rPr>
        <w:t>。</w:t>
      </w:r>
      <w:r>
        <w:rPr>
          <w:rStyle w:val="35"/>
          <w:rFonts w:hint="eastAsia" w:ascii="仿宋_GB2312" w:hAnsi="仿宋_GB2312" w:eastAsia="仿宋_GB2312" w:cs="仿宋_GB2312"/>
        </w:rPr>
        <w:t>持续推进雨污分流改造，不具备改造条件地区，增大截流倍数，降低溢流污染，新建城区全面实行雨污分流，污水管就近接入市政管网。对现有进水生化需氧量低于100</w:t>
      </w:r>
      <w:r>
        <w:rPr>
          <w:rStyle w:val="35"/>
          <w:rFonts w:hint="eastAsia" w:ascii="仿宋_GB2312" w:hAnsi="仿宋_GB2312" w:eastAsia="仿宋_GB2312" w:cs="仿宋_GB2312"/>
          <w:lang w:eastAsia="zh-CN"/>
        </w:rPr>
        <w:t>毫克</w:t>
      </w:r>
      <w:r>
        <w:rPr>
          <w:rStyle w:val="35"/>
          <w:rFonts w:hint="eastAsia" w:ascii="仿宋_GB2312" w:hAnsi="仿宋_GB2312" w:eastAsia="仿宋_GB2312" w:cs="仿宋_GB2312"/>
          <w:lang w:val="en-US" w:eastAsia="zh-CN"/>
        </w:rPr>
        <w:t>/升</w:t>
      </w:r>
      <w:r>
        <w:rPr>
          <w:rStyle w:val="35"/>
          <w:rFonts w:hint="eastAsia" w:ascii="仿宋_GB2312" w:hAnsi="仿宋_GB2312" w:eastAsia="仿宋_GB2312" w:cs="仿宋_GB2312"/>
        </w:rPr>
        <w:t>的城市污水处理厂，围绕服务片区管网开展</w:t>
      </w:r>
      <w:r>
        <w:rPr>
          <w:rStyle w:val="35"/>
          <w:rFonts w:hint="eastAsia" w:ascii="仿宋_GB2312" w:hAnsi="仿宋_GB2312" w:eastAsia="仿宋_GB2312" w:cs="仿宋_GB2312"/>
          <w:lang w:eastAsia="zh-CN"/>
        </w:rPr>
        <w:t>“</w:t>
      </w:r>
      <w:r>
        <w:rPr>
          <w:rStyle w:val="35"/>
          <w:rFonts w:hint="eastAsia" w:ascii="仿宋_GB2312" w:hAnsi="仿宋_GB2312" w:eastAsia="仿宋_GB2312" w:cs="仿宋_GB2312"/>
        </w:rPr>
        <w:t>一厂一策</w:t>
      </w:r>
      <w:r>
        <w:rPr>
          <w:rStyle w:val="35"/>
          <w:rFonts w:hint="eastAsia" w:ascii="仿宋_GB2312" w:hAnsi="仿宋_GB2312" w:eastAsia="仿宋_GB2312" w:cs="仿宋_GB2312"/>
          <w:lang w:eastAsia="zh-CN"/>
        </w:rPr>
        <w:t>”</w:t>
      </w:r>
      <w:r>
        <w:rPr>
          <w:rStyle w:val="35"/>
          <w:rFonts w:hint="eastAsia" w:ascii="仿宋_GB2312" w:hAnsi="仿宋_GB2312" w:eastAsia="仿宋_GB2312" w:cs="仿宋_GB2312"/>
        </w:rPr>
        <w:t>提质增效系统化整治。新建、改建和扩建生活污水处理设施出水全面执行《城镇污水处理厂污染物排放标准》（GB18918</w:t>
      </w:r>
      <w:r>
        <w:rPr>
          <w:rStyle w:val="35"/>
          <w:rFonts w:hint="eastAsia" w:ascii="仿宋_GB2312" w:hAnsi="仿宋_GB2312" w:eastAsia="仿宋_GB2312" w:cs="仿宋_GB2312"/>
          <w:lang w:eastAsia="zh-CN"/>
        </w:rPr>
        <w:t>—</w:t>
      </w:r>
      <w:r>
        <w:rPr>
          <w:rStyle w:val="35"/>
          <w:rFonts w:hint="eastAsia" w:ascii="仿宋_GB2312" w:hAnsi="仿宋_GB2312" w:eastAsia="仿宋_GB2312" w:cs="仿宋_GB2312"/>
        </w:rPr>
        <w:t>2002）一级A标准及广东省地方标准《水污染排放限值》（DB44/26</w:t>
      </w:r>
      <w:r>
        <w:rPr>
          <w:rStyle w:val="35"/>
          <w:rFonts w:hint="eastAsia" w:ascii="仿宋_GB2312" w:hAnsi="仿宋_GB2312" w:eastAsia="仿宋_GB2312" w:cs="仿宋_GB2312"/>
          <w:lang w:eastAsia="zh-CN"/>
        </w:rPr>
        <w:t>—</w:t>
      </w:r>
      <w:r>
        <w:rPr>
          <w:rStyle w:val="35"/>
          <w:rFonts w:hint="eastAsia" w:ascii="仿宋_GB2312" w:hAnsi="仿宋_GB2312" w:eastAsia="仿宋_GB2312" w:cs="仿宋_GB2312"/>
        </w:rPr>
        <w:t>2001）的较严值。现有生活污水处理设施未达到上述标准的，力争2023年底前完成提标改造工作。到2025年底，城市生活污水处理厂进水BOD</w:t>
      </w:r>
      <w:r>
        <w:rPr>
          <w:rStyle w:val="35"/>
          <w:rFonts w:hint="eastAsia" w:ascii="仿宋_GB2312" w:hAnsi="仿宋_GB2312" w:eastAsia="仿宋_GB2312" w:cs="仿宋_GB2312"/>
          <w:vertAlign w:val="subscript"/>
        </w:rPr>
        <w:t>5</w:t>
      </w:r>
      <w:r>
        <w:rPr>
          <w:rStyle w:val="35"/>
          <w:rFonts w:hint="eastAsia" w:ascii="仿宋_GB2312" w:hAnsi="仿宋_GB2312" w:eastAsia="仿宋_GB2312" w:cs="仿宋_GB2312"/>
        </w:rPr>
        <w:t>浓度比2020年底增加20</w:t>
      </w:r>
      <w:r>
        <w:rPr>
          <w:rStyle w:val="35"/>
          <w:rFonts w:hint="eastAsia" w:ascii="仿宋_GB2312" w:hAnsi="仿宋_GB2312" w:eastAsia="仿宋_GB2312" w:cs="仿宋_GB2312"/>
          <w:lang w:eastAsia="zh-CN"/>
        </w:rPr>
        <w:t>毫克</w:t>
      </w:r>
      <w:r>
        <w:rPr>
          <w:rStyle w:val="35"/>
          <w:rFonts w:hint="eastAsia" w:ascii="仿宋_GB2312" w:hAnsi="仿宋_GB2312" w:eastAsia="仿宋_GB2312" w:cs="仿宋_GB2312"/>
          <w:lang w:val="en-US" w:eastAsia="zh-CN"/>
        </w:rPr>
        <w:t>/升</w:t>
      </w:r>
      <w:r>
        <w:rPr>
          <w:rStyle w:val="35"/>
          <w:rFonts w:hint="eastAsia" w:ascii="仿宋_GB2312" w:hAnsi="仿宋_GB2312" w:eastAsia="仿宋_GB2312" w:cs="仿宋_GB2312"/>
        </w:rPr>
        <w:t>以上，县城生活污水处理厂进水BOD</w:t>
      </w:r>
      <w:r>
        <w:rPr>
          <w:rStyle w:val="35"/>
          <w:rFonts w:hint="eastAsia" w:ascii="仿宋_GB2312" w:hAnsi="仿宋_GB2312" w:eastAsia="仿宋_GB2312" w:cs="仿宋_GB2312"/>
          <w:vertAlign w:val="subscript"/>
        </w:rPr>
        <w:t>5</w:t>
      </w:r>
      <w:r>
        <w:rPr>
          <w:rStyle w:val="35"/>
          <w:rFonts w:hint="eastAsia" w:ascii="仿宋_GB2312" w:hAnsi="仿宋_GB2312" w:eastAsia="仿宋_GB2312" w:cs="仿宋_GB2312"/>
        </w:rPr>
        <w:t>浓度比2020年底增加15</w:t>
      </w:r>
      <w:r>
        <w:rPr>
          <w:rStyle w:val="35"/>
          <w:rFonts w:hint="eastAsia" w:ascii="仿宋_GB2312" w:hAnsi="仿宋_GB2312" w:eastAsia="仿宋_GB2312" w:cs="仿宋_GB2312"/>
          <w:lang w:eastAsia="zh-CN"/>
        </w:rPr>
        <w:t>毫克</w:t>
      </w:r>
      <w:r>
        <w:rPr>
          <w:rStyle w:val="35"/>
          <w:rFonts w:hint="eastAsia" w:ascii="仿宋_GB2312" w:hAnsi="仿宋_GB2312" w:eastAsia="仿宋_GB2312" w:cs="仿宋_GB2312"/>
          <w:lang w:val="en-US" w:eastAsia="zh-CN"/>
        </w:rPr>
        <w:t>/升</w:t>
      </w:r>
      <w:r>
        <w:rPr>
          <w:rStyle w:val="35"/>
          <w:rFonts w:hint="eastAsia" w:ascii="仿宋_GB2312" w:hAnsi="仿宋_GB2312" w:eastAsia="仿宋_GB2312" w:cs="仿宋_GB2312"/>
        </w:rPr>
        <w:t>以上；到2025年底，城市生活污水处理率达到9</w:t>
      </w:r>
      <w:r>
        <w:rPr>
          <w:rStyle w:val="35"/>
          <w:rFonts w:hint="eastAsia" w:ascii="仿宋_GB2312" w:hAnsi="仿宋_GB2312" w:eastAsia="仿宋_GB2312" w:cs="仿宋_GB2312"/>
          <w:lang w:val="en-US" w:eastAsia="zh-CN"/>
        </w:rPr>
        <w:t>8</w:t>
      </w:r>
      <w:r>
        <w:rPr>
          <w:rStyle w:val="35"/>
          <w:rFonts w:hint="eastAsia" w:ascii="仿宋_GB2312" w:hAnsi="仿宋_GB2312" w:eastAsia="仿宋_GB2312" w:cs="仿宋_GB2312"/>
        </w:rPr>
        <w:t>%</w:t>
      </w:r>
      <w:r>
        <w:rPr>
          <w:rStyle w:val="35"/>
          <w:rFonts w:hint="eastAsia" w:ascii="仿宋_GB2312" w:hAnsi="仿宋_GB2312" w:eastAsia="仿宋_GB2312" w:cs="仿宋_GB2312"/>
          <w:lang w:eastAsia="zh-CN"/>
        </w:rPr>
        <w:t>以上</w:t>
      </w:r>
      <w:r>
        <w:rPr>
          <w:rStyle w:val="35"/>
          <w:rFonts w:hint="eastAsia" w:ascii="仿宋_GB2312" w:hAnsi="仿宋_GB2312" w:eastAsia="仿宋_GB2312" w:cs="仿宋_GB2312"/>
        </w:rPr>
        <w:t>，县城生活污水处理率达到95%，建制镇生活污水处理率达到</w:t>
      </w:r>
      <w:r>
        <w:rPr>
          <w:rStyle w:val="35"/>
          <w:rFonts w:hint="eastAsia" w:ascii="仿宋_GB2312" w:hAnsi="仿宋_GB2312" w:eastAsia="仿宋_GB2312" w:cs="仿宋_GB2312"/>
          <w:lang w:val="en-US" w:eastAsia="zh-CN"/>
        </w:rPr>
        <w:t>6</w:t>
      </w:r>
      <w:r>
        <w:rPr>
          <w:rStyle w:val="35"/>
          <w:rFonts w:hint="eastAsia" w:ascii="仿宋_GB2312" w:hAnsi="仿宋_GB2312" w:eastAsia="仿宋_GB2312" w:cs="仿宋_GB2312"/>
        </w:rPr>
        <w:t>5%以上。</w:t>
      </w:r>
    </w:p>
    <w:p>
      <w:pPr>
        <w:wordWrap/>
        <w:adjustRightInd/>
        <w:snapToGrid/>
        <w:spacing w:line="560" w:lineRule="exact"/>
        <w:ind w:firstLine="640" w:firstLineChars="200"/>
        <w:textAlignment w:val="auto"/>
        <w:outlineLvl w:val="9"/>
        <w:rPr>
          <w:rStyle w:val="35"/>
        </w:rPr>
      </w:pPr>
      <w:bookmarkStart w:id="1063" w:name="_Toc8713"/>
      <w:r>
        <w:rPr>
          <w:rFonts w:hint="eastAsia" w:ascii="楷体_GB2312" w:hAnsi="楷体_GB2312" w:eastAsia="楷体_GB2312" w:cs="楷体_GB2312"/>
          <w:b w:val="0"/>
          <w:bCs w:val="0"/>
          <w:color w:val="auto"/>
          <w:sz w:val="32"/>
          <w:szCs w:val="32"/>
          <w:lang w:val="en-US" w:eastAsia="zh-CN"/>
        </w:rPr>
        <w:t>推进污泥无害化处置和资源化利用</w:t>
      </w:r>
      <w:bookmarkEnd w:id="1063"/>
      <w:r>
        <w:rPr>
          <w:rFonts w:hint="eastAsia" w:ascii="楷体_GB2312" w:hAnsi="楷体_GB2312" w:eastAsia="楷体_GB2312" w:cs="楷体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合理规划</w:t>
      </w:r>
      <w:r>
        <w:rPr>
          <w:rStyle w:val="35"/>
          <w:rFonts w:hint="eastAsia" w:ascii="仿宋_GB2312" w:hAnsi="仿宋_GB2312" w:eastAsia="仿宋_GB2312" w:cs="仿宋_GB2312"/>
        </w:rPr>
        <w:t>污泥处理设施建设，县级及以上城市要全面推进设施能力建设，县城和建制镇可统筹考虑集中处置。限制未经脱水处理达标的污泥在垃圾填埋场填埋，加快压减污泥填埋规模。将垃圾焚烧发电厂、燃煤电厂、水泥窑、烧结砖等协同处置方式作为污泥处置的补充。推广污泥减量化处理、无害化处置和资源化利用。到2025年底，市区城市污泥无害化处置率达到95%。积极推动污泥资源化利用。</w:t>
      </w:r>
    </w:p>
    <w:p>
      <w:pPr>
        <w:pStyle w:val="5"/>
        <w:spacing w:before="0" w:after="0"/>
        <w:ind w:firstLine="640" w:firstLineChars="200"/>
        <w:rPr>
          <w:rFonts w:hint="default" w:ascii="黑体" w:hAnsi="黑体" w:eastAsia="黑体" w:cs="黑体"/>
          <w:b w:val="0"/>
          <w:bCs w:val="0"/>
          <w:color w:val="auto"/>
          <w:lang w:val="en-US" w:eastAsia="zh-CN"/>
        </w:rPr>
      </w:pPr>
      <w:bookmarkStart w:id="1064" w:name="_Toc18190"/>
      <w:bookmarkStart w:id="1065" w:name="_Toc23434"/>
      <w:bookmarkStart w:id="1066" w:name="_Toc14326"/>
      <w:bookmarkStart w:id="1067" w:name="_Toc31660"/>
      <w:bookmarkStart w:id="1068" w:name="_Toc7332"/>
      <w:bookmarkStart w:id="1069" w:name="_Toc28345"/>
      <w:bookmarkStart w:id="1070" w:name="_Toc4943"/>
      <w:bookmarkStart w:id="1071" w:name="_Toc27046"/>
      <w:bookmarkStart w:id="1072" w:name="_Toc6983"/>
      <w:bookmarkStart w:id="1073" w:name="_Toc14147"/>
      <w:r>
        <w:rPr>
          <w:rFonts w:hint="eastAsia" w:ascii="黑体" w:hAnsi="黑体" w:eastAsia="黑体" w:cs="黑体"/>
          <w:b w:val="0"/>
          <w:bCs w:val="0"/>
          <w:color w:val="auto"/>
          <w:lang w:val="en-US" w:eastAsia="zh-CN"/>
        </w:rPr>
        <w:t>二、持续推进工业污染防治</w:t>
      </w:r>
      <w:bookmarkEnd w:id="1064"/>
      <w:bookmarkEnd w:id="1065"/>
      <w:bookmarkEnd w:id="1066"/>
      <w:bookmarkEnd w:id="1067"/>
      <w:bookmarkEnd w:id="1068"/>
      <w:bookmarkEnd w:id="1069"/>
      <w:bookmarkEnd w:id="1070"/>
      <w:bookmarkEnd w:id="1071"/>
      <w:bookmarkEnd w:id="1072"/>
      <w:bookmarkEnd w:id="1073"/>
    </w:p>
    <w:p>
      <w:pPr>
        <w:widowControl w:val="0"/>
        <w:wordWrap/>
        <w:adjustRightInd/>
        <w:snapToGrid/>
        <w:spacing w:line="560" w:lineRule="exact"/>
        <w:ind w:firstLineChars="200"/>
        <w:textAlignment w:val="auto"/>
        <w:outlineLvl w:val="9"/>
        <w:rPr>
          <w:rStyle w:val="35"/>
        </w:rPr>
      </w:pPr>
      <w:r>
        <w:rPr>
          <w:rFonts w:hint="eastAsia" w:ascii="楷体_GB2312" w:hAnsi="楷体_GB2312" w:eastAsia="楷体_GB2312" w:cs="楷体_GB2312"/>
          <w:b w:val="0"/>
          <w:bCs w:val="0"/>
          <w:color w:val="auto"/>
          <w:kern w:val="2"/>
          <w:sz w:val="32"/>
          <w:szCs w:val="24"/>
          <w:lang w:val="en-US" w:eastAsia="zh-CN" w:bidi="ar-SA"/>
        </w:rPr>
        <w:t>持续推进企业清洁化改造。</w:t>
      </w:r>
      <w:r>
        <w:rPr>
          <w:rStyle w:val="35"/>
          <w:rFonts w:hint="eastAsia" w:ascii="仿宋_GB2312" w:hAnsi="仿宋_GB2312" w:eastAsia="仿宋_GB2312" w:cs="仿宋_GB2312"/>
        </w:rPr>
        <w:t>加强重点行业清洁化改造，继续鼓励支持工业企业大力实施清洁生产审核，节约能源，减少污染物排放，实现节能、减排、</w:t>
      </w:r>
      <w:r>
        <w:rPr>
          <w:rStyle w:val="35"/>
          <w:rFonts w:hint="eastAsia" w:ascii="仿宋_GB2312" w:hAnsi="仿宋_GB2312" w:eastAsia="仿宋_GB2312" w:cs="仿宋_GB2312"/>
          <w:lang w:eastAsia="zh-CN"/>
        </w:rPr>
        <w:t>提质</w:t>
      </w:r>
      <w:r>
        <w:rPr>
          <w:rStyle w:val="35"/>
          <w:rFonts w:hint="eastAsia" w:ascii="仿宋_GB2312" w:hAnsi="仿宋_GB2312" w:eastAsia="仿宋_GB2312" w:cs="仿宋_GB2312"/>
        </w:rPr>
        <w:t>、增效目标。强化纺织、造纸、农副食品加工、化工、电镀等污染物排放量大行业的综合治理，引导和鼓励企业采用先进生产工艺和设备，实现节水减排。</w:t>
      </w:r>
    </w:p>
    <w:p>
      <w:pPr>
        <w:pStyle w:val="27"/>
        <w:widowControl w:val="0"/>
        <w:wordWrap/>
        <w:adjustRightInd/>
        <w:snapToGrid/>
        <w:textAlignment w:val="auto"/>
        <w:outlineLvl w:val="9"/>
        <w:rPr>
          <w:rFonts w:hint="eastAsia" w:ascii="仿宋_GB2312" w:hAnsi="仿宋_GB2312" w:eastAsia="仿宋_GB2312" w:cs="仿宋_GB2312"/>
        </w:rPr>
      </w:pPr>
      <w:bookmarkStart w:id="1074" w:name="_Toc6953"/>
      <w:r>
        <w:rPr>
          <w:rFonts w:hint="eastAsia" w:ascii="楷体_GB2312" w:hAnsi="楷体_GB2312" w:eastAsia="楷体_GB2312" w:cs="楷体_GB2312"/>
          <w:b w:val="0"/>
          <w:bCs w:val="0"/>
          <w:lang w:val="en-US" w:eastAsia="zh-CN"/>
        </w:rPr>
        <w:t>提高工业聚集区污水治理水平</w:t>
      </w:r>
      <w:bookmarkEnd w:id="1074"/>
      <w:r>
        <w:rPr>
          <w:rFonts w:hint="eastAsia" w:ascii="楷体_GB2312" w:hAnsi="楷体_GB2312" w:eastAsia="楷体_GB2312" w:cs="楷体_GB2312"/>
          <w:b w:val="0"/>
          <w:bCs w:val="0"/>
          <w:lang w:val="en-US" w:eastAsia="zh-CN"/>
        </w:rPr>
        <w:t>。</w:t>
      </w:r>
      <w:r>
        <w:rPr>
          <w:rFonts w:hint="eastAsia" w:ascii="仿宋_GB2312" w:hAnsi="仿宋_GB2312" w:eastAsia="仿宋_GB2312" w:cs="仿宋_GB2312"/>
        </w:rPr>
        <w:t>大力</w:t>
      </w:r>
      <w:r>
        <w:rPr>
          <w:rFonts w:hint="eastAsia" w:ascii="仿宋_GB2312" w:hAnsi="仿宋_GB2312" w:eastAsia="仿宋_GB2312" w:cs="仿宋_GB2312"/>
          <w:lang w:val="en-US"/>
        </w:rPr>
        <w:t>推动工业项目入园集聚发展，加强园区污水处理设施建设与改造。经批准设立的工业集聚区应当按照规定建成污水集中处理设施并安装水污染物排放自动监测设备。未完成污水集中处理设施建设的，暂停审批和核准其增加水污染物排放的建设项目。推行废（污）水输送明管化，加强</w:t>
      </w:r>
      <w:r>
        <w:rPr>
          <w:rFonts w:hint="eastAsia" w:ascii="仿宋_GB2312" w:hAnsi="仿宋_GB2312" w:eastAsia="仿宋_GB2312" w:cs="仿宋_GB2312"/>
        </w:rPr>
        <w:t>园区</w:t>
      </w:r>
      <w:r>
        <w:rPr>
          <w:rFonts w:hint="eastAsia" w:ascii="仿宋_GB2312" w:hAnsi="仿宋_GB2312" w:eastAsia="仿宋_GB2312" w:cs="仿宋_GB2312"/>
          <w:lang w:val="en-US"/>
        </w:rPr>
        <w:t>雨污分流、清污分流，禁止雨污混排，推进省级以上工业园区开展</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污水零直排区</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创建。到2025年，</w:t>
      </w:r>
      <w:r>
        <w:rPr>
          <w:rFonts w:hint="eastAsia" w:ascii="仿宋_GB2312" w:hAnsi="仿宋_GB2312" w:eastAsia="仿宋_GB2312" w:cs="仿宋_GB2312"/>
        </w:rPr>
        <w:t>全市省级以上工业园区</w:t>
      </w:r>
      <w:r>
        <w:rPr>
          <w:rFonts w:hint="eastAsia" w:ascii="仿宋_GB2312" w:hAnsi="仿宋_GB2312" w:eastAsia="仿宋_GB2312" w:cs="仿宋_GB2312"/>
          <w:lang w:val="en-US" w:eastAsia="zh-CN"/>
        </w:rPr>
        <w:t>基本</w:t>
      </w:r>
      <w:r>
        <w:rPr>
          <w:rFonts w:hint="eastAsia" w:ascii="仿宋_GB2312" w:hAnsi="仿宋_GB2312" w:eastAsia="仿宋_GB2312" w:cs="仿宋_GB2312"/>
        </w:rPr>
        <w:t>实现污水全收集全处理。</w:t>
      </w:r>
    </w:p>
    <w:p>
      <w:pPr>
        <w:pStyle w:val="5"/>
        <w:spacing w:before="0" w:after="0"/>
        <w:ind w:firstLine="640" w:firstLineChars="200"/>
        <w:rPr>
          <w:rFonts w:hint="default" w:ascii="黑体" w:hAnsi="黑体" w:eastAsia="黑体" w:cs="黑体"/>
          <w:b w:val="0"/>
          <w:bCs w:val="0"/>
          <w:color w:val="auto"/>
          <w:lang w:val="en-US" w:eastAsia="zh-CN"/>
        </w:rPr>
      </w:pPr>
      <w:bookmarkStart w:id="1075" w:name="_Toc20490"/>
      <w:bookmarkStart w:id="1076" w:name="_Toc10583"/>
      <w:bookmarkStart w:id="1077" w:name="_Toc25930"/>
      <w:bookmarkStart w:id="1078" w:name="_Toc26049"/>
      <w:bookmarkStart w:id="1079" w:name="_Toc2188"/>
      <w:bookmarkStart w:id="1080" w:name="_Toc2360"/>
      <w:bookmarkStart w:id="1081" w:name="_Toc6598"/>
      <w:bookmarkStart w:id="1082" w:name="_Toc22659"/>
      <w:bookmarkStart w:id="1083" w:name="_Toc16748"/>
      <w:bookmarkStart w:id="1084" w:name="_Toc27283"/>
      <w:r>
        <w:rPr>
          <w:rFonts w:hint="eastAsia" w:ascii="黑体" w:hAnsi="黑体" w:eastAsia="黑体" w:cs="黑体"/>
          <w:b w:val="0"/>
          <w:bCs w:val="0"/>
          <w:color w:val="auto"/>
          <w:lang w:val="en-US" w:eastAsia="zh-CN"/>
        </w:rPr>
        <w:t>三、加快推进船舶港口污染防治</w:t>
      </w:r>
      <w:bookmarkEnd w:id="1075"/>
      <w:bookmarkEnd w:id="1076"/>
      <w:bookmarkEnd w:id="1077"/>
      <w:bookmarkEnd w:id="1078"/>
      <w:bookmarkEnd w:id="1079"/>
      <w:bookmarkEnd w:id="1080"/>
      <w:bookmarkEnd w:id="1081"/>
      <w:bookmarkEnd w:id="1082"/>
      <w:bookmarkEnd w:id="1083"/>
      <w:bookmarkEnd w:id="1084"/>
    </w:p>
    <w:p>
      <w:pPr>
        <w:pStyle w:val="27"/>
        <w:widowControl w:val="0"/>
        <w:wordWrap/>
        <w:adjustRightInd/>
        <w:snapToGrid/>
        <w:textAlignment w:val="auto"/>
        <w:outlineLvl w:val="9"/>
        <w:rPr>
          <w:rFonts w:hint="eastAsia" w:ascii="仿宋_GB2312" w:hAnsi="仿宋_GB2312" w:cs="仿宋_GB2312"/>
        </w:rPr>
      </w:pPr>
      <w:bookmarkStart w:id="1085" w:name="_Toc29487"/>
      <w:r>
        <w:rPr>
          <w:rFonts w:hint="eastAsia" w:ascii="仿宋_GB2312" w:hAnsi="仿宋_GB2312" w:eastAsia="仿宋_GB2312" w:cs="仿宋_GB2312"/>
          <w:b w:val="0"/>
          <w:bCs w:val="0"/>
          <w:color w:val="auto"/>
          <w:sz w:val="32"/>
          <w:szCs w:val="22"/>
          <w:lang w:val="en-US" w:eastAsia="zh-CN"/>
        </w:rPr>
        <w:t>强化港口码头接收处置设施建设</w:t>
      </w:r>
      <w:bookmarkEnd w:id="1085"/>
      <w:r>
        <w:rPr>
          <w:rFonts w:hint="eastAsia" w:ascii="仿宋_GB2312" w:hAnsi="仿宋_GB2312" w:cs="仿宋_GB2312"/>
          <w:lang w:val="en-US" w:eastAsia="zh-CN"/>
        </w:rPr>
        <w:t>，</w:t>
      </w:r>
      <w:r>
        <w:rPr>
          <w:rFonts w:hint="eastAsia" w:ascii="仿宋_GB2312" w:hAnsi="仿宋_GB2312" w:cs="仿宋_GB2312"/>
        </w:rPr>
        <w:t>提升港口、码头船舶水污染物收运处置能力。统筹规划建设船舶污染物、废弃物的接收、转运及处理处置设施。</w:t>
      </w:r>
      <w:bookmarkStart w:id="1086" w:name="_Toc28907"/>
      <w:r>
        <w:rPr>
          <w:rFonts w:hint="eastAsia" w:ascii="仿宋_GB2312" w:hAnsi="仿宋_GB2312" w:eastAsia="仿宋_GB2312" w:cs="仿宋_GB2312"/>
          <w:b w:val="0"/>
          <w:bCs w:val="0"/>
          <w:color w:val="auto"/>
          <w:sz w:val="32"/>
          <w:szCs w:val="22"/>
          <w:lang w:val="en-US" w:eastAsia="zh-CN"/>
        </w:rPr>
        <w:t>强化船舶水污染物达标排放</w:t>
      </w:r>
      <w:bookmarkEnd w:id="1086"/>
      <w:r>
        <w:rPr>
          <w:rFonts w:hint="eastAsia" w:ascii="仿宋_GB2312" w:hAnsi="仿宋_GB2312" w:cs="仿宋_GB2312"/>
          <w:lang w:val="en-US" w:eastAsia="zh-CN"/>
        </w:rPr>
        <w:t>，</w:t>
      </w:r>
      <w:r>
        <w:rPr>
          <w:rFonts w:hint="eastAsia" w:ascii="仿宋_GB2312" w:hAnsi="仿宋_GB2312" w:cs="仿宋_GB2312"/>
        </w:rPr>
        <w:t>规范配备治污设施。航运企业应严格落实《400总吨以下内河船舶水污染防治管理办法》</w:t>
      </w:r>
      <w:r>
        <w:rPr>
          <w:rFonts w:hint="eastAsia" w:ascii="仿宋_GB2312" w:hAnsi="仿宋_GB2312" w:cs="仿宋_GB2312"/>
          <w:lang w:eastAsia="zh-CN"/>
        </w:rPr>
        <w:t>；</w:t>
      </w:r>
      <w:r>
        <w:rPr>
          <w:rFonts w:hint="eastAsia" w:ascii="仿宋_GB2312" w:hAnsi="仿宋_GB2312" w:cs="仿宋_GB2312"/>
        </w:rPr>
        <w:t>港口、码头、装卸站以及从事船舶水上修造、水上拆解、打捞等作业活动的单位，严格按照国家有关规范和标准，配备相应的污染防治设施、设备和器材，并保持良好的技术状态。</w:t>
      </w:r>
      <w:bookmarkStart w:id="1087" w:name="_Toc27587"/>
      <w:r>
        <w:rPr>
          <w:rFonts w:hint="eastAsia" w:ascii="仿宋_GB2312" w:hAnsi="仿宋_GB2312" w:eastAsia="仿宋_GB2312" w:cs="仿宋_GB2312"/>
          <w:b w:val="0"/>
          <w:bCs w:val="0"/>
          <w:color w:val="auto"/>
          <w:sz w:val="32"/>
          <w:szCs w:val="22"/>
          <w:lang w:val="en-US" w:eastAsia="zh-CN"/>
        </w:rPr>
        <w:t>强化船舶水污染防治监管</w:t>
      </w:r>
      <w:bookmarkEnd w:id="1087"/>
      <w:r>
        <w:rPr>
          <w:rFonts w:hint="eastAsia" w:ascii="仿宋_GB2312" w:hAnsi="仿宋_GB2312" w:cs="仿宋_GB2312"/>
          <w:lang w:val="en-US" w:eastAsia="zh-CN"/>
        </w:rPr>
        <w:t>，</w:t>
      </w:r>
      <w:r>
        <w:rPr>
          <w:rFonts w:hint="eastAsia" w:ascii="仿宋_GB2312" w:hAnsi="仿宋_GB2312" w:cs="仿宋_GB2312"/>
        </w:rPr>
        <w:t>严格落实船舶水污染物监督检查制度和联单管理制度，加强船舶水污染物报告制的运行监督。严格港口经营管理，加强对船舶污染物第三方接收单位的事中事后监管</w:t>
      </w:r>
      <w:r>
        <w:rPr>
          <w:rFonts w:hint="eastAsia" w:ascii="仿宋_GB2312" w:hAnsi="仿宋_GB2312" w:cs="仿宋_GB2312"/>
          <w:lang w:eastAsia="zh-CN"/>
        </w:rPr>
        <w:t>，</w:t>
      </w:r>
      <w:r>
        <w:rPr>
          <w:rFonts w:hint="eastAsia" w:ascii="仿宋_GB2312" w:hAnsi="仿宋_GB2312" w:cs="仿宋_GB2312"/>
        </w:rPr>
        <w:t>规范修造船厂接收转运及处置船舶水污染物的管理，建立和运行船岸交接登记制度。</w:t>
      </w:r>
    </w:p>
    <w:p>
      <w:pPr>
        <w:pStyle w:val="5"/>
        <w:spacing w:before="0" w:after="0"/>
        <w:ind w:firstLine="640" w:firstLineChars="200"/>
        <w:rPr>
          <w:rFonts w:hint="default" w:ascii="黑体" w:hAnsi="黑体" w:eastAsia="黑体" w:cs="黑体"/>
          <w:b w:val="0"/>
          <w:bCs w:val="0"/>
          <w:color w:val="auto"/>
          <w:lang w:val="en-US" w:eastAsia="zh-CN"/>
        </w:rPr>
      </w:pPr>
      <w:bookmarkStart w:id="1088" w:name="_Toc25053"/>
      <w:bookmarkStart w:id="1089" w:name="_Toc9510"/>
      <w:bookmarkStart w:id="1090" w:name="_Toc21645"/>
      <w:bookmarkStart w:id="1091" w:name="_Toc25897"/>
      <w:bookmarkStart w:id="1092" w:name="_Toc14882"/>
      <w:bookmarkStart w:id="1093" w:name="_Toc12123"/>
      <w:bookmarkStart w:id="1094" w:name="_Toc5159"/>
      <w:bookmarkStart w:id="1095" w:name="_Toc7966"/>
      <w:bookmarkStart w:id="1096" w:name="_Toc2237"/>
      <w:bookmarkStart w:id="1097" w:name="_Toc1607"/>
      <w:r>
        <w:rPr>
          <w:rFonts w:hint="eastAsia" w:ascii="黑体" w:hAnsi="黑体" w:eastAsia="黑体" w:cs="黑体"/>
          <w:b w:val="0"/>
          <w:bCs w:val="0"/>
          <w:color w:val="auto"/>
          <w:lang w:val="en-US" w:eastAsia="zh-CN"/>
        </w:rPr>
        <w:t>四、大力推进入河排污口排查整治</w:t>
      </w:r>
      <w:bookmarkEnd w:id="1088"/>
      <w:bookmarkEnd w:id="1089"/>
      <w:bookmarkEnd w:id="1090"/>
      <w:bookmarkEnd w:id="1091"/>
      <w:bookmarkEnd w:id="1092"/>
      <w:bookmarkEnd w:id="1093"/>
      <w:bookmarkEnd w:id="1094"/>
      <w:bookmarkEnd w:id="1095"/>
      <w:bookmarkEnd w:id="1096"/>
      <w:bookmarkEnd w:id="1097"/>
    </w:p>
    <w:p>
      <w:pPr>
        <w:pStyle w:val="27"/>
        <w:widowControl w:val="0"/>
        <w:wordWrap/>
        <w:adjustRightInd/>
        <w:snapToGrid/>
        <w:textAlignment w:val="auto"/>
        <w:outlineLvl w:val="9"/>
      </w:pPr>
      <w:r>
        <w:t>按照</w:t>
      </w:r>
      <w:r>
        <w:rPr>
          <w:rFonts w:hint="eastAsia"/>
          <w:lang w:eastAsia="zh-CN"/>
        </w:rPr>
        <w:t>“</w:t>
      </w:r>
      <w:r>
        <w:t>查、测、溯</w:t>
      </w:r>
      <w:r>
        <w:rPr>
          <w:rFonts w:hint="eastAsia"/>
          <w:lang w:eastAsia="zh-CN"/>
        </w:rPr>
        <w:t>”</w:t>
      </w:r>
      <w:r>
        <w:t>的工作步骤和要求，</w:t>
      </w:r>
      <w:r>
        <w:rPr>
          <w:rFonts w:hint="eastAsia"/>
        </w:rPr>
        <w:t>以城市建成区及重要水体为重点，</w:t>
      </w:r>
      <w:r>
        <w:t>形成全市入河排污口名录。</w:t>
      </w:r>
      <w:r>
        <w:rPr>
          <w:rFonts w:hint="eastAsia"/>
        </w:rPr>
        <w:t>按照</w:t>
      </w:r>
      <w:r>
        <w:rPr>
          <w:rFonts w:hint="eastAsia"/>
          <w:lang w:eastAsia="zh-CN"/>
        </w:rPr>
        <w:t>“</w:t>
      </w:r>
      <w:r>
        <w:t>取缔一批、合并一批、规范一批</w:t>
      </w:r>
      <w:r>
        <w:rPr>
          <w:rFonts w:hint="eastAsia"/>
        </w:rPr>
        <w:t>、优化一批</w:t>
      </w:r>
      <w:r>
        <w:rPr>
          <w:rFonts w:hint="eastAsia"/>
          <w:lang w:eastAsia="zh-CN"/>
        </w:rPr>
        <w:t>”要求</w:t>
      </w:r>
      <w:r>
        <w:t>，</w:t>
      </w:r>
      <w:r>
        <w:rPr>
          <w:rFonts w:hint="eastAsia"/>
        </w:rPr>
        <w:t>全面开展排污口综合整治，实施入河排污口整治销号制度，到2023年，基本完成违法违规排污口的整治。探索开展入河排污口规范化管理体系建设，</w:t>
      </w:r>
      <w:r>
        <w:rPr>
          <w:rFonts w:hint="eastAsia"/>
          <w:lang w:eastAsia="zh-CN"/>
        </w:rPr>
        <w:t>优化</w:t>
      </w:r>
      <w:r>
        <w:t>入河排污口设置申请及审批规范流程，提高排污口设置审批效率，规范排污口建设</w:t>
      </w:r>
      <w:r>
        <w:rPr>
          <w:rFonts w:hint="eastAsia"/>
          <w:lang w:eastAsia="zh-CN"/>
        </w:rPr>
        <w:t>，</w:t>
      </w:r>
      <w:r>
        <w:rPr>
          <w:rFonts w:hint="eastAsia"/>
        </w:rPr>
        <w:t>到2023年，实现重点监管入河排污口规范化管理。</w:t>
      </w:r>
    </w:p>
    <w:p>
      <w:pPr>
        <w:pStyle w:val="5"/>
        <w:spacing w:before="0" w:after="0"/>
        <w:ind w:firstLine="640" w:firstLineChars="200"/>
        <w:rPr>
          <w:rFonts w:hint="default" w:ascii="黑体" w:hAnsi="黑体" w:eastAsia="黑体" w:cs="黑体"/>
          <w:b w:val="0"/>
          <w:bCs w:val="0"/>
          <w:color w:val="auto"/>
        </w:rPr>
      </w:pPr>
      <w:bookmarkStart w:id="1098" w:name="_Toc14056"/>
      <w:bookmarkStart w:id="1099" w:name="_Toc5965"/>
      <w:bookmarkStart w:id="1100" w:name="_Toc15249"/>
      <w:bookmarkStart w:id="1101" w:name="_Toc9130"/>
      <w:bookmarkStart w:id="1102" w:name="_Toc16069"/>
      <w:bookmarkStart w:id="1103" w:name="_Toc27636"/>
      <w:bookmarkStart w:id="1104" w:name="_Toc30215"/>
      <w:bookmarkStart w:id="1105" w:name="_Toc2463"/>
      <w:bookmarkStart w:id="1106" w:name="_Toc8168"/>
      <w:bookmarkStart w:id="1107" w:name="_Toc14840"/>
      <w:r>
        <w:rPr>
          <w:rFonts w:hint="eastAsia" w:ascii="黑体" w:hAnsi="黑体" w:eastAsia="黑体" w:cs="黑体"/>
          <w:b w:val="0"/>
          <w:bCs w:val="0"/>
          <w:color w:val="auto"/>
          <w:lang w:val="en-US" w:eastAsia="zh-CN"/>
        </w:rPr>
        <w:t>五</w:t>
      </w:r>
      <w:r>
        <w:rPr>
          <w:rFonts w:hint="default" w:ascii="黑体" w:hAnsi="黑体" w:eastAsia="黑体" w:cs="黑体"/>
          <w:b w:val="0"/>
          <w:bCs w:val="0"/>
          <w:color w:val="auto"/>
        </w:rPr>
        <w:t>、推动重点流域实现长治久清</w:t>
      </w:r>
      <w:bookmarkEnd w:id="1098"/>
      <w:bookmarkEnd w:id="1099"/>
      <w:bookmarkEnd w:id="1100"/>
      <w:bookmarkEnd w:id="1101"/>
      <w:bookmarkEnd w:id="1102"/>
      <w:bookmarkEnd w:id="1103"/>
      <w:bookmarkEnd w:id="1104"/>
      <w:bookmarkEnd w:id="1105"/>
      <w:bookmarkEnd w:id="1106"/>
      <w:bookmarkEnd w:id="1107"/>
    </w:p>
    <w:p>
      <w:pPr>
        <w:pStyle w:val="27"/>
        <w:widowControl w:val="0"/>
        <w:wordWrap/>
        <w:adjustRightInd/>
        <w:snapToGrid/>
        <w:textAlignment w:val="auto"/>
        <w:outlineLvl w:val="9"/>
        <w:rPr>
          <w:rFonts w:hint="default" w:ascii="Times New Roman" w:hAnsi="Times New Roman" w:eastAsia="仿宋_GB2312" w:cs="Times New Roman"/>
          <w:kern w:val="2"/>
          <w:sz w:val="32"/>
          <w:szCs w:val="22"/>
          <w:lang w:val="en-US" w:eastAsia="zh-CN"/>
        </w:rPr>
      </w:pPr>
      <w:r>
        <w:rPr>
          <w:rFonts w:hint="default" w:ascii="Times New Roman" w:hAnsi="Times New Roman" w:eastAsia="仿宋_GB2312"/>
          <w:color w:val="auto"/>
          <w:sz w:val="32"/>
          <w:szCs w:val="22"/>
        </w:rPr>
        <w:t>加快补齐重点断面流域治理短板。压实河长制</w:t>
      </w:r>
      <w:r>
        <w:rPr>
          <w:rFonts w:hint="eastAsia"/>
          <w:color w:val="auto"/>
          <w:sz w:val="32"/>
          <w:szCs w:val="22"/>
          <w:lang w:eastAsia="zh-CN"/>
        </w:rPr>
        <w:t>、</w:t>
      </w:r>
      <w:r>
        <w:rPr>
          <w:rFonts w:hint="default" w:ascii="Times New Roman" w:hAnsi="Times New Roman" w:eastAsia="仿宋_GB2312"/>
          <w:color w:val="auto"/>
          <w:sz w:val="32"/>
          <w:szCs w:val="22"/>
        </w:rPr>
        <w:t>湖长制工作责任，持续推进东江重点流域水环境综合整治。坚持源头管控与精准治污结合，加强重点流域和重点行业污染源环境监管，持续推进</w:t>
      </w:r>
      <w:r>
        <w:rPr>
          <w:rFonts w:hint="default" w:ascii="Times New Roman" w:hAnsi="Times New Roman" w:eastAsia="仿宋_GB2312"/>
          <w:color w:val="auto"/>
          <w:sz w:val="32"/>
          <w:szCs w:val="22"/>
          <w:lang w:eastAsia="zh-CN"/>
        </w:rPr>
        <w:t>污水收集设施、</w:t>
      </w:r>
      <w:r>
        <w:rPr>
          <w:rFonts w:hint="default" w:ascii="Times New Roman" w:hAnsi="Times New Roman" w:eastAsia="仿宋_GB2312"/>
          <w:color w:val="auto"/>
          <w:sz w:val="32"/>
          <w:szCs w:val="22"/>
        </w:rPr>
        <w:t>治水设施建设查漏补缺，加强初雨污染防范，全力推进全流域系统治理。强化重点支流综合治理。加强水质监测和污染物通量监测，开展干支流协同治理，重点改善梅花河、马坝河和沐溪河3条河流水质。加强重点湖泊系统治理。持续压实各级湖长责任，严格湖泊水域空间管控，强化湖泊岸线管理保护。以湖泊生态系统结构完整和生态系统健康为核心，围绕湖泊</w:t>
      </w:r>
      <w:r>
        <w:rPr>
          <w:rFonts w:hint="eastAsia"/>
          <w:color w:val="auto"/>
          <w:sz w:val="32"/>
          <w:szCs w:val="22"/>
          <w:lang w:eastAsia="zh-CN"/>
        </w:rPr>
        <w:t>“</w:t>
      </w:r>
      <w:r>
        <w:rPr>
          <w:rFonts w:hint="default" w:ascii="Times New Roman" w:hAnsi="Times New Roman" w:eastAsia="仿宋_GB2312"/>
          <w:color w:val="auto"/>
          <w:sz w:val="32"/>
          <w:szCs w:val="22"/>
        </w:rPr>
        <w:t>一湖四圈</w:t>
      </w:r>
      <w:r>
        <w:rPr>
          <w:rFonts w:hint="eastAsia"/>
          <w:color w:val="auto"/>
          <w:sz w:val="32"/>
          <w:szCs w:val="22"/>
          <w:lang w:eastAsia="zh-CN"/>
        </w:rPr>
        <w:t>”</w:t>
      </w:r>
      <w:r>
        <w:rPr>
          <w:rFonts w:hint="default" w:ascii="Times New Roman" w:hAnsi="Times New Roman" w:eastAsia="仿宋_GB2312"/>
          <w:color w:val="auto"/>
          <w:sz w:val="32"/>
          <w:szCs w:val="22"/>
        </w:rPr>
        <w:t>（水源涵养林</w:t>
      </w:r>
      <w:r>
        <w:rPr>
          <w:rFonts w:hint="eastAsia"/>
          <w:color w:val="auto"/>
          <w:sz w:val="32"/>
          <w:szCs w:val="22"/>
          <w:lang w:eastAsia="zh-CN"/>
        </w:rPr>
        <w:t>—</w:t>
      </w:r>
      <w:r>
        <w:rPr>
          <w:rFonts w:hint="default" w:ascii="Times New Roman" w:hAnsi="Times New Roman" w:eastAsia="仿宋_GB2312"/>
          <w:color w:val="auto"/>
          <w:sz w:val="32"/>
          <w:szCs w:val="22"/>
        </w:rPr>
        <w:t>湖荡湿地</w:t>
      </w:r>
      <w:r>
        <w:rPr>
          <w:rFonts w:hint="eastAsia"/>
          <w:color w:val="auto"/>
          <w:sz w:val="32"/>
          <w:szCs w:val="22"/>
          <w:lang w:eastAsia="zh-CN"/>
        </w:rPr>
        <w:t>—</w:t>
      </w:r>
      <w:r>
        <w:rPr>
          <w:rFonts w:hint="default" w:ascii="Times New Roman" w:hAnsi="Times New Roman" w:eastAsia="仿宋_GB2312"/>
          <w:color w:val="auto"/>
          <w:sz w:val="32"/>
          <w:szCs w:val="22"/>
        </w:rPr>
        <w:t>河流水网</w:t>
      </w:r>
      <w:r>
        <w:rPr>
          <w:rFonts w:hint="eastAsia"/>
          <w:color w:val="auto"/>
          <w:sz w:val="32"/>
          <w:szCs w:val="22"/>
          <w:lang w:eastAsia="zh-CN"/>
        </w:rPr>
        <w:t>—</w:t>
      </w:r>
      <w:r>
        <w:rPr>
          <w:rFonts w:hint="default" w:ascii="Times New Roman" w:hAnsi="Times New Roman" w:eastAsia="仿宋_GB2312"/>
          <w:color w:val="auto"/>
          <w:sz w:val="32"/>
          <w:szCs w:val="22"/>
        </w:rPr>
        <w:t>湖滨缓冲带</w:t>
      </w:r>
      <w:r>
        <w:rPr>
          <w:rFonts w:hint="eastAsia"/>
          <w:color w:val="auto"/>
          <w:sz w:val="32"/>
          <w:szCs w:val="22"/>
          <w:lang w:eastAsia="zh-CN"/>
        </w:rPr>
        <w:t>—</w:t>
      </w:r>
      <w:r>
        <w:rPr>
          <w:rFonts w:hint="default" w:ascii="Times New Roman" w:hAnsi="Times New Roman" w:eastAsia="仿宋_GB2312"/>
          <w:color w:val="auto"/>
          <w:sz w:val="32"/>
          <w:szCs w:val="22"/>
        </w:rPr>
        <w:t>湖体）开展生态治理和保护工作，确保湖泊水质达标。</w:t>
      </w:r>
      <w:r>
        <w:rPr>
          <w:rFonts w:hint="default" w:ascii="Times New Roman" w:hAnsi="Times New Roman" w:cs="Times New Roman"/>
          <w:color w:val="auto"/>
          <w:lang w:val="en-US" w:eastAsia="zh-CN"/>
        </w:rPr>
        <w:t>深入开展城市黑臭风险水体防治。全面开展县级以上城市建成区潜在黑臭水体排查，开展水质监测，编制黑臭水体整治清单</w:t>
      </w:r>
      <w:r>
        <w:rPr>
          <w:rFonts w:hint="eastAsia"/>
          <w:lang w:val="en-US" w:eastAsia="zh-CN"/>
        </w:rPr>
        <w:t>并</w:t>
      </w:r>
      <w:r>
        <w:rPr>
          <w:rFonts w:hint="default" w:ascii="Times New Roman" w:hAnsi="Times New Roman" w:cs="Times New Roman"/>
          <w:color w:val="auto"/>
          <w:lang w:val="en-US" w:eastAsia="zh-CN"/>
        </w:rPr>
        <w:t>制定实施整治方案。巩固提升城市黑臭水体治理成果，坚持标本兼治，实行</w:t>
      </w:r>
      <w:r>
        <w:rPr>
          <w:rFonts w:hint="eastAsia" w:cs="Times New Roman"/>
          <w:color w:val="auto"/>
          <w:lang w:val="en-US" w:eastAsia="zh-CN"/>
        </w:rPr>
        <w:t>“</w:t>
      </w:r>
      <w:r>
        <w:rPr>
          <w:rFonts w:hint="default" w:ascii="Times New Roman" w:hAnsi="Times New Roman" w:cs="Times New Roman"/>
          <w:color w:val="auto"/>
          <w:lang w:val="en-US" w:eastAsia="zh-CN"/>
        </w:rPr>
        <w:t>一河一策</w:t>
      </w:r>
      <w:r>
        <w:rPr>
          <w:rFonts w:hint="eastAsia" w:cs="Times New Roman"/>
          <w:color w:val="auto"/>
          <w:lang w:val="en-US" w:eastAsia="zh-CN"/>
        </w:rPr>
        <w:t>”“</w:t>
      </w:r>
      <w:r>
        <w:rPr>
          <w:rFonts w:hint="default" w:ascii="Times New Roman" w:hAnsi="Times New Roman" w:cs="Times New Roman"/>
          <w:color w:val="auto"/>
          <w:lang w:val="en-US" w:eastAsia="zh-CN"/>
        </w:rPr>
        <w:t>一河一长</w:t>
      </w:r>
      <w:r>
        <w:rPr>
          <w:rFonts w:hint="eastAsia" w:cs="Times New Roman"/>
          <w:color w:val="auto"/>
          <w:lang w:val="en-US" w:eastAsia="zh-CN"/>
        </w:rPr>
        <w:t>”“</w:t>
      </w:r>
      <w:r>
        <w:rPr>
          <w:rFonts w:hint="default" w:ascii="Times New Roman" w:hAnsi="Times New Roman" w:cs="Times New Roman"/>
          <w:color w:val="auto"/>
          <w:lang w:val="en-US" w:eastAsia="zh-CN"/>
        </w:rPr>
        <w:t>一河一台账</w:t>
      </w:r>
      <w:r>
        <w:rPr>
          <w:rFonts w:hint="eastAsia" w:cs="Times New Roman"/>
          <w:color w:val="auto"/>
          <w:lang w:val="en-US" w:eastAsia="zh-CN"/>
        </w:rPr>
        <w:t>”“</w:t>
      </w:r>
      <w:r>
        <w:rPr>
          <w:rFonts w:hint="default" w:ascii="Times New Roman" w:hAnsi="Times New Roman" w:cs="Times New Roman"/>
          <w:color w:val="auto"/>
          <w:lang w:val="en-US" w:eastAsia="zh-CN"/>
        </w:rPr>
        <w:t>一河一评估</w:t>
      </w:r>
      <w:r>
        <w:rPr>
          <w:rFonts w:hint="eastAsia" w:cs="Times New Roman"/>
          <w:color w:val="auto"/>
          <w:lang w:val="en-US" w:eastAsia="zh-CN"/>
        </w:rPr>
        <w:t>”</w:t>
      </w:r>
      <w:r>
        <w:rPr>
          <w:rFonts w:hint="default" w:ascii="Times New Roman" w:hAnsi="Times New Roman" w:cs="Times New Roman"/>
          <w:color w:val="auto"/>
          <w:lang w:val="en-US" w:eastAsia="zh-CN"/>
        </w:rPr>
        <w:t>等制度，</w:t>
      </w:r>
      <w:r>
        <w:rPr>
          <w:rFonts w:hint="default" w:ascii="Times New Roman" w:hAnsi="Times New Roman" w:eastAsia="仿宋_GB2312" w:cs="Times New Roman"/>
          <w:kern w:val="2"/>
          <w:sz w:val="32"/>
          <w:szCs w:val="22"/>
          <w:lang w:val="en-US" w:eastAsia="zh-CN"/>
        </w:rPr>
        <w:t>完善黑臭水体长效防治机制，</w:t>
      </w:r>
      <w:r>
        <w:rPr>
          <w:rFonts w:hint="eastAsia" w:cs="Times New Roman"/>
          <w:kern w:val="2"/>
          <w:sz w:val="32"/>
          <w:szCs w:val="22"/>
          <w:lang w:val="en-US" w:eastAsia="zh-CN"/>
        </w:rPr>
        <w:t>实现</w:t>
      </w:r>
      <w:r>
        <w:rPr>
          <w:rFonts w:hint="default" w:ascii="Times New Roman" w:hAnsi="Times New Roman" w:eastAsia="仿宋_GB2312" w:cs="Times New Roman"/>
          <w:kern w:val="2"/>
          <w:sz w:val="32"/>
          <w:szCs w:val="22"/>
          <w:lang w:val="en-US" w:eastAsia="zh-CN"/>
        </w:rPr>
        <w:t>长治久清。</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108" w:name="_Toc7275"/>
      <w:bookmarkStart w:id="1109" w:name="_Toc22501"/>
      <w:bookmarkStart w:id="1110" w:name="_Toc30557"/>
      <w:bookmarkStart w:id="1111" w:name="_Toc10273"/>
      <w:bookmarkStart w:id="1112" w:name="_Toc3355"/>
      <w:bookmarkStart w:id="1113" w:name="_Toc4822"/>
      <w:bookmarkStart w:id="1114" w:name="_Toc26048"/>
      <w:bookmarkStart w:id="1115" w:name="_Toc19520"/>
      <w:bookmarkStart w:id="1116" w:name="_Toc18919"/>
      <w:bookmarkStart w:id="1117" w:name="_Toc13326"/>
      <w:bookmarkStart w:id="1118" w:name="_Toc292"/>
      <w:bookmarkStart w:id="1119" w:name="_Toc17336"/>
      <w:bookmarkStart w:id="1120" w:name="_Toc2166"/>
      <w:bookmarkStart w:id="1121" w:name="_Toc17991"/>
      <w:bookmarkStart w:id="1122" w:name="_Toc5091"/>
      <w:bookmarkStart w:id="1123" w:name="_Toc18930"/>
      <w:bookmarkStart w:id="1124" w:name="_Toc23504"/>
      <w:r>
        <w:rPr>
          <w:rFonts w:hint="eastAsia" w:ascii="黑体" w:hAnsi="黑体" w:eastAsia="黑体" w:cs="黑体"/>
          <w:b w:val="0"/>
          <w:bCs w:val="0"/>
          <w:color w:val="auto"/>
          <w:kern w:val="2"/>
          <w:sz w:val="32"/>
          <w:lang w:val="en-US" w:eastAsia="zh-CN"/>
        </w:rPr>
        <w:t>第三节　</w:t>
      </w:r>
      <w:r>
        <w:rPr>
          <w:rFonts w:hint="eastAsia" w:ascii="黑体" w:hAnsi="黑体" w:eastAsia="黑体" w:cs="黑体"/>
          <w:b w:val="0"/>
          <w:bCs w:val="0"/>
          <w:color w:val="auto"/>
          <w:kern w:val="2"/>
          <w:sz w:val="32"/>
        </w:rPr>
        <w:t>开展水生态</w:t>
      </w:r>
      <w:r>
        <w:rPr>
          <w:rFonts w:hint="eastAsia" w:ascii="黑体" w:hAnsi="黑体" w:eastAsia="黑体" w:cs="黑体"/>
          <w:b w:val="0"/>
          <w:bCs w:val="0"/>
          <w:color w:val="auto"/>
          <w:kern w:val="2"/>
          <w:sz w:val="32"/>
          <w:lang w:val="en-US" w:eastAsia="zh-CN"/>
        </w:rPr>
        <w:t>现状调查评</w:t>
      </w:r>
      <w:bookmarkEnd w:id="1108"/>
      <w:r>
        <w:rPr>
          <w:rFonts w:hint="eastAsia" w:ascii="黑体" w:hAnsi="黑体" w:eastAsia="黑体" w:cs="黑体"/>
          <w:b w:val="0"/>
          <w:bCs w:val="0"/>
          <w:color w:val="auto"/>
          <w:kern w:val="2"/>
          <w:sz w:val="32"/>
          <w:lang w:val="en-US" w:eastAsia="zh-CN"/>
        </w:rPr>
        <w:t>估</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Style w:val="27"/>
        <w:rPr>
          <w:rFonts w:hint="eastAsia"/>
        </w:rPr>
      </w:pPr>
      <w:r>
        <w:t>重点围绕北江、浈江、武江、锦江、墨江、南水、滃江、新丰江、南水水库等重点河湖、县级以上饮用水水源地、北江特有珍稀鱼类自然保护区、水产种质资源保护区等，严格按照省</w:t>
      </w:r>
      <w:r>
        <w:rPr>
          <w:rFonts w:hint="eastAsia"/>
          <w:lang w:eastAsia="zh-CN"/>
        </w:rPr>
        <w:t>有关</w:t>
      </w:r>
      <w:r>
        <w:t>要求开展全市水生态现状调查评估，掌握全市水生态状况及变化趋势，为全市水生态保护、生态修复提供科学支撑。</w:t>
      </w:r>
      <w:r>
        <w:rPr>
          <w:rFonts w:hint="eastAsia"/>
        </w:rPr>
        <w:t>对重要江河湖库开展水生态环境评价。</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125" w:name="_Toc19109"/>
      <w:bookmarkStart w:id="1126" w:name="_Toc28803"/>
      <w:bookmarkStart w:id="1127" w:name="_Toc19602"/>
      <w:bookmarkStart w:id="1128" w:name="_Toc234"/>
      <w:bookmarkStart w:id="1129" w:name="_Toc20911"/>
      <w:bookmarkStart w:id="1130" w:name="_Toc809"/>
      <w:bookmarkStart w:id="1131" w:name="_Toc18750"/>
      <w:bookmarkStart w:id="1132" w:name="_Toc27678"/>
      <w:bookmarkStart w:id="1133" w:name="_Toc7033"/>
      <w:bookmarkStart w:id="1134" w:name="_Toc8850"/>
      <w:bookmarkStart w:id="1135" w:name="_Toc20192"/>
      <w:bookmarkStart w:id="1136" w:name="_Toc18838"/>
      <w:bookmarkStart w:id="1137" w:name="_Toc11557"/>
      <w:bookmarkStart w:id="1138" w:name="_Toc4380"/>
      <w:bookmarkStart w:id="1139" w:name="_Toc3578"/>
      <w:bookmarkStart w:id="1140" w:name="_Toc23484"/>
      <w:bookmarkStart w:id="1141" w:name="_Toc15606"/>
      <w:r>
        <w:rPr>
          <w:rFonts w:hint="eastAsia" w:ascii="黑体" w:hAnsi="黑体" w:eastAsia="黑体" w:cs="黑体"/>
          <w:b w:val="0"/>
          <w:bCs w:val="0"/>
          <w:color w:val="auto"/>
          <w:kern w:val="2"/>
          <w:sz w:val="32"/>
          <w:lang w:val="en-US" w:eastAsia="zh-CN"/>
        </w:rPr>
        <w:t>第四节　加强水资源节约利</w:t>
      </w:r>
      <w:bookmarkEnd w:id="1125"/>
      <w:r>
        <w:rPr>
          <w:rFonts w:hint="eastAsia" w:ascii="黑体" w:hAnsi="黑体" w:eastAsia="黑体" w:cs="黑体"/>
          <w:b w:val="0"/>
          <w:bCs w:val="0"/>
          <w:color w:val="auto"/>
          <w:kern w:val="2"/>
          <w:sz w:val="32"/>
          <w:lang w:val="en-US" w:eastAsia="zh-CN"/>
        </w:rPr>
        <w:t>用</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pPr>
        <w:pStyle w:val="27"/>
        <w:rPr>
          <w:rFonts w:hint="eastAsia"/>
        </w:rPr>
      </w:pPr>
      <w:r>
        <w:rPr>
          <w:rFonts w:hint="eastAsia"/>
        </w:rPr>
        <w:t>实施最严格的水资源管理制度，加强生产生活领域节水改造，强化雨污水资源化利用，健全水生态流量保障机制。</w:t>
      </w:r>
    </w:p>
    <w:p>
      <w:pPr>
        <w:pStyle w:val="5"/>
        <w:spacing w:before="0" w:after="0"/>
        <w:ind w:firstLine="640" w:firstLineChars="200"/>
        <w:rPr>
          <w:rFonts w:hint="eastAsia" w:ascii="黑体" w:hAnsi="黑体" w:eastAsia="黑体" w:cs="黑体"/>
          <w:b w:val="0"/>
          <w:bCs w:val="0"/>
          <w:color w:val="auto"/>
        </w:rPr>
      </w:pPr>
      <w:bookmarkStart w:id="1142" w:name="_Toc1755"/>
      <w:bookmarkStart w:id="1143" w:name="_Toc26279"/>
      <w:bookmarkStart w:id="1144" w:name="_Toc31481"/>
      <w:bookmarkStart w:id="1145" w:name="_Toc7113"/>
      <w:bookmarkStart w:id="1146" w:name="_Toc16732"/>
      <w:bookmarkStart w:id="1147" w:name="_Toc7526"/>
      <w:bookmarkStart w:id="1148" w:name="_Toc13649"/>
      <w:bookmarkStart w:id="1149" w:name="_Toc30217"/>
      <w:bookmarkStart w:id="1150" w:name="_Toc15501"/>
      <w:bookmarkStart w:id="1151" w:name="_Toc19128"/>
      <w:r>
        <w:rPr>
          <w:rFonts w:hint="eastAsia" w:ascii="黑体" w:hAnsi="黑体" w:eastAsia="黑体" w:cs="黑体"/>
          <w:b w:val="0"/>
          <w:bCs w:val="0"/>
          <w:color w:val="auto"/>
          <w:lang w:val="en-US" w:eastAsia="zh-CN"/>
        </w:rPr>
        <w:t>一、</w:t>
      </w:r>
      <w:r>
        <w:rPr>
          <w:rFonts w:hint="eastAsia" w:ascii="黑体" w:hAnsi="黑体" w:eastAsia="黑体" w:cs="黑体"/>
          <w:b w:val="0"/>
          <w:bCs w:val="0"/>
          <w:color w:val="auto"/>
        </w:rPr>
        <w:t>提升水资源利用效率</w:t>
      </w:r>
      <w:bookmarkEnd w:id="1142"/>
      <w:bookmarkEnd w:id="1143"/>
      <w:bookmarkEnd w:id="1144"/>
      <w:bookmarkEnd w:id="1145"/>
      <w:bookmarkEnd w:id="1146"/>
      <w:bookmarkEnd w:id="1147"/>
      <w:bookmarkEnd w:id="1148"/>
      <w:bookmarkEnd w:id="1149"/>
      <w:bookmarkEnd w:id="1150"/>
      <w:bookmarkEnd w:id="1151"/>
    </w:p>
    <w:p>
      <w:pPr>
        <w:pStyle w:val="27"/>
        <w:widowControl w:val="0"/>
        <w:wordWrap/>
        <w:adjustRightInd/>
        <w:snapToGrid/>
        <w:textAlignment w:val="auto"/>
        <w:outlineLvl w:val="9"/>
        <w:rPr>
          <w:rFonts w:hint="eastAsia"/>
        </w:rPr>
      </w:pPr>
      <w:r>
        <w:rPr>
          <w:rFonts w:hint="eastAsia"/>
        </w:rPr>
        <w:t>大力实施节水行动，强化水资源刚性约束，实行水资源消耗总量和强度双控，推进节水型社会建设，把节约用水贯穿于经济社会发展和生产生活全过程。深入抓好工业、农业、城镇节水，在工业领域，加快企业节水改造，重点抓好高耗水行业节水减排技改以及重复用水工程建设，提高工业用水循环利用率；在农业领域，加快大中型灌区节水改造，推广管道输水、喷灌和微灌等高效节水灌溉技术；在城镇生活领域，加强节水载体建设，普及节水器具，严格控制供水管网漏损率。推广再生水循环</w:t>
      </w:r>
      <w:r>
        <w:rPr>
          <w:rFonts w:hint="eastAsia"/>
          <w:lang w:eastAsia="zh-CN"/>
        </w:rPr>
        <w:t>应</w:t>
      </w:r>
      <w:r>
        <w:rPr>
          <w:rFonts w:hint="eastAsia"/>
        </w:rPr>
        <w:t>用于工业生产、市政非饮用水及景观环境等领域，实现优质优用、低质低用。</w:t>
      </w:r>
      <w:r>
        <w:rPr>
          <w:lang w:val="zh-CN"/>
        </w:rPr>
        <w:t>在</w:t>
      </w:r>
      <w:r>
        <w:t>南水河、马坝河</w:t>
      </w:r>
      <w:r>
        <w:rPr>
          <w:lang w:val="zh-CN"/>
        </w:rPr>
        <w:t>等生态基流不足流域积极实施再生水资源化利用，</w:t>
      </w:r>
      <w:r>
        <w:rPr>
          <w:rFonts w:hint="eastAsia"/>
          <w:lang w:val="en-US" w:eastAsia="zh-CN"/>
        </w:rPr>
        <w:t>加强</w:t>
      </w:r>
      <w:r>
        <w:rPr>
          <w:lang w:val="zh-CN"/>
        </w:rPr>
        <w:t>河道生态流量</w:t>
      </w:r>
      <w:r>
        <w:rPr>
          <w:rFonts w:hint="eastAsia"/>
          <w:lang w:val="en-US" w:eastAsia="zh-CN"/>
        </w:rPr>
        <w:t>保障</w:t>
      </w:r>
      <w:r>
        <w:rPr>
          <w:lang w:val="zh-CN"/>
        </w:rPr>
        <w:t>。</w:t>
      </w:r>
    </w:p>
    <w:p>
      <w:pPr>
        <w:pStyle w:val="5"/>
        <w:spacing w:before="0" w:after="0"/>
        <w:ind w:firstLine="640" w:firstLineChars="200"/>
        <w:rPr>
          <w:rFonts w:hint="eastAsia" w:ascii="黑体" w:hAnsi="黑体" w:eastAsia="黑体" w:cs="黑体"/>
          <w:b w:val="0"/>
          <w:bCs w:val="0"/>
          <w:color w:val="auto"/>
        </w:rPr>
      </w:pPr>
      <w:bookmarkStart w:id="1152" w:name="_Toc21851"/>
      <w:bookmarkStart w:id="1153" w:name="_Toc1564"/>
      <w:bookmarkStart w:id="1154" w:name="_Toc75"/>
      <w:bookmarkStart w:id="1155" w:name="_Toc21499"/>
      <w:bookmarkStart w:id="1156" w:name="_Toc27173"/>
      <w:bookmarkStart w:id="1157" w:name="_Toc2362"/>
      <w:bookmarkStart w:id="1158" w:name="_Toc27465"/>
      <w:bookmarkStart w:id="1159" w:name="_Toc4757"/>
      <w:bookmarkStart w:id="1160" w:name="_Toc28311"/>
      <w:bookmarkStart w:id="1161" w:name="_Toc30441"/>
      <w:r>
        <w:rPr>
          <w:rFonts w:hint="eastAsia" w:ascii="黑体" w:hAnsi="黑体" w:eastAsia="黑体" w:cs="黑体"/>
          <w:b w:val="0"/>
          <w:bCs w:val="0"/>
          <w:color w:val="auto"/>
          <w:lang w:val="en-US" w:eastAsia="zh-CN"/>
        </w:rPr>
        <w:t>二、</w:t>
      </w:r>
      <w:r>
        <w:rPr>
          <w:rFonts w:hint="eastAsia" w:ascii="黑体" w:hAnsi="黑体" w:eastAsia="黑体" w:cs="黑体"/>
          <w:b w:val="0"/>
          <w:bCs w:val="0"/>
          <w:color w:val="auto"/>
        </w:rPr>
        <w:t>强化水生态流量保障</w:t>
      </w:r>
      <w:bookmarkEnd w:id="1152"/>
      <w:bookmarkEnd w:id="1153"/>
      <w:bookmarkEnd w:id="1154"/>
      <w:bookmarkEnd w:id="1155"/>
      <w:bookmarkEnd w:id="1156"/>
      <w:bookmarkEnd w:id="1157"/>
      <w:bookmarkEnd w:id="1158"/>
      <w:bookmarkEnd w:id="1159"/>
      <w:bookmarkEnd w:id="1160"/>
      <w:bookmarkEnd w:id="1161"/>
    </w:p>
    <w:p>
      <w:pPr>
        <w:pStyle w:val="27"/>
        <w:rPr>
          <w:rFonts w:hint="eastAsia" w:ascii="仿宋_GB2312" w:hAnsi="仿宋_GB2312" w:cs="仿宋_GB2312"/>
          <w:b/>
          <w:bCs/>
          <w:color w:val="auto"/>
        </w:rPr>
      </w:pPr>
      <w:r>
        <w:t>对北江干流、武江、浈江、锦江、墨江、南水、滃江、新丰江等已划定生态流量目标的重点河流实施流量实时监测与管控，定期评估各控制断面的生态流量保障情况。对水动力不足且未核定目标的河流，科学论证生态流量并制定生态流量调度与保障方案。以南水、横石水等水资源开发利用程度高，水资源供需矛盾突出的流域为试点，探索建立以总量控制为核心</w:t>
      </w:r>
      <w:r>
        <w:rPr>
          <w:rFonts w:hint="eastAsia"/>
          <w:lang w:eastAsia="zh-CN"/>
        </w:rPr>
        <w:t>、</w:t>
      </w:r>
      <w:r>
        <w:t>生态目标保障为前提，统筹开发利用需求的生态流量考核机制</w:t>
      </w:r>
      <w:r>
        <w:rPr>
          <w:rFonts w:hint="eastAsia"/>
          <w:lang w:eastAsia="zh-CN"/>
        </w:rPr>
        <w:t>；</w:t>
      </w:r>
      <w:r>
        <w:t>开展南水河流生态需水研究与生态流量保障研究，确保河湖生态健康。</w:t>
      </w:r>
    </w:p>
    <w:p>
      <w:pPr>
        <w:pStyle w:val="6"/>
        <w:rPr>
          <w:rFonts w:hint="default" w:ascii="Times New Roman" w:hAnsi="Times New Roman" w:cs="Times New Roman"/>
          <w:color w:val="auto"/>
        </w:rPr>
      </w:pPr>
    </w:p>
    <w:bookmarkEnd w:id="977"/>
    <w:bookmarkEnd w:id="978"/>
    <w:p>
      <w:pPr>
        <w:pStyle w:val="28"/>
        <w:ind w:firstLine="640"/>
        <w:rPr>
          <w:rFonts w:hint="default" w:ascii="Times New Roman" w:hAnsi="Times New Roman" w:cs="Times New Roman"/>
          <w:color w:val="auto"/>
          <w:sz w:val="32"/>
          <w:szCs w:val="32"/>
        </w:rPr>
        <w:sectPr>
          <w:pgSz w:w="11906" w:h="16838"/>
          <w:pgMar w:top="2098" w:right="1474" w:bottom="1984" w:left="1587" w:header="851" w:footer="850" w:gutter="0"/>
          <w:pgNumType w:fmt="numberInDash"/>
          <w:cols w:space="720" w:num="1"/>
          <w:docGrid w:type="lines" w:linePitch="312" w:charSpace="0"/>
        </w:sectPr>
      </w:pPr>
      <w:bookmarkStart w:id="1162" w:name="_Toc9201"/>
      <w:bookmarkStart w:id="1163" w:name="_Toc30172"/>
      <w:bookmarkStart w:id="1164" w:name="_Toc20081"/>
      <w:bookmarkStart w:id="1165" w:name="_Toc31674"/>
      <w:bookmarkStart w:id="1166" w:name="_Toc6956"/>
      <w:bookmarkStart w:id="1167" w:name="_Toc11415"/>
    </w:p>
    <w:bookmarkEnd w:id="1162"/>
    <w:bookmarkEnd w:id="1163"/>
    <w:bookmarkEnd w:id="1164"/>
    <w:bookmarkEnd w:id="1165"/>
    <w:bookmarkEnd w:id="1166"/>
    <w:bookmarkEnd w:id="1167"/>
    <w:p>
      <w:pPr>
        <w:pStyle w:val="3"/>
        <w:numPr>
          <w:ilvl w:val="0"/>
          <w:numId w:val="5"/>
        </w:numPr>
        <w:ind w:left="0" w:leftChars="0" w:firstLine="0" w:firstLineChars="0"/>
        <w:rPr>
          <w:rFonts w:hint="eastAsia" w:ascii="方正小标宋简体" w:hAnsi="方正小标宋简体" w:eastAsia="方正小标宋简体" w:cs="方正小标宋简体"/>
          <w:color w:val="auto"/>
          <w:sz w:val="36"/>
          <w:szCs w:val="44"/>
        </w:rPr>
      </w:pPr>
      <w:bookmarkStart w:id="1168" w:name="_Toc16816"/>
      <w:bookmarkStart w:id="1169" w:name="_Toc61001248"/>
      <w:bookmarkStart w:id="1170" w:name="_Toc13778"/>
      <w:bookmarkStart w:id="1171" w:name="_Toc17196"/>
      <w:bookmarkStart w:id="1172" w:name="_Toc6476"/>
      <w:bookmarkStart w:id="1173" w:name="_Toc12763"/>
      <w:bookmarkStart w:id="1174" w:name="_Toc20088"/>
      <w:bookmarkStart w:id="1175" w:name="_Toc27112"/>
      <w:bookmarkStart w:id="1176" w:name="_Toc17041"/>
      <w:bookmarkStart w:id="1177" w:name="_Toc17957"/>
      <w:bookmarkStart w:id="1178" w:name="_Toc19704"/>
      <w:bookmarkStart w:id="1179" w:name="_Toc17895"/>
      <w:bookmarkStart w:id="1180" w:name="_Toc14706"/>
      <w:bookmarkStart w:id="1181" w:name="_Toc7994"/>
      <w:bookmarkStart w:id="1182" w:name="_Toc22448"/>
      <w:bookmarkStart w:id="1183" w:name="_Toc31276"/>
      <w:bookmarkStart w:id="1184" w:name="_Toc17221"/>
      <w:bookmarkStart w:id="1185" w:name="_Toc14606"/>
      <w:bookmarkStart w:id="1186" w:name="_Toc28977"/>
      <w:bookmarkStart w:id="1187" w:name="_Toc9589"/>
      <w:bookmarkStart w:id="1188" w:name="_Toc7948"/>
      <w:bookmarkStart w:id="1189" w:name="_Toc4916"/>
      <w:bookmarkStart w:id="1190" w:name="_Toc3308"/>
      <w:bookmarkStart w:id="1191" w:name="_Toc19958"/>
      <w:bookmarkStart w:id="1192" w:name="_Toc3008"/>
      <w:bookmarkStart w:id="1193" w:name="_Toc57663213"/>
      <w:r>
        <w:rPr>
          <w:rFonts w:hint="eastAsia" w:ascii="方正小标宋简体" w:hAnsi="方正小标宋简体" w:eastAsia="方正小标宋简体" w:cs="方正小标宋简体"/>
          <w:color w:val="auto"/>
          <w:sz w:val="36"/>
          <w:szCs w:val="44"/>
        </w:rPr>
        <w:t>深化土壤污染防治，提升人居环境</w:t>
      </w:r>
      <w:bookmarkEnd w:id="1168"/>
      <w:bookmarkEnd w:id="1169"/>
      <w:r>
        <w:rPr>
          <w:rFonts w:hint="eastAsia" w:ascii="方正小标宋简体" w:hAnsi="方正小标宋简体" w:eastAsia="方正小标宋简体" w:cs="方正小标宋简体"/>
          <w:color w:val="auto"/>
          <w:sz w:val="36"/>
          <w:szCs w:val="44"/>
        </w:rPr>
        <w:t>安</w:t>
      </w:r>
      <w:bookmarkEnd w:id="1170"/>
      <w:r>
        <w:rPr>
          <w:rFonts w:hint="eastAsia" w:ascii="方正小标宋简体" w:hAnsi="方正小标宋简体" w:eastAsia="方正小标宋简体" w:cs="方正小标宋简体"/>
          <w:color w:val="auto"/>
          <w:sz w:val="36"/>
          <w:szCs w:val="44"/>
        </w:rPr>
        <w:t>全</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27"/>
        <w:rPr>
          <w:rFonts w:hint="default" w:ascii="Times New Roman" w:hAnsi="Times New Roman" w:cs="Times New Roman"/>
          <w:color w:val="auto"/>
        </w:rPr>
      </w:pPr>
    </w:p>
    <w:p>
      <w:pPr>
        <w:pStyle w:val="27"/>
        <w:rPr>
          <w:rFonts w:hint="default" w:ascii="Times New Roman" w:hAnsi="Times New Roman" w:cs="Times New Roman"/>
          <w:color w:val="auto"/>
        </w:rPr>
      </w:pPr>
      <w:r>
        <w:rPr>
          <w:rFonts w:hint="eastAsia" w:eastAsia="仿宋_GB2312" w:cs="Times New Roman"/>
          <w:color w:val="auto"/>
          <w:sz w:val="32"/>
          <w:szCs w:val="32"/>
        </w:rPr>
        <w:t>坚持保护优先、预防为主、防控结合，协同推进土壤和地下水污染防治，</w:t>
      </w:r>
      <w:r>
        <w:rPr>
          <w:rFonts w:hint="eastAsia" w:ascii="仿宋_GB2312" w:eastAsia="仿宋_GB2312"/>
          <w:color w:val="auto"/>
          <w:sz w:val="32"/>
          <w:szCs w:val="32"/>
        </w:rPr>
        <w:t>建立健全土壤生态环境监管制度，强化土壤污染源头防控，开展土壤污染风险分级分类分区管控与修复，逐步解决历史遗留突出环境问题，推进土壤资源可持续利用。</w:t>
      </w:r>
      <w:r>
        <w:rPr>
          <w:rFonts w:hint="eastAsia" w:eastAsia="仿宋_GB2312" w:cs="Times New Roman"/>
          <w:color w:val="auto"/>
          <w:sz w:val="32"/>
          <w:szCs w:val="32"/>
        </w:rPr>
        <w:t>以乡村生态振兴为抓手，深化农村人居环境整治，建设生态宜居美丽乡村</w:t>
      </w:r>
      <w:r>
        <w:rPr>
          <w:rFonts w:hint="default" w:ascii="Times New Roman" w:hAnsi="Times New Roman" w:cs="Times New Roman"/>
          <w:color w:val="auto"/>
        </w:rPr>
        <w:t>。</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194" w:name="_Toc25392"/>
      <w:bookmarkStart w:id="1195" w:name="_Toc13594"/>
      <w:bookmarkStart w:id="1196" w:name="_Toc4111"/>
      <w:bookmarkStart w:id="1197" w:name="_Toc8639"/>
      <w:bookmarkStart w:id="1198" w:name="_Toc18175"/>
      <w:bookmarkStart w:id="1199" w:name="_Toc17590"/>
      <w:bookmarkStart w:id="1200" w:name="_Toc23914"/>
      <w:bookmarkStart w:id="1201" w:name="_Toc14946"/>
      <w:bookmarkStart w:id="1202" w:name="_Toc25403"/>
      <w:bookmarkStart w:id="1203" w:name="_Toc28721"/>
      <w:bookmarkStart w:id="1204" w:name="_Toc22342"/>
      <w:bookmarkStart w:id="1205" w:name="_Toc23673"/>
      <w:bookmarkStart w:id="1206" w:name="_Toc9705"/>
      <w:bookmarkStart w:id="1207" w:name="_Toc26593"/>
      <w:bookmarkStart w:id="1208" w:name="_Toc11548"/>
      <w:bookmarkStart w:id="1209" w:name="_Toc3889"/>
      <w:bookmarkStart w:id="1210" w:name="_Toc10894"/>
      <w:r>
        <w:rPr>
          <w:rFonts w:hint="default" w:ascii="黑体" w:hAnsi="黑体" w:eastAsia="黑体" w:cs="黑体"/>
          <w:b w:val="0"/>
          <w:bCs w:val="0"/>
          <w:color w:val="auto"/>
          <w:kern w:val="2"/>
          <w:sz w:val="32"/>
        </w:rPr>
        <w:t>第</w:t>
      </w:r>
      <w:r>
        <w:rPr>
          <w:rFonts w:hint="eastAsia" w:ascii="黑体" w:hAnsi="黑体" w:eastAsia="黑体" w:cs="黑体"/>
          <w:b w:val="0"/>
          <w:bCs w:val="0"/>
          <w:color w:val="auto"/>
          <w:kern w:val="2"/>
          <w:sz w:val="32"/>
          <w:lang w:eastAsia="zh-CN"/>
        </w:rPr>
        <w:t>一</w:t>
      </w:r>
      <w:r>
        <w:rPr>
          <w:rFonts w:hint="default" w:ascii="黑体" w:hAnsi="黑体" w:eastAsia="黑体" w:cs="黑体"/>
          <w:b w:val="0"/>
          <w:bCs w:val="0"/>
          <w:color w:val="auto"/>
          <w:kern w:val="2"/>
          <w:sz w:val="32"/>
        </w:rPr>
        <w:t>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强化土壤</w:t>
      </w:r>
      <w:r>
        <w:rPr>
          <w:rFonts w:hint="eastAsia" w:ascii="黑体" w:hAnsi="黑体" w:eastAsia="黑体" w:cs="黑体"/>
          <w:b w:val="0"/>
          <w:bCs w:val="0"/>
          <w:color w:val="auto"/>
          <w:kern w:val="2"/>
          <w:sz w:val="32"/>
          <w:lang w:val="en-US" w:eastAsia="zh-CN"/>
        </w:rPr>
        <w:t>和地下水</w:t>
      </w:r>
      <w:r>
        <w:rPr>
          <w:rFonts w:hint="default" w:ascii="黑体" w:hAnsi="黑体" w:eastAsia="黑体" w:cs="黑体"/>
          <w:b w:val="0"/>
          <w:bCs w:val="0"/>
          <w:color w:val="auto"/>
          <w:kern w:val="2"/>
          <w:sz w:val="32"/>
        </w:rPr>
        <w:t>污染源头防</w:t>
      </w:r>
      <w:bookmarkEnd w:id="1194"/>
      <w:r>
        <w:rPr>
          <w:rFonts w:hint="default" w:ascii="黑体" w:hAnsi="黑体" w:eastAsia="黑体" w:cs="黑体"/>
          <w:b w:val="0"/>
          <w:bCs w:val="0"/>
          <w:color w:val="auto"/>
          <w:kern w:val="2"/>
          <w:sz w:val="32"/>
        </w:rPr>
        <w:t>控</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pStyle w:val="27"/>
        <w:widowControl w:val="0"/>
        <w:wordWrap/>
        <w:adjustRightInd/>
        <w:snapToGrid/>
        <w:textAlignment w:val="auto"/>
        <w:outlineLvl w:val="9"/>
        <w:rPr>
          <w:rFonts w:hint="eastAsia"/>
          <w:lang w:val="en-US" w:eastAsia="zh-CN"/>
        </w:rPr>
      </w:pPr>
      <w:r>
        <w:rPr>
          <w:rFonts w:hint="eastAsia"/>
          <w:lang w:val="en-US" w:eastAsia="zh-CN"/>
        </w:rPr>
        <w:t>深入开展土壤和地下水环境调查评估，严控新增土壤污染，加强土壤污染重点监管单位规范化管理，提升土壤和地下水污染源头防控能力。</w:t>
      </w:r>
    </w:p>
    <w:p>
      <w:pPr>
        <w:pStyle w:val="5"/>
        <w:spacing w:before="0" w:after="0"/>
        <w:ind w:firstLine="640" w:firstLineChars="200"/>
        <w:rPr>
          <w:rFonts w:hint="default" w:ascii="黑体" w:hAnsi="黑体" w:eastAsia="黑体" w:cs="黑体"/>
          <w:b w:val="0"/>
          <w:bCs w:val="0"/>
          <w:color w:val="auto"/>
        </w:rPr>
      </w:pPr>
      <w:bookmarkStart w:id="1211" w:name="_Toc11671"/>
      <w:bookmarkStart w:id="1212" w:name="_Toc3390"/>
      <w:bookmarkStart w:id="1213" w:name="_Toc25658"/>
      <w:bookmarkStart w:id="1214" w:name="_Toc5649"/>
      <w:bookmarkStart w:id="1215" w:name="_Toc5951"/>
      <w:bookmarkStart w:id="1216" w:name="_Toc943"/>
      <w:bookmarkStart w:id="1217" w:name="_Toc12086"/>
      <w:bookmarkStart w:id="1218" w:name="_Toc21300"/>
      <w:bookmarkStart w:id="1219" w:name="_Toc3385"/>
      <w:bookmarkStart w:id="1220" w:name="_Toc27355"/>
      <w:r>
        <w:rPr>
          <w:rFonts w:hint="eastAsia" w:ascii="黑体" w:hAnsi="黑体" w:eastAsia="黑体" w:cs="黑体"/>
          <w:b w:val="0"/>
          <w:bCs w:val="0"/>
          <w:color w:val="auto"/>
          <w:lang w:val="en-US" w:eastAsia="zh-CN"/>
        </w:rPr>
        <w:t>一、</w:t>
      </w:r>
      <w:r>
        <w:rPr>
          <w:rFonts w:hint="default" w:ascii="黑体" w:hAnsi="黑体" w:eastAsia="黑体" w:cs="黑体"/>
          <w:b w:val="0"/>
          <w:bCs w:val="0"/>
          <w:color w:val="auto"/>
        </w:rPr>
        <w:t>进一步摸清土壤与地下水环境质量状况</w:t>
      </w:r>
      <w:bookmarkEnd w:id="1211"/>
      <w:bookmarkEnd w:id="1212"/>
      <w:bookmarkEnd w:id="1213"/>
      <w:bookmarkEnd w:id="1214"/>
      <w:bookmarkEnd w:id="1215"/>
      <w:bookmarkEnd w:id="1216"/>
      <w:bookmarkEnd w:id="1217"/>
      <w:bookmarkEnd w:id="1218"/>
      <w:bookmarkEnd w:id="1219"/>
      <w:bookmarkEnd w:id="1220"/>
    </w:p>
    <w:p>
      <w:pPr>
        <w:pStyle w:val="27"/>
        <w:widowControl w:val="0"/>
        <w:wordWrap/>
        <w:adjustRightInd/>
        <w:snapToGrid/>
        <w:textAlignment w:val="auto"/>
        <w:outlineLvl w:val="9"/>
        <w:rPr>
          <w:rFonts w:hint="eastAsia"/>
        </w:rPr>
      </w:pPr>
      <w:r>
        <w:rPr>
          <w:rFonts w:hint="eastAsia"/>
        </w:rPr>
        <w:t>深入开展土壤环境和农产品质量协同监测，进一步摸清耕地土壤污染面积、分布及其对农产品质量的影响。选择典型区域开展土壤污染和农产品超标成因分析</w:t>
      </w:r>
      <w:r>
        <w:rPr>
          <w:rFonts w:hint="eastAsia"/>
          <w:lang w:eastAsia="zh-CN"/>
        </w:rPr>
        <w:t>，</w:t>
      </w:r>
      <w:r>
        <w:rPr>
          <w:rFonts w:hint="default"/>
        </w:rPr>
        <w:t>选取1</w:t>
      </w:r>
      <w:r>
        <w:rPr>
          <w:rFonts w:hint="eastAsia"/>
          <w:lang w:eastAsia="zh-CN"/>
        </w:rPr>
        <w:t>—</w:t>
      </w:r>
      <w:r>
        <w:rPr>
          <w:rFonts w:hint="default"/>
        </w:rPr>
        <w:t>2个典型性受污染耕地集中区域，开展耕地土壤污染成因排查分析试点。</w:t>
      </w:r>
      <w:r>
        <w:rPr>
          <w:rFonts w:hint="eastAsia"/>
        </w:rPr>
        <w:t>以重点行业企业和工业园区为重点，推动土壤环境调查评估。</w:t>
      </w:r>
      <w:r>
        <w:rPr>
          <w:rFonts w:hint="eastAsia"/>
          <w:lang w:eastAsia="zh-CN"/>
        </w:rPr>
        <w:t>以化学品生产企业、尾矿库、工业集聚区、矿山开采区、危险废物处置场、垃圾填埋场等六类地下水污染源为重点，开展周边地下水环境状况调查评估工作。</w:t>
      </w:r>
    </w:p>
    <w:p>
      <w:pPr>
        <w:pStyle w:val="5"/>
        <w:spacing w:before="0" w:after="0"/>
        <w:ind w:firstLine="640" w:firstLineChars="200"/>
        <w:rPr>
          <w:rFonts w:hint="default" w:ascii="黑体" w:hAnsi="黑体" w:eastAsia="黑体" w:cs="黑体"/>
          <w:b w:val="0"/>
          <w:bCs w:val="0"/>
          <w:color w:val="auto"/>
        </w:rPr>
      </w:pPr>
      <w:bookmarkStart w:id="1221" w:name="_Toc23638"/>
      <w:bookmarkStart w:id="1222" w:name="_Toc20281"/>
      <w:bookmarkStart w:id="1223" w:name="_Toc1677"/>
      <w:bookmarkStart w:id="1224" w:name="_Toc20533"/>
      <w:bookmarkStart w:id="1225" w:name="_Toc17280"/>
      <w:bookmarkStart w:id="1226" w:name="_Toc30464"/>
      <w:bookmarkStart w:id="1227" w:name="_Toc28067"/>
      <w:bookmarkStart w:id="1228" w:name="_Toc26637"/>
      <w:bookmarkStart w:id="1229" w:name="_Toc22614"/>
      <w:bookmarkStart w:id="1230" w:name="_Toc9523"/>
      <w:r>
        <w:rPr>
          <w:rFonts w:hint="eastAsia" w:ascii="黑体" w:hAnsi="黑体" w:eastAsia="黑体" w:cs="黑体"/>
          <w:b w:val="0"/>
          <w:bCs w:val="0"/>
          <w:color w:val="auto"/>
          <w:lang w:val="en-US" w:eastAsia="zh-CN"/>
        </w:rPr>
        <w:t>二、</w:t>
      </w:r>
      <w:r>
        <w:rPr>
          <w:rFonts w:hint="default" w:ascii="黑体" w:hAnsi="黑体" w:eastAsia="黑体" w:cs="黑体"/>
          <w:b w:val="0"/>
          <w:bCs w:val="0"/>
          <w:color w:val="auto"/>
        </w:rPr>
        <w:t>强化土壤污染源头管控</w:t>
      </w:r>
      <w:bookmarkEnd w:id="1221"/>
      <w:bookmarkEnd w:id="1222"/>
      <w:bookmarkEnd w:id="1223"/>
      <w:bookmarkEnd w:id="1224"/>
      <w:bookmarkEnd w:id="1225"/>
      <w:bookmarkEnd w:id="1226"/>
      <w:bookmarkEnd w:id="1227"/>
      <w:bookmarkEnd w:id="1228"/>
      <w:bookmarkEnd w:id="1229"/>
      <w:bookmarkEnd w:id="1230"/>
    </w:p>
    <w:p>
      <w:pPr>
        <w:pStyle w:val="27"/>
        <w:widowControl w:val="0"/>
        <w:wordWrap/>
        <w:adjustRightInd/>
        <w:snapToGrid/>
        <w:textAlignment w:val="auto"/>
        <w:outlineLvl w:val="9"/>
        <w:rPr>
          <w:rFonts w:hint="eastAsia"/>
        </w:rPr>
      </w:pPr>
      <w:r>
        <w:rPr>
          <w:rFonts w:hint="eastAsia" w:ascii="楷体_GB2312" w:hAnsi="楷体_GB2312" w:eastAsia="楷体_GB2312" w:cs="楷体_GB2312"/>
          <w:b w:val="0"/>
          <w:bCs w:val="0"/>
          <w:color w:val="auto"/>
          <w:sz w:val="32"/>
          <w:lang w:val="en-US" w:eastAsia="zh-CN"/>
        </w:rPr>
        <w:t>严格</w:t>
      </w:r>
      <w:r>
        <w:rPr>
          <w:rFonts w:hint="eastAsia" w:ascii="楷体_GB2312" w:hAnsi="楷体_GB2312" w:eastAsia="楷体_GB2312" w:cs="楷体_GB2312"/>
          <w:b w:val="0"/>
          <w:bCs w:val="0"/>
          <w:color w:val="auto"/>
          <w:sz w:val="32"/>
        </w:rPr>
        <w:t>土壤环境准入</w:t>
      </w:r>
      <w:r>
        <w:rPr>
          <w:rFonts w:hint="eastAsia" w:ascii="楷体_GB2312" w:hAnsi="楷体_GB2312" w:eastAsia="楷体_GB2312" w:cs="楷体_GB2312"/>
          <w:b w:val="0"/>
          <w:bCs w:val="0"/>
          <w:color w:val="auto"/>
          <w:sz w:val="32"/>
          <w:lang w:val="en-US" w:eastAsia="zh-CN"/>
        </w:rPr>
        <w:t>管控</w:t>
      </w:r>
      <w:r>
        <w:rPr>
          <w:rFonts w:hint="eastAsia" w:ascii="楷体_GB2312" w:hAnsi="楷体_GB2312" w:eastAsia="楷体_GB2312" w:cs="楷体_GB2312"/>
          <w:b w:val="0"/>
          <w:bCs w:val="0"/>
          <w:color w:val="auto"/>
          <w:sz w:val="32"/>
          <w:lang w:eastAsia="zh-CN"/>
        </w:rPr>
        <w:t>。</w:t>
      </w:r>
      <w:r>
        <w:rPr>
          <w:rFonts w:hint="default"/>
        </w:rPr>
        <w:t>严格落实</w:t>
      </w:r>
      <w:r>
        <w:rPr>
          <w:rFonts w:hint="eastAsia"/>
          <w:lang w:eastAsia="zh-CN"/>
        </w:rPr>
        <w:t>“</w:t>
      </w:r>
      <w:r>
        <w:rPr>
          <w:rFonts w:hint="default"/>
        </w:rPr>
        <w:t>三线一单</w:t>
      </w:r>
      <w:r>
        <w:rPr>
          <w:rFonts w:hint="eastAsia"/>
          <w:lang w:eastAsia="zh-CN"/>
        </w:rPr>
        <w:t>”</w:t>
      </w:r>
      <w:r>
        <w:rPr>
          <w:rFonts w:hint="default"/>
        </w:rPr>
        <w:t>硬约束，建立土壤及地下水环境准入负面清单</w:t>
      </w:r>
      <w:r>
        <w:rPr>
          <w:rFonts w:hint="default"/>
          <w:lang w:eastAsia="zh-CN"/>
        </w:rPr>
        <w:t>。</w:t>
      </w:r>
      <w:r>
        <w:rPr>
          <w:rFonts w:hint="eastAsia"/>
        </w:rPr>
        <w:t>结合土壤、地下水等环境风险状况，合理确定区域功能定位、空间布局和建设项目选址，严禁在优先保护类耕地集中区、敏感区周边新建、扩建排放重金属污染物和持久性有机污染物的建设项目。建立土壤污染重点监管单位规范化管理机制，落实新</w:t>
      </w:r>
      <w:r>
        <w:rPr>
          <w:rFonts w:hint="eastAsia"/>
          <w:lang w:eastAsia="zh-CN"/>
        </w:rPr>
        <w:t>、</w:t>
      </w:r>
      <w:r>
        <w:rPr>
          <w:rFonts w:hint="eastAsia"/>
        </w:rPr>
        <w:t>改、扩建项目土壤环境影响评价、污染隐患排查、自行监测、拆除活动污染防治、排污许可等制度。深化重点行业企业污染源排查整治，对土壤污染物超筛选值、农产品质量超标的农用地集中区，开展周边涉重金属重点行业企业、固体废物堆存等污染源排查，建立污染源整治清单，严格执行重金属污染物排放标准和总量控制要求。</w:t>
      </w:r>
    </w:p>
    <w:p>
      <w:pPr>
        <w:pStyle w:val="27"/>
        <w:widowControl w:val="0"/>
        <w:wordWrap/>
        <w:adjustRightInd/>
        <w:snapToGrid/>
        <w:textAlignment w:val="auto"/>
        <w:outlineLvl w:val="9"/>
        <w:rPr>
          <w:rFonts w:hint="eastAsia" w:ascii="Times New Roman" w:hAnsi="Times New Roman" w:cs="Times New Roman"/>
          <w:b w:val="0"/>
          <w:bCs w:val="0"/>
          <w:color w:val="auto"/>
          <w:lang w:eastAsia="zh-CN"/>
        </w:rPr>
      </w:pPr>
      <w:r>
        <w:rPr>
          <w:rFonts w:hint="eastAsia" w:ascii="楷体_GB2312" w:hAnsi="楷体_GB2312" w:eastAsia="楷体_GB2312" w:cs="楷体_GB2312"/>
          <w:b w:val="0"/>
          <w:bCs w:val="0"/>
          <w:color w:val="auto"/>
          <w:lang w:val="en-US" w:eastAsia="zh-CN"/>
        </w:rPr>
        <w:t>加强工矿污染源头管控。</w:t>
      </w:r>
      <w:r>
        <w:rPr>
          <w:rFonts w:hint="default" w:ascii="Times New Roman" w:hAnsi="Times New Roman" w:cs="Times New Roman"/>
          <w:b w:val="0"/>
          <w:bCs w:val="0"/>
          <w:color w:val="auto"/>
        </w:rPr>
        <w:t>加强矿产资源开发活动监管，避免</w:t>
      </w:r>
      <w:r>
        <w:rPr>
          <w:rFonts w:hint="default" w:ascii="Times New Roman" w:hAnsi="Times New Roman" w:cs="Times New Roman"/>
          <w:color w:val="auto"/>
        </w:rPr>
        <w:t>尾砂、尾水污染土壤和地下水。开展废弃矿山综合整治和生态修复，因地制宜管控矿区污染土壤和酸性废水环境风险，重点保障农业生产和生活用水环境安全。对重点区域涉重金属污染物排放企业执行颗粒物</w:t>
      </w:r>
      <w:r>
        <w:rPr>
          <w:rFonts w:hint="default" w:ascii="Times New Roman" w:hAnsi="Times New Roman" w:cs="Times New Roman"/>
          <w:b w:val="0"/>
          <w:bCs w:val="0"/>
          <w:color w:val="auto"/>
        </w:rPr>
        <w:t>重点污染物特别排放限值。开展矿产资源开发集中区域综合治理。持续加强绿色矿山建设，严格落实边开采边治理要求，做到开采终了一处，整治复绿一处。引导涉重金属等产业集聚有序发展</w:t>
      </w:r>
      <w:r>
        <w:rPr>
          <w:rFonts w:hint="eastAsia" w:cs="Times New Roman"/>
          <w:b w:val="0"/>
          <w:bCs w:val="0"/>
          <w:color w:val="auto"/>
          <w:lang w:eastAsia="zh-CN"/>
        </w:rPr>
        <w:t>，</w:t>
      </w:r>
      <w:r>
        <w:rPr>
          <w:rFonts w:hint="default" w:ascii="Times New Roman" w:hAnsi="Times New Roman" w:cs="Times New Roman"/>
          <w:b w:val="0"/>
          <w:bCs w:val="0"/>
          <w:color w:val="auto"/>
        </w:rPr>
        <w:t>推动工业项目入园集聚发展。加强对固体废物处理设施建设和运行情况的跟踪检查，防止污染土壤和地下水</w:t>
      </w:r>
      <w:r>
        <w:rPr>
          <w:rFonts w:hint="eastAsia" w:ascii="Times New Roman" w:hAnsi="Times New Roman" w:cs="Times New Roman"/>
          <w:b w:val="0"/>
          <w:bCs w:val="0"/>
          <w:color w:val="auto"/>
          <w:lang w:eastAsia="zh-CN"/>
        </w:rPr>
        <w:t>。</w:t>
      </w:r>
    </w:p>
    <w:p>
      <w:pPr>
        <w:pStyle w:val="5"/>
        <w:spacing w:before="0" w:after="0"/>
        <w:ind w:firstLine="640" w:firstLineChars="200"/>
        <w:rPr>
          <w:rFonts w:hint="eastAsia"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t>三、</w:t>
      </w:r>
      <w:r>
        <w:rPr>
          <w:rFonts w:hint="default" w:ascii="黑体" w:hAnsi="黑体" w:eastAsia="黑体" w:cs="黑体"/>
          <w:b w:val="0"/>
          <w:bCs w:val="0"/>
          <w:color w:val="auto"/>
          <w:lang w:val="en-US" w:eastAsia="zh-CN"/>
        </w:rPr>
        <w:t>协同防控地下水污染</w:t>
      </w:r>
    </w:p>
    <w:p>
      <w:pPr>
        <w:pStyle w:val="27"/>
        <w:widowControl w:val="0"/>
        <w:wordWrap/>
        <w:adjustRightInd/>
        <w:snapToGrid/>
        <w:textAlignment w:val="auto"/>
        <w:outlineLvl w:val="9"/>
        <w:rPr>
          <w:rFonts w:hint="default" w:ascii="Times New Roman" w:hAnsi="Times New Roman" w:cs="Times New Roman"/>
          <w:color w:val="auto"/>
          <w:sz w:val="32"/>
          <w:szCs w:val="22"/>
          <w:lang w:eastAsia="zh-CN"/>
        </w:rPr>
      </w:pPr>
      <w:r>
        <w:rPr>
          <w:rFonts w:hint="eastAsia"/>
        </w:rPr>
        <w:t>建立地下水污染场地清单，开展修复试点。开展地下水污染分区防治，实施地下水污染源分类监管。</w:t>
      </w:r>
      <w:r>
        <w:rPr>
          <w:rFonts w:hint="eastAsia"/>
          <w:color w:val="auto"/>
          <w:sz w:val="32"/>
          <w:szCs w:val="32"/>
        </w:rPr>
        <w:t>加强建设用地土壤与地下水污染协同防治，在土壤污染状况调查报告、防治方案、修复和风险管控措施中逐步纳入地下水污染防治内容。建立完善土壤和地下水污染防治技术评估体系。</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lang w:val="en-US" w:eastAsia="zh-CN"/>
        </w:rPr>
      </w:pPr>
      <w:bookmarkStart w:id="1231" w:name="_Toc23834"/>
      <w:bookmarkStart w:id="1232" w:name="_Toc1215"/>
      <w:bookmarkStart w:id="1233" w:name="_Toc371"/>
      <w:bookmarkStart w:id="1234" w:name="_Toc30085"/>
      <w:bookmarkStart w:id="1235" w:name="_Toc16534"/>
      <w:bookmarkStart w:id="1236" w:name="_Toc21143"/>
      <w:bookmarkStart w:id="1237" w:name="_Toc9546"/>
      <w:bookmarkStart w:id="1238" w:name="_Toc30255"/>
      <w:bookmarkStart w:id="1239" w:name="_Toc142"/>
      <w:bookmarkStart w:id="1240" w:name="_Toc26338"/>
      <w:bookmarkStart w:id="1241" w:name="_Toc16232"/>
      <w:bookmarkStart w:id="1242" w:name="_Toc6157"/>
      <w:bookmarkStart w:id="1243" w:name="_Toc5241"/>
      <w:bookmarkStart w:id="1244" w:name="_Toc30308"/>
      <w:bookmarkStart w:id="1245" w:name="_Toc18620"/>
      <w:bookmarkStart w:id="1246" w:name="_Toc20731"/>
      <w:bookmarkStart w:id="1247" w:name="_Toc23754"/>
      <w:r>
        <w:rPr>
          <w:rFonts w:hint="eastAsia" w:ascii="黑体" w:hAnsi="黑体" w:eastAsia="黑体" w:cs="黑体"/>
          <w:b w:val="0"/>
          <w:bCs w:val="0"/>
          <w:color w:val="auto"/>
          <w:kern w:val="2"/>
          <w:sz w:val="32"/>
          <w:lang w:val="en-US" w:eastAsia="zh-CN"/>
        </w:rPr>
        <w:t>第二节　</w:t>
      </w:r>
      <w:r>
        <w:rPr>
          <w:rFonts w:hint="default" w:ascii="黑体" w:hAnsi="黑体" w:eastAsia="黑体" w:cs="黑体"/>
          <w:b w:val="0"/>
          <w:bCs w:val="0"/>
          <w:color w:val="auto"/>
          <w:kern w:val="2"/>
          <w:sz w:val="32"/>
          <w:lang w:val="en-US" w:eastAsia="zh-CN"/>
        </w:rPr>
        <w:t>推进土壤安全利</w:t>
      </w:r>
      <w:bookmarkEnd w:id="1231"/>
      <w:r>
        <w:rPr>
          <w:rFonts w:hint="default" w:ascii="黑体" w:hAnsi="黑体" w:eastAsia="黑体" w:cs="黑体"/>
          <w:b w:val="0"/>
          <w:bCs w:val="0"/>
          <w:color w:val="auto"/>
          <w:kern w:val="2"/>
          <w:sz w:val="32"/>
          <w:lang w:val="en-US" w:eastAsia="zh-CN"/>
        </w:rPr>
        <w:t>用</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pPr>
        <w:pStyle w:val="27"/>
        <w:widowControl w:val="0"/>
        <w:wordWrap/>
        <w:adjustRightInd/>
        <w:snapToGrid/>
        <w:textAlignment w:val="auto"/>
        <w:outlineLvl w:val="9"/>
        <w:rPr>
          <w:rFonts w:hint="default"/>
        </w:rPr>
      </w:pPr>
      <w:r>
        <w:rPr>
          <w:rFonts w:hint="default"/>
        </w:rPr>
        <w:t>以受污染耕地安全利用、重点建设用地安全利用为重点，严格实施农用地分类管理，保障农产品质量安全，完善建设用地准入监管体系。</w:t>
      </w:r>
    </w:p>
    <w:p>
      <w:pPr>
        <w:pStyle w:val="5"/>
        <w:spacing w:before="0" w:after="0"/>
        <w:ind w:firstLine="640" w:firstLineChars="200"/>
        <w:rPr>
          <w:rFonts w:hint="default" w:ascii="黑体" w:hAnsi="黑体" w:eastAsia="黑体" w:cs="黑体"/>
          <w:b w:val="0"/>
          <w:bCs w:val="0"/>
          <w:color w:val="auto"/>
        </w:rPr>
      </w:pPr>
      <w:bookmarkStart w:id="1248" w:name="_Toc19544"/>
      <w:bookmarkStart w:id="1249" w:name="_Toc8040"/>
      <w:bookmarkStart w:id="1250" w:name="_Toc23232"/>
      <w:bookmarkStart w:id="1251" w:name="_Toc20214"/>
      <w:bookmarkStart w:id="1252" w:name="_Toc15572"/>
      <w:bookmarkStart w:id="1253" w:name="_Toc14095"/>
      <w:bookmarkStart w:id="1254" w:name="_Toc13056"/>
      <w:bookmarkStart w:id="1255" w:name="_Toc3181"/>
      <w:bookmarkStart w:id="1256" w:name="_Toc23000"/>
      <w:bookmarkStart w:id="1257" w:name="_Toc21462"/>
      <w:r>
        <w:rPr>
          <w:rFonts w:hint="default" w:ascii="黑体" w:hAnsi="黑体" w:eastAsia="黑体" w:cs="黑体"/>
          <w:b w:val="0"/>
          <w:bCs w:val="0"/>
          <w:color w:val="auto"/>
        </w:rPr>
        <w:t>一、</w:t>
      </w:r>
      <w:r>
        <w:rPr>
          <w:rFonts w:hint="default" w:ascii="黑体" w:hAnsi="黑体" w:eastAsia="黑体" w:cs="黑体"/>
          <w:b w:val="0"/>
          <w:bCs w:val="0"/>
          <w:color w:val="auto"/>
          <w:lang w:val="en-US" w:eastAsia="zh-CN"/>
        </w:rPr>
        <w:t>严格实施</w:t>
      </w:r>
      <w:r>
        <w:rPr>
          <w:rFonts w:hint="default" w:ascii="黑体" w:hAnsi="黑体" w:eastAsia="黑体" w:cs="黑体"/>
          <w:b w:val="0"/>
          <w:bCs w:val="0"/>
          <w:color w:val="auto"/>
        </w:rPr>
        <w:t>农用地分类管理</w:t>
      </w:r>
      <w:bookmarkEnd w:id="1248"/>
      <w:bookmarkEnd w:id="1249"/>
      <w:bookmarkEnd w:id="1250"/>
      <w:bookmarkEnd w:id="1251"/>
      <w:bookmarkEnd w:id="1252"/>
      <w:bookmarkEnd w:id="1253"/>
      <w:bookmarkEnd w:id="1254"/>
      <w:bookmarkEnd w:id="1255"/>
      <w:bookmarkEnd w:id="1256"/>
      <w:bookmarkEnd w:id="1257"/>
    </w:p>
    <w:p>
      <w:pPr>
        <w:spacing w:line="560" w:lineRule="exact"/>
        <w:ind w:firstLine="640" w:firstLineChars="200"/>
        <w:rPr>
          <w:rFonts w:hint="eastAsia" w:ascii="Times New Roman" w:hAnsi="Times New Roman" w:eastAsia="仿宋_GB2312" w:cs="Times New Roman"/>
          <w:color w:val="auto"/>
          <w:sz w:val="32"/>
        </w:rPr>
      </w:pPr>
      <w:r>
        <w:rPr>
          <w:rFonts w:hint="default" w:ascii="Times New Roman" w:hAnsi="Times New Roman" w:eastAsia="仿宋_GB2312" w:cs="Times New Roman"/>
          <w:b w:val="0"/>
          <w:bCs w:val="0"/>
          <w:color w:val="auto"/>
          <w:sz w:val="32"/>
          <w:szCs w:val="22"/>
          <w:lang w:bidi="ar-SA"/>
        </w:rPr>
        <w:t>动态更新农用地分类管理清单</w:t>
      </w:r>
      <w:r>
        <w:rPr>
          <w:rFonts w:hint="default" w:ascii="Times New Roman" w:hAnsi="Times New Roman" w:eastAsia="仿宋_GB2312" w:cs="Times New Roman"/>
          <w:color w:val="auto"/>
          <w:sz w:val="32"/>
          <w:szCs w:val="22"/>
          <w:lang w:bidi="ar-SA"/>
        </w:rPr>
        <w:t>。</w:t>
      </w:r>
      <w:r>
        <w:rPr>
          <w:rFonts w:hint="default" w:ascii="Times New Roman" w:hAnsi="Times New Roman" w:eastAsia="仿宋_GB2312" w:cs="Times New Roman"/>
          <w:color w:val="auto"/>
          <w:sz w:val="32"/>
        </w:rPr>
        <w:t>将土壤污染状况调查纳入复垦耕地项目选址条件</w:t>
      </w:r>
      <w:r>
        <w:rPr>
          <w:rFonts w:hint="default" w:ascii="Times New Roman" w:hAnsi="Times New Roman" w:eastAsia="仿宋_GB2312" w:cs="Times New Roman"/>
          <w:color w:val="auto"/>
          <w:sz w:val="32"/>
          <w:lang w:val="en-US" w:eastAsia="zh-CN"/>
        </w:rPr>
        <w:t>。加强耕地土壤环境保护力度</w:t>
      </w:r>
      <w:r>
        <w:rPr>
          <w:rFonts w:hint="eastAsia" w:ascii="Times New Roman" w:hAnsi="Times New Roman" w:eastAsia="仿宋_GB2312" w:cs="Times New Roman"/>
          <w:color w:val="auto"/>
          <w:sz w:val="32"/>
          <w:lang w:val="en-US" w:eastAsia="zh-CN"/>
        </w:rPr>
        <w:t>，对</w:t>
      </w:r>
      <w:r>
        <w:rPr>
          <w:rFonts w:hint="eastAsia" w:ascii="Times New Roman" w:hAnsi="Times New Roman" w:eastAsia="仿宋_GB2312" w:cs="Times New Roman"/>
          <w:color w:val="auto"/>
          <w:sz w:val="32"/>
          <w:lang w:eastAsia="zh-CN"/>
        </w:rPr>
        <w:t>永久基本农田实行严格保护，确保其面积不减少、土壤环境质量不下降。在永久基本农田集中区域，不得新建可能造成耕地污染的建设项目，依法对已建成的相关企业责令限期整改、转产、升级改造或搬迁。全面推进耕地保护措施落地实施，</w:t>
      </w:r>
      <w:r>
        <w:rPr>
          <w:rFonts w:hint="eastAsia" w:ascii="Times New Roman" w:hAnsi="Times New Roman" w:eastAsia="仿宋_GB2312" w:cs="Times New Roman"/>
          <w:color w:val="auto"/>
          <w:sz w:val="32"/>
          <w:szCs w:val="32"/>
        </w:rPr>
        <w:t>优先在新丰县、南雄市、始兴县及仁化县南部等优先保护类耕地集中区实施耕地质量提</w:t>
      </w:r>
      <w:r>
        <w:rPr>
          <w:rFonts w:hint="eastAsia" w:ascii="仿宋_GB2312" w:hAnsi="仿宋_GB2312" w:eastAsia="仿宋_GB2312" w:cs="仿宋_GB2312"/>
          <w:color w:val="auto"/>
          <w:sz w:val="32"/>
          <w:szCs w:val="32"/>
        </w:rPr>
        <w:t>升工程，推广增施有机肥、秸秆还田、少耕、免耕、粮菜轮作、农业生产废弃物回收处置等措施，建立优先保护类耕地保护措施清单，明确本区域优先保护类措施并强化指导落实。采取完善田间排灌工程、施用调理剂、增施有机肥等措施，提升土壤pH值</w:t>
      </w:r>
      <w:r>
        <w:rPr>
          <w:rFonts w:hint="eastAsia" w:ascii="仿宋_GB2312" w:hAnsi="仿宋_GB2312" w:eastAsia="仿宋_GB2312" w:cs="仿宋_GB2312"/>
          <w:color w:val="auto"/>
          <w:sz w:val="32"/>
          <w:szCs w:val="32"/>
          <w:lang w:eastAsia="zh-CN"/>
        </w:rPr>
        <w:t>。强化优先保护类农用地环境监管，加大优先保护类耕地周边保护力</w:t>
      </w:r>
      <w:r>
        <w:rPr>
          <w:rFonts w:hint="eastAsia" w:ascii="Times New Roman" w:hAnsi="Times New Roman" w:eastAsia="仿宋_GB2312" w:cs="Times New Roman"/>
          <w:color w:val="auto"/>
          <w:sz w:val="32"/>
          <w:szCs w:val="32"/>
          <w:lang w:eastAsia="zh-CN"/>
        </w:rPr>
        <w:t>度</w:t>
      </w:r>
      <w:r>
        <w:rPr>
          <w:rFonts w:hint="eastAsia" w:cs="Times New Roman"/>
          <w:color w:val="auto"/>
          <w:lang w:eastAsia="zh-CN"/>
        </w:rPr>
        <w:t>。</w:t>
      </w:r>
      <w:r>
        <w:rPr>
          <w:rFonts w:hint="eastAsia" w:ascii="Times New Roman" w:hAnsi="Times New Roman" w:eastAsia="仿宋_GB2312" w:cs="Times New Roman"/>
          <w:color w:val="auto"/>
          <w:sz w:val="32"/>
          <w:lang w:eastAsia="zh-CN"/>
        </w:rPr>
        <w:t>加大</w:t>
      </w:r>
      <w:r>
        <w:rPr>
          <w:rFonts w:hint="eastAsia" w:ascii="Times New Roman" w:hAnsi="Times New Roman" w:eastAsia="仿宋_GB2312" w:cs="Times New Roman"/>
          <w:color w:val="auto"/>
          <w:sz w:val="32"/>
        </w:rPr>
        <w:t>污染耕地产出农产品追溯管理，完善监管体系，保障群众舌尖上的安全</w:t>
      </w:r>
      <w:r>
        <w:rPr>
          <w:rFonts w:hint="eastAsia" w:ascii="Times New Roman" w:hAnsi="Times New Roman" w:eastAsia="仿宋_GB2312" w:cs="Times New Roman"/>
          <w:color w:val="auto"/>
          <w:sz w:val="32"/>
          <w:lang w:eastAsia="zh-CN"/>
        </w:rPr>
        <w:t>。</w:t>
      </w:r>
    </w:p>
    <w:p>
      <w:pPr>
        <w:pStyle w:val="5"/>
        <w:spacing w:before="0" w:after="0"/>
        <w:ind w:firstLine="640" w:firstLineChars="200"/>
        <w:rPr>
          <w:rFonts w:hint="eastAsia" w:ascii="黑体" w:hAnsi="黑体" w:eastAsia="黑体" w:cs="黑体"/>
          <w:b w:val="0"/>
          <w:bCs w:val="0"/>
          <w:color w:val="auto"/>
          <w:lang w:eastAsia="zh-CN"/>
        </w:rPr>
      </w:pPr>
      <w:bookmarkStart w:id="1258" w:name="_Toc10432"/>
      <w:bookmarkStart w:id="1259" w:name="_Toc30669"/>
      <w:bookmarkStart w:id="1260" w:name="_Toc27486"/>
      <w:bookmarkStart w:id="1261" w:name="_Toc9940"/>
      <w:bookmarkStart w:id="1262" w:name="_Toc7273"/>
      <w:bookmarkStart w:id="1263" w:name="_Toc29576"/>
      <w:bookmarkStart w:id="1264" w:name="_Toc5390"/>
      <w:bookmarkStart w:id="1265" w:name="_Toc30130"/>
      <w:bookmarkStart w:id="1266" w:name="_Toc25004"/>
      <w:bookmarkStart w:id="1267" w:name="_Toc23469"/>
      <w:r>
        <w:rPr>
          <w:rFonts w:hint="eastAsia" w:ascii="黑体" w:hAnsi="黑体" w:eastAsia="黑体" w:cs="黑体"/>
          <w:b w:val="0"/>
          <w:bCs w:val="0"/>
          <w:color w:val="auto"/>
          <w:lang w:val="en-US" w:eastAsia="zh-CN"/>
        </w:rPr>
        <w:t>二</w:t>
      </w:r>
      <w:r>
        <w:rPr>
          <w:rFonts w:hint="default" w:ascii="黑体" w:hAnsi="黑体" w:eastAsia="黑体" w:cs="黑体"/>
          <w:b w:val="0"/>
          <w:bCs w:val="0"/>
          <w:color w:val="auto"/>
        </w:rPr>
        <w:t>、</w:t>
      </w:r>
      <w:r>
        <w:rPr>
          <w:rFonts w:hint="eastAsia" w:ascii="黑体" w:hAnsi="黑体" w:eastAsia="黑体" w:cs="黑体"/>
          <w:b w:val="0"/>
          <w:bCs w:val="0"/>
          <w:color w:val="auto"/>
          <w:lang w:val="en-US" w:eastAsia="zh-CN"/>
        </w:rPr>
        <w:t>探索实施</w:t>
      </w:r>
      <w:r>
        <w:rPr>
          <w:rFonts w:hint="default" w:ascii="黑体" w:hAnsi="黑体" w:eastAsia="黑体" w:cs="黑体"/>
          <w:b w:val="0"/>
          <w:bCs w:val="0"/>
          <w:color w:val="auto"/>
        </w:rPr>
        <w:t>建设用地</w:t>
      </w:r>
      <w:r>
        <w:rPr>
          <w:rFonts w:hint="eastAsia" w:ascii="黑体" w:hAnsi="黑体" w:eastAsia="黑体" w:cs="黑体"/>
          <w:b w:val="0"/>
          <w:bCs w:val="0"/>
          <w:color w:val="auto"/>
          <w:lang w:eastAsia="zh-CN"/>
        </w:rPr>
        <w:t>全过程监管</w:t>
      </w:r>
      <w:bookmarkEnd w:id="1258"/>
      <w:bookmarkEnd w:id="1259"/>
      <w:bookmarkEnd w:id="1260"/>
      <w:bookmarkEnd w:id="1261"/>
      <w:bookmarkEnd w:id="1262"/>
      <w:bookmarkEnd w:id="1263"/>
      <w:bookmarkEnd w:id="1264"/>
      <w:bookmarkEnd w:id="1265"/>
      <w:bookmarkEnd w:id="1266"/>
      <w:bookmarkEnd w:id="1267"/>
    </w:p>
    <w:p>
      <w:pPr>
        <w:pStyle w:val="27"/>
        <w:rPr>
          <w:rFonts w:hint="default" w:ascii="Times New Roman" w:hAnsi="Times New Roman" w:cs="Times New Roman"/>
          <w:color w:val="auto"/>
          <w:lang w:val="en-US" w:eastAsia="zh-CN"/>
        </w:rPr>
      </w:pPr>
      <w:r>
        <w:rPr>
          <w:rFonts w:hint="eastAsia" w:ascii="楷体_GB2312" w:hAnsi="楷体_GB2312" w:eastAsia="楷体_GB2312" w:cs="楷体_GB2312"/>
          <w:b w:val="0"/>
          <w:bCs w:val="0"/>
          <w:color w:val="auto"/>
        </w:rPr>
        <w:t>完善建设用地土壤环境监管制度</w:t>
      </w:r>
      <w:r>
        <w:rPr>
          <w:rFonts w:hint="eastAsia" w:ascii="楷体_GB2312" w:hAnsi="楷体_GB2312" w:eastAsia="楷体_GB2312" w:cs="楷体_GB2312"/>
          <w:b w:val="0"/>
          <w:bCs w:val="0"/>
          <w:color w:val="auto"/>
          <w:lang w:eastAsia="zh-CN"/>
        </w:rPr>
        <w:t>。</w:t>
      </w:r>
      <w:r>
        <w:rPr>
          <w:rFonts w:hint="default" w:ascii="Times New Roman" w:hAnsi="Times New Roman" w:cs="Times New Roman"/>
          <w:color w:val="auto"/>
        </w:rPr>
        <w:t>适时修订</w:t>
      </w:r>
      <w:r>
        <w:rPr>
          <w:rFonts w:hint="eastAsia" w:cs="Times New Roman"/>
          <w:color w:val="auto"/>
          <w:lang w:eastAsia="zh-CN"/>
        </w:rPr>
        <w:t>《</w:t>
      </w:r>
      <w:r>
        <w:rPr>
          <w:rFonts w:hint="default" w:ascii="Times New Roman" w:hAnsi="Times New Roman" w:cs="Times New Roman"/>
          <w:color w:val="auto"/>
        </w:rPr>
        <w:t>韶关市建设用地土壤环境联动监督管理实施细则</w:t>
      </w:r>
      <w:r>
        <w:rPr>
          <w:rFonts w:hint="eastAsia" w:cs="Times New Roman"/>
          <w:color w:val="auto"/>
          <w:lang w:eastAsia="zh-CN"/>
        </w:rPr>
        <w:t>（试行）》</w:t>
      </w:r>
      <w:r>
        <w:rPr>
          <w:rFonts w:hint="default" w:ascii="Times New Roman" w:hAnsi="Times New Roman" w:cs="Times New Roman"/>
          <w:color w:val="auto"/>
        </w:rPr>
        <w:t>，</w:t>
      </w:r>
      <w:r>
        <w:rPr>
          <w:rFonts w:hint="default" w:ascii="Times New Roman" w:hAnsi="Times New Roman" w:eastAsia="仿宋_GB2312" w:cs="Times New Roman"/>
          <w:b w:val="0"/>
          <w:bCs w:val="0"/>
          <w:color w:val="auto"/>
          <w:sz w:val="32"/>
          <w:szCs w:val="22"/>
        </w:rPr>
        <w:t>健全土地开发利用信息共享机制</w:t>
      </w:r>
      <w:r>
        <w:rPr>
          <w:rFonts w:hint="default" w:ascii="Times New Roman" w:hAnsi="Times New Roman" w:cs="Times New Roman"/>
          <w:color w:val="auto"/>
          <w:lang w:val="en-US" w:eastAsia="zh-CN"/>
        </w:rPr>
        <w:t>，</w:t>
      </w:r>
      <w:r>
        <w:rPr>
          <w:rFonts w:hint="default" w:ascii="Times New Roman" w:hAnsi="Times New Roman" w:eastAsia="仿宋_GB2312" w:cs="Times New Roman"/>
          <w:color w:val="auto"/>
          <w:sz w:val="32"/>
          <w:szCs w:val="22"/>
        </w:rPr>
        <w:t>整合重点行业企业用地土壤环境质量调查、污染源普查、排污许可证管理、工矿用地土壤环境管理、固定污染源数据库、排污口在线监测、地块土壤污染状况调查等相关数据，建立建设用地土壤环境管理决策支撑数据库，推进建设用地</w:t>
      </w:r>
      <w:r>
        <w:rPr>
          <w:rFonts w:hint="eastAsia" w:cs="Times New Roman"/>
          <w:color w:val="auto"/>
          <w:sz w:val="32"/>
          <w:szCs w:val="22"/>
          <w:lang w:eastAsia="zh-CN"/>
        </w:rPr>
        <w:t>“</w:t>
      </w:r>
      <w:r>
        <w:rPr>
          <w:rFonts w:hint="default" w:ascii="Times New Roman" w:hAnsi="Times New Roman" w:eastAsia="仿宋_GB2312" w:cs="Times New Roman"/>
          <w:color w:val="auto"/>
          <w:sz w:val="32"/>
          <w:szCs w:val="22"/>
        </w:rPr>
        <w:t>一张图</w:t>
      </w:r>
      <w:r>
        <w:rPr>
          <w:rFonts w:hint="eastAsia" w:cs="Times New Roman"/>
          <w:color w:val="auto"/>
          <w:sz w:val="32"/>
          <w:szCs w:val="22"/>
          <w:lang w:eastAsia="zh-CN"/>
        </w:rPr>
        <w:t>”</w:t>
      </w:r>
      <w:r>
        <w:rPr>
          <w:rFonts w:hint="default" w:ascii="Times New Roman" w:hAnsi="Times New Roman" w:eastAsia="仿宋_GB2312" w:cs="Times New Roman"/>
          <w:color w:val="auto"/>
          <w:sz w:val="32"/>
          <w:szCs w:val="22"/>
        </w:rPr>
        <w:t>管理</w:t>
      </w:r>
      <w:r>
        <w:rPr>
          <w:rFonts w:hint="default" w:ascii="Times New Roman" w:hAnsi="Times New Roman" w:cs="Times New Roman"/>
          <w:color w:val="auto"/>
          <w:lang w:val="en-US" w:eastAsia="zh-CN"/>
        </w:rPr>
        <w:t>。</w:t>
      </w:r>
    </w:p>
    <w:p>
      <w:pPr>
        <w:pStyle w:val="27"/>
      </w:pPr>
      <w:r>
        <w:rPr>
          <w:rFonts w:hint="eastAsia" w:ascii="楷体_GB2312" w:hAnsi="楷体_GB2312" w:eastAsia="楷体_GB2312" w:cs="楷体_GB2312"/>
          <w:b w:val="0"/>
          <w:bCs w:val="0"/>
          <w:color w:val="auto"/>
          <w:sz w:val="32"/>
          <w:szCs w:val="22"/>
        </w:rPr>
        <w:t>严格建设用地准入管理</w:t>
      </w:r>
      <w:r>
        <w:rPr>
          <w:rFonts w:hint="eastAsia" w:ascii="楷体_GB2312" w:hAnsi="楷体_GB2312" w:eastAsia="楷体_GB2312" w:cs="楷体_GB2312"/>
          <w:b w:val="0"/>
          <w:bCs w:val="0"/>
          <w:color w:val="auto"/>
          <w:sz w:val="32"/>
          <w:szCs w:val="22"/>
          <w:lang w:eastAsia="zh-CN"/>
        </w:rPr>
        <w:t>。</w:t>
      </w:r>
      <w:r>
        <w:rPr>
          <w:rFonts w:hint="default"/>
        </w:rPr>
        <w:t>将建设用地土壤环境管理要求纳入规划管理，土地开发利用必须符合土壤环境质量要求</w:t>
      </w:r>
      <w:r>
        <w:rPr>
          <w:rFonts w:hint="default"/>
          <w:lang w:eastAsia="zh-CN"/>
        </w:rPr>
        <w:t>，</w:t>
      </w:r>
      <w:r>
        <w:rPr>
          <w:rFonts w:hint="default"/>
        </w:rPr>
        <w:t>将建设用地土壤环境管理要求嵌入土地储备、供应、改变用途等环节的审批程序</w:t>
      </w:r>
      <w:r>
        <w:rPr>
          <w:rFonts w:hint="eastAsia"/>
          <w:lang w:eastAsia="zh-CN"/>
        </w:rPr>
        <w:t>。</w:t>
      </w:r>
      <w:r>
        <w:rPr>
          <w:rFonts w:hint="default"/>
        </w:rPr>
        <w:t>探索污染地块全过程信息化管理，</w:t>
      </w:r>
      <w:r>
        <w:t>将污染地块</w:t>
      </w:r>
      <w:r>
        <w:rPr>
          <w:rFonts w:hint="default"/>
        </w:rPr>
        <w:t>风险管控与修复</w:t>
      </w:r>
      <w:r>
        <w:t>备案审批、污染土壤转运实时监管、</w:t>
      </w:r>
      <w:r>
        <w:rPr>
          <w:rFonts w:hint="default"/>
        </w:rPr>
        <w:t>污染地块再开发利用</w:t>
      </w:r>
      <w:r>
        <w:t>等纳入信息系统。</w:t>
      </w:r>
    </w:p>
    <w:p>
      <w:pPr>
        <w:pStyle w:val="27"/>
        <w:rPr>
          <w:rFonts w:hint="default"/>
          <w:lang w:eastAsia="zh-CN"/>
        </w:rPr>
      </w:pPr>
      <w:r>
        <w:rPr>
          <w:rFonts w:hint="eastAsia" w:ascii="楷体_GB2312" w:hAnsi="楷体_GB2312" w:eastAsia="楷体_GB2312" w:cs="楷体_GB2312"/>
          <w:b w:val="0"/>
          <w:bCs w:val="0"/>
          <w:color w:val="auto"/>
          <w:sz w:val="32"/>
          <w:szCs w:val="22"/>
        </w:rPr>
        <w:t>实施建设用地风险分级管理</w:t>
      </w:r>
      <w:r>
        <w:rPr>
          <w:rFonts w:hint="eastAsia" w:ascii="楷体_GB2312" w:hAnsi="楷体_GB2312" w:eastAsia="楷体_GB2312" w:cs="楷体_GB2312"/>
          <w:b w:val="0"/>
          <w:bCs w:val="0"/>
          <w:color w:val="auto"/>
          <w:sz w:val="32"/>
          <w:szCs w:val="22"/>
          <w:lang w:eastAsia="zh-CN"/>
        </w:rPr>
        <w:t>。</w:t>
      </w:r>
      <w:r>
        <w:rPr>
          <w:rFonts w:hint="default"/>
        </w:rPr>
        <w:t>开展建设用地调查和风险评估</w:t>
      </w:r>
      <w:r>
        <w:rPr>
          <w:rFonts w:hint="default"/>
          <w:lang w:eastAsia="zh-CN"/>
        </w:rPr>
        <w:t>，</w:t>
      </w:r>
      <w:r>
        <w:rPr>
          <w:rFonts w:hint="default"/>
        </w:rPr>
        <w:t>规范土壤污染状况调查，及时组织土壤污染状况调查报告评审。探索建立建设用地土壤环境提前调查制度</w:t>
      </w:r>
      <w:r>
        <w:rPr>
          <w:rFonts w:hint="default"/>
          <w:lang w:eastAsia="zh-CN"/>
        </w:rPr>
        <w:t>。有序推进土壤污染风险管控与修复</w:t>
      </w:r>
      <w:r>
        <w:rPr>
          <w:rFonts w:hint="eastAsia"/>
          <w:lang w:eastAsia="zh-CN"/>
        </w:rPr>
        <w:t>，</w:t>
      </w:r>
      <w:r>
        <w:rPr>
          <w:rFonts w:hint="default"/>
        </w:rPr>
        <w:t>开展在产企业风险管控与修复示范</w:t>
      </w:r>
      <w:r>
        <w:rPr>
          <w:rFonts w:hint="default"/>
          <w:lang w:eastAsia="zh-CN"/>
        </w:rPr>
        <w:t>，</w:t>
      </w:r>
      <w:r>
        <w:rPr>
          <w:rFonts w:hint="default"/>
        </w:rPr>
        <w:t>以有色金属冶炼、基础化学原料制造等行业在产企业为重点，探索</w:t>
      </w:r>
      <w:r>
        <w:rPr>
          <w:rFonts w:hint="eastAsia"/>
          <w:lang w:eastAsia="zh-CN"/>
        </w:rPr>
        <w:t>“</w:t>
      </w:r>
      <w:r>
        <w:rPr>
          <w:rFonts w:hint="default"/>
        </w:rPr>
        <w:t>边生产、边修复</w:t>
      </w:r>
      <w:r>
        <w:rPr>
          <w:rFonts w:hint="eastAsia"/>
          <w:lang w:eastAsia="zh-CN"/>
        </w:rPr>
        <w:t>”</w:t>
      </w:r>
      <w:r>
        <w:rPr>
          <w:rFonts w:hint="default"/>
        </w:rPr>
        <w:t>模式</w:t>
      </w:r>
      <w:r>
        <w:rPr>
          <w:rFonts w:hint="default"/>
          <w:lang w:eastAsia="zh-CN"/>
        </w:rPr>
        <w:t>，总结韶关化工厂地块治理修复与风险管控项目</w:t>
      </w:r>
      <w:r>
        <w:rPr>
          <w:rFonts w:hint="eastAsia"/>
          <w:lang w:eastAsia="zh-CN"/>
        </w:rPr>
        <w:t>“</w:t>
      </w:r>
      <w:r>
        <w:rPr>
          <w:rFonts w:hint="default"/>
          <w:lang w:eastAsia="zh-CN"/>
        </w:rPr>
        <w:t>环境修复+开发建设</w:t>
      </w:r>
      <w:r>
        <w:rPr>
          <w:rFonts w:hint="eastAsia"/>
          <w:lang w:eastAsia="zh-CN"/>
        </w:rPr>
        <w:t>”</w:t>
      </w:r>
      <w:r>
        <w:rPr>
          <w:rFonts w:hint="default"/>
          <w:lang w:eastAsia="zh-CN"/>
        </w:rPr>
        <w:t>实施经验</w:t>
      </w:r>
      <w:r>
        <w:rPr>
          <w:rFonts w:hint="default"/>
        </w:rPr>
        <w:t>。</w:t>
      </w:r>
      <w:r>
        <w:rPr>
          <w:rFonts w:hint="eastAsia"/>
          <w:lang w:val="en-US" w:eastAsia="zh-CN"/>
        </w:rPr>
        <w:t>强化</w:t>
      </w:r>
      <w:r>
        <w:rPr>
          <w:rFonts w:hint="default"/>
        </w:rPr>
        <w:t>风险管控与修复工程二次污染防控</w:t>
      </w:r>
      <w:r>
        <w:rPr>
          <w:rFonts w:hint="eastAsia"/>
          <w:lang w:eastAsia="zh-CN"/>
        </w:rPr>
        <w:t>，</w:t>
      </w:r>
      <w:r>
        <w:rPr>
          <w:rFonts w:hint="default"/>
          <w:lang w:eastAsia="zh-CN"/>
        </w:rPr>
        <w:t>探索开展修复后地块再开发利用过程环境风险监管</w:t>
      </w:r>
      <w:r>
        <w:rPr>
          <w:rFonts w:hint="eastAsia"/>
          <w:lang w:eastAsia="zh-CN"/>
        </w:rPr>
        <w:t>。</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lang w:val="en-US" w:eastAsia="zh-CN"/>
        </w:rPr>
      </w:pPr>
      <w:bookmarkStart w:id="1268" w:name="_Toc30554"/>
      <w:bookmarkStart w:id="1269" w:name="_Toc19925"/>
      <w:bookmarkStart w:id="1270" w:name="_Toc10228"/>
      <w:bookmarkStart w:id="1271" w:name="_Toc6425"/>
      <w:bookmarkStart w:id="1272" w:name="_Toc13618"/>
      <w:bookmarkStart w:id="1273" w:name="_Toc18247"/>
      <w:bookmarkStart w:id="1274" w:name="_Toc25520"/>
      <w:bookmarkStart w:id="1275" w:name="_Toc20400"/>
      <w:bookmarkStart w:id="1276" w:name="_Toc12930"/>
      <w:bookmarkStart w:id="1277" w:name="_Toc16798"/>
      <w:bookmarkStart w:id="1278" w:name="_Toc522"/>
      <w:bookmarkStart w:id="1279" w:name="_Toc14876"/>
      <w:bookmarkStart w:id="1280" w:name="_Toc1520"/>
      <w:bookmarkStart w:id="1281" w:name="_Toc26350"/>
      <w:bookmarkStart w:id="1282" w:name="_Toc28819"/>
      <w:bookmarkStart w:id="1283" w:name="_Toc16698"/>
      <w:bookmarkStart w:id="1284" w:name="_Toc9182"/>
      <w:r>
        <w:rPr>
          <w:rFonts w:hint="eastAsia" w:ascii="黑体" w:hAnsi="黑体" w:eastAsia="黑体" w:cs="黑体"/>
          <w:b w:val="0"/>
          <w:bCs w:val="0"/>
          <w:color w:val="auto"/>
          <w:kern w:val="2"/>
          <w:sz w:val="32"/>
          <w:lang w:val="en-US" w:eastAsia="zh-CN"/>
        </w:rPr>
        <w:t>第三节　深化农业农村环境治</w:t>
      </w:r>
      <w:bookmarkEnd w:id="1268"/>
      <w:r>
        <w:rPr>
          <w:rFonts w:hint="eastAsia" w:ascii="黑体" w:hAnsi="黑体" w:eastAsia="黑体" w:cs="黑体"/>
          <w:b w:val="0"/>
          <w:bCs w:val="0"/>
          <w:color w:val="auto"/>
          <w:kern w:val="2"/>
          <w:sz w:val="32"/>
          <w:lang w:val="en-US" w:eastAsia="zh-CN"/>
        </w:rPr>
        <w:t>理</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pPr>
        <w:pStyle w:val="5"/>
        <w:spacing w:before="0" w:after="0"/>
        <w:ind w:firstLine="640" w:firstLineChars="200"/>
        <w:rPr>
          <w:rFonts w:hint="eastAsia" w:ascii="黑体" w:hAnsi="黑体" w:eastAsia="黑体" w:cs="黑体"/>
          <w:b w:val="0"/>
          <w:bCs w:val="0"/>
          <w:color w:val="auto"/>
          <w:lang w:val="en-US" w:eastAsia="zh-CN"/>
        </w:rPr>
      </w:pPr>
      <w:bookmarkStart w:id="1285" w:name="_Toc12399"/>
      <w:bookmarkStart w:id="1286" w:name="_Toc3894"/>
      <w:bookmarkStart w:id="1287" w:name="_Toc21060"/>
      <w:bookmarkStart w:id="1288" w:name="_Toc5702"/>
      <w:bookmarkStart w:id="1289" w:name="_Toc28347"/>
      <w:bookmarkStart w:id="1290" w:name="_Toc20892"/>
      <w:bookmarkStart w:id="1291" w:name="_Toc11830"/>
      <w:bookmarkStart w:id="1292" w:name="_Toc10374"/>
      <w:bookmarkStart w:id="1293" w:name="_Toc30659"/>
      <w:bookmarkStart w:id="1294" w:name="_Toc9428"/>
      <w:bookmarkStart w:id="1295" w:name="_Toc28059"/>
      <w:r>
        <w:rPr>
          <w:rFonts w:hint="eastAsia" w:ascii="黑体" w:hAnsi="黑体" w:eastAsia="黑体" w:cs="黑体"/>
          <w:b w:val="0"/>
          <w:bCs w:val="0"/>
          <w:color w:val="auto"/>
          <w:lang w:val="en-US" w:eastAsia="zh-CN"/>
        </w:rPr>
        <w:t>一、加强农村环境整治</w:t>
      </w:r>
      <w:bookmarkEnd w:id="1285"/>
      <w:bookmarkEnd w:id="1286"/>
      <w:bookmarkEnd w:id="1287"/>
      <w:bookmarkEnd w:id="1288"/>
      <w:bookmarkEnd w:id="1289"/>
      <w:bookmarkEnd w:id="1290"/>
      <w:bookmarkEnd w:id="1291"/>
      <w:bookmarkEnd w:id="1292"/>
      <w:bookmarkEnd w:id="1293"/>
      <w:bookmarkEnd w:id="1294"/>
      <w:bookmarkEnd w:id="1295"/>
    </w:p>
    <w:p>
      <w:pPr>
        <w:pStyle w:val="27"/>
      </w:pPr>
      <w:r>
        <w:t>开展农村人居环境整治提升行动，全域推进农村改厕、生活垃圾处理和污水治理，建立覆盖城乡的环保基础设施体系。健全村收集、镇转运、县处理的生活垃圾收运处理体系，推进农村生活垃圾就地分类和资源化利用，到2025年，垃圾处理设施收集范围实现自然村全覆盖。按照</w:t>
      </w:r>
      <w:r>
        <w:rPr>
          <w:rFonts w:hint="eastAsia"/>
          <w:lang w:eastAsia="zh-CN"/>
        </w:rPr>
        <w:t>“</w:t>
      </w:r>
      <w:r>
        <w:t>因地制宜、经济适用</w:t>
      </w:r>
      <w:r>
        <w:rPr>
          <w:rFonts w:hint="eastAsia"/>
          <w:lang w:eastAsia="zh-CN"/>
        </w:rPr>
        <w:t>”</w:t>
      </w:r>
      <w:r>
        <w:t>的原则科学选用农村生活污水治理模式及处理技术工艺，优先治理国省考断面水质达标控制单元、饮用水水源保护区、</w:t>
      </w:r>
      <w:r>
        <w:rPr>
          <w:rFonts w:hint="eastAsia"/>
          <w:lang w:eastAsia="zh-CN"/>
        </w:rPr>
        <w:t>“</w:t>
      </w:r>
      <w:r>
        <w:t>四沿</w:t>
      </w:r>
      <w:r>
        <w:rPr>
          <w:rFonts w:hint="eastAsia"/>
          <w:lang w:eastAsia="zh-CN"/>
        </w:rPr>
        <w:t>”</w:t>
      </w:r>
      <w:r>
        <w:t>区域美丽乡村示范带等重点流域区域村庄的生活污水。到2025年，全市农村生活污水治理率达到60%以上。强化农村水污染治理与监管，将农村水环境治理纳入河长制、湖长制管理。加快推进农村黑臭水体摸底和治理，到2025年，农村黑臭水体治理率达到</w:t>
      </w:r>
      <w:r>
        <w:rPr>
          <w:rFonts w:hint="eastAsia"/>
          <w:lang w:eastAsia="zh-CN"/>
        </w:rPr>
        <w:t>省下达任务</w:t>
      </w:r>
      <w:r>
        <w:t>要求。</w:t>
      </w:r>
    </w:p>
    <w:p>
      <w:pPr>
        <w:pStyle w:val="5"/>
        <w:spacing w:before="0" w:after="0"/>
        <w:ind w:firstLine="640" w:firstLineChars="200"/>
        <w:rPr>
          <w:rFonts w:hint="eastAsia" w:ascii="黑体" w:hAnsi="黑体" w:eastAsia="黑体" w:cs="黑体"/>
          <w:b w:val="0"/>
          <w:bCs w:val="0"/>
          <w:color w:val="auto"/>
        </w:rPr>
      </w:pPr>
      <w:bookmarkStart w:id="1296" w:name="_Toc24670"/>
      <w:bookmarkStart w:id="1297" w:name="_Toc23206"/>
      <w:bookmarkStart w:id="1298" w:name="_Toc1362"/>
      <w:bookmarkStart w:id="1299" w:name="_Toc20508"/>
      <w:bookmarkStart w:id="1300" w:name="_Toc2235"/>
      <w:bookmarkStart w:id="1301" w:name="_Toc813"/>
      <w:bookmarkStart w:id="1302" w:name="_Toc2440"/>
      <w:bookmarkStart w:id="1303" w:name="_Toc18743"/>
      <w:bookmarkStart w:id="1304" w:name="_Toc17733"/>
      <w:bookmarkStart w:id="1305" w:name="_Toc7841"/>
      <w:r>
        <w:rPr>
          <w:rFonts w:hint="eastAsia" w:ascii="黑体" w:hAnsi="黑体" w:eastAsia="黑体" w:cs="黑体"/>
          <w:b w:val="0"/>
          <w:bCs w:val="0"/>
          <w:color w:val="auto"/>
          <w:lang w:val="en-US" w:eastAsia="zh-CN"/>
        </w:rPr>
        <w:t>二、</w:t>
      </w:r>
      <w:r>
        <w:rPr>
          <w:rFonts w:hint="eastAsia" w:ascii="黑体" w:hAnsi="黑体" w:eastAsia="黑体" w:cs="黑体"/>
          <w:b w:val="0"/>
          <w:bCs w:val="0"/>
          <w:color w:val="auto"/>
        </w:rPr>
        <w:t>强化畜禽养殖污染防治</w:t>
      </w:r>
      <w:bookmarkEnd w:id="1296"/>
      <w:bookmarkEnd w:id="1297"/>
      <w:bookmarkEnd w:id="1298"/>
      <w:bookmarkEnd w:id="1299"/>
      <w:bookmarkEnd w:id="1300"/>
      <w:bookmarkEnd w:id="1301"/>
      <w:bookmarkEnd w:id="1302"/>
      <w:bookmarkEnd w:id="1303"/>
      <w:bookmarkEnd w:id="1304"/>
      <w:bookmarkEnd w:id="1305"/>
    </w:p>
    <w:p>
      <w:pPr>
        <w:pStyle w:val="27"/>
      </w:pPr>
      <w:r>
        <w:rPr>
          <w:rFonts w:hint="eastAsia"/>
        </w:rPr>
        <w:t>畜牧大县率先编制实施县域畜禽养殖污染防治规划，推动种养结合和粪污综合利用，规范畜禽养殖禁养区划定与管理</w:t>
      </w:r>
      <w:r>
        <w:rPr>
          <w:rFonts w:hint="eastAsia"/>
          <w:lang w:eastAsia="zh-CN"/>
        </w:rPr>
        <w:t>，</w:t>
      </w:r>
      <w:r>
        <w:t>强化</w:t>
      </w:r>
      <w:r>
        <w:rPr>
          <w:rFonts w:hint="eastAsia"/>
          <w:lang w:eastAsia="zh-CN"/>
        </w:rPr>
        <w:t>“</w:t>
      </w:r>
      <w:r>
        <w:t>事中事后</w:t>
      </w:r>
      <w:r>
        <w:rPr>
          <w:rFonts w:hint="eastAsia"/>
          <w:lang w:eastAsia="zh-CN"/>
        </w:rPr>
        <w:t>”</w:t>
      </w:r>
      <w:r>
        <w:t>监管，加强环评、自主验收、自主监测抽查力度，落实企业主体责任，严厉打击弄虚作假行为。大力推进实施集约化、清洁畜禽养殖模式，推广节水、节料等清洁养殖工艺和干清粪等清洁清粪方式，实现畜禽养殖废弃物源头减量。到2025年，</w:t>
      </w:r>
      <w:r>
        <w:rPr>
          <w:rFonts w:hint="eastAsia"/>
          <w:sz w:val="32"/>
          <w:szCs w:val="32"/>
        </w:rPr>
        <w:t>全</w:t>
      </w:r>
      <w:r>
        <w:rPr>
          <w:rFonts w:hint="eastAsia"/>
          <w:sz w:val="32"/>
          <w:szCs w:val="32"/>
          <w:lang w:eastAsia="zh-CN"/>
        </w:rPr>
        <w:t>市</w:t>
      </w:r>
      <w:r>
        <w:rPr>
          <w:rFonts w:hint="eastAsia"/>
          <w:sz w:val="32"/>
          <w:szCs w:val="32"/>
        </w:rPr>
        <w:t>畜禽</w:t>
      </w:r>
      <w:r>
        <w:t>粪污综合利用率达到8</w:t>
      </w:r>
      <w:r>
        <w:rPr>
          <w:rFonts w:hint="eastAsia"/>
          <w:lang w:val="en-US" w:eastAsia="zh-CN"/>
        </w:rPr>
        <w:t>0</w:t>
      </w:r>
      <w:r>
        <w:t>%以上，规模养殖场粪污处理设施装备配套基本全覆盖。</w:t>
      </w:r>
    </w:p>
    <w:p>
      <w:pPr>
        <w:pStyle w:val="5"/>
        <w:spacing w:before="0" w:after="0"/>
        <w:ind w:firstLine="640" w:firstLineChars="200"/>
        <w:rPr>
          <w:rFonts w:hint="eastAsia" w:ascii="黑体" w:hAnsi="黑体" w:eastAsia="黑体" w:cs="黑体"/>
          <w:b w:val="0"/>
          <w:bCs w:val="0"/>
          <w:color w:val="auto"/>
          <w:lang w:val="en-US" w:eastAsia="zh-CN"/>
        </w:rPr>
      </w:pPr>
      <w:bookmarkStart w:id="1306" w:name="_Toc9617"/>
      <w:bookmarkStart w:id="1307" w:name="_Toc14919"/>
      <w:bookmarkStart w:id="1308" w:name="_Toc30078"/>
      <w:bookmarkStart w:id="1309" w:name="_Toc20905"/>
      <w:bookmarkStart w:id="1310" w:name="_Toc3651"/>
      <w:bookmarkStart w:id="1311" w:name="_Toc25631"/>
      <w:bookmarkStart w:id="1312" w:name="_Toc31717"/>
      <w:bookmarkStart w:id="1313" w:name="_Toc21574"/>
      <w:bookmarkStart w:id="1314" w:name="_Toc14905"/>
      <w:bookmarkStart w:id="1315" w:name="_Toc19381"/>
      <w:bookmarkStart w:id="1316" w:name="_Toc12259"/>
      <w:r>
        <w:rPr>
          <w:rFonts w:hint="eastAsia" w:ascii="黑体" w:hAnsi="黑体" w:eastAsia="黑体" w:cs="黑体"/>
          <w:b w:val="0"/>
          <w:bCs w:val="0"/>
          <w:color w:val="auto"/>
          <w:lang w:val="en-US" w:eastAsia="zh-CN"/>
        </w:rPr>
        <w:t>三、推进水产养殖污染防治</w:t>
      </w:r>
      <w:bookmarkEnd w:id="1306"/>
      <w:bookmarkEnd w:id="1307"/>
      <w:bookmarkEnd w:id="1308"/>
      <w:bookmarkEnd w:id="1309"/>
      <w:bookmarkEnd w:id="1310"/>
      <w:bookmarkEnd w:id="1311"/>
      <w:bookmarkEnd w:id="1312"/>
      <w:bookmarkEnd w:id="1313"/>
      <w:bookmarkEnd w:id="1314"/>
      <w:bookmarkEnd w:id="1315"/>
      <w:bookmarkEnd w:id="1316"/>
    </w:p>
    <w:p>
      <w:pPr>
        <w:spacing w:line="560" w:lineRule="exact"/>
        <w:ind w:firstLine="640" w:firstLineChars="200"/>
        <w:rPr>
          <w:rFonts w:hint="eastAsia"/>
          <w:lang w:eastAsia="zh-CN"/>
        </w:rPr>
      </w:pPr>
      <w:r>
        <w:t>摸清全市规模化水产养殖尾水处理及排放情况，全域推进养殖尾水治理。开展牛蛙养殖专项整治行动，对违法违规的牛蛙养殖场予以取缔。</w:t>
      </w:r>
      <w:r>
        <w:rPr>
          <w:rFonts w:hint="eastAsia"/>
        </w:rPr>
        <w:t>加强养殖尾水监测，规范设置养殖尾水排放口，落实养殖尾水排放属地监管职责和生产者环境保护主体责任。以规模养殖场、连片养殖场为重点，开展养殖池塘升级改造行动</w:t>
      </w:r>
      <w:r>
        <w:rPr>
          <w:rFonts w:hint="eastAsia"/>
          <w:lang w:eastAsia="zh-CN"/>
        </w:rPr>
        <w:t>。</w:t>
      </w:r>
    </w:p>
    <w:p>
      <w:pPr>
        <w:pStyle w:val="5"/>
        <w:spacing w:before="0" w:after="0"/>
        <w:ind w:firstLine="640" w:firstLineChars="200"/>
        <w:rPr>
          <w:rFonts w:hint="eastAsia" w:ascii="黑体" w:hAnsi="黑体" w:eastAsia="黑体" w:cs="黑体"/>
          <w:b w:val="0"/>
          <w:bCs w:val="0"/>
          <w:color w:val="auto"/>
          <w:lang w:val="en-US" w:eastAsia="zh-CN"/>
        </w:rPr>
      </w:pPr>
      <w:bookmarkStart w:id="1317" w:name="_Toc17739"/>
      <w:bookmarkStart w:id="1318" w:name="_Toc27711"/>
      <w:bookmarkStart w:id="1319" w:name="_Toc8889"/>
      <w:bookmarkStart w:id="1320" w:name="_Toc578"/>
      <w:bookmarkStart w:id="1321" w:name="_Toc23383"/>
      <w:bookmarkStart w:id="1322" w:name="_Toc29432"/>
      <w:bookmarkStart w:id="1323" w:name="_Toc5485"/>
      <w:bookmarkStart w:id="1324" w:name="_Toc32548"/>
      <w:bookmarkStart w:id="1325" w:name="_Toc16427"/>
      <w:bookmarkStart w:id="1326" w:name="_Toc8781"/>
      <w:bookmarkStart w:id="1327" w:name="_Toc19732"/>
      <w:r>
        <w:rPr>
          <w:rFonts w:hint="eastAsia" w:ascii="黑体" w:hAnsi="黑体" w:eastAsia="黑体" w:cs="黑体"/>
          <w:b w:val="0"/>
          <w:bCs w:val="0"/>
          <w:color w:val="auto"/>
          <w:lang w:val="en-US" w:eastAsia="zh-CN"/>
        </w:rPr>
        <w:t>四、推进农业面源污染防治</w:t>
      </w:r>
      <w:bookmarkEnd w:id="1317"/>
      <w:bookmarkEnd w:id="1318"/>
      <w:bookmarkEnd w:id="1319"/>
      <w:bookmarkEnd w:id="1320"/>
      <w:bookmarkEnd w:id="1321"/>
      <w:bookmarkEnd w:id="1322"/>
      <w:bookmarkEnd w:id="1323"/>
      <w:bookmarkEnd w:id="1324"/>
      <w:bookmarkEnd w:id="1325"/>
      <w:bookmarkEnd w:id="1326"/>
      <w:bookmarkEnd w:id="1327"/>
    </w:p>
    <w:p>
      <w:pPr>
        <w:spacing w:line="560" w:lineRule="exact"/>
        <w:ind w:firstLine="640" w:firstLineChars="200"/>
        <w:rPr>
          <w:rFonts w:hint="eastAsia"/>
        </w:rPr>
      </w:pPr>
      <w:r>
        <w:t>实施化肥、农药减量化行动。全面推广测土配方施肥、精准施肥和节水灌溉技术，推进有机肥替代化肥；全面推行高效低毒低残留农药、生物农药和先进施药机械应用，推进病虫害统防统治与全程绿色防控，建立农药包装废弃物收集处理系统</w:t>
      </w:r>
      <w:r>
        <w:rPr>
          <w:rFonts w:hint="eastAsia" w:ascii="仿宋_GB2312" w:hAnsi="仿宋_GB2312" w:eastAsia="仿宋_GB2312" w:cs="仿宋_GB2312"/>
        </w:rPr>
        <w:t>。到2025年，</w:t>
      </w:r>
      <w:r>
        <w:rPr>
          <w:rFonts w:hint="eastAsia"/>
        </w:rPr>
        <w:t>主要农作物化肥利用率提高，化肥使用量持续减少</w:t>
      </w:r>
      <w:r>
        <w:rPr>
          <w:rFonts w:hint="eastAsia"/>
          <w:lang w:eastAsia="zh-CN"/>
        </w:rPr>
        <w:t>；</w:t>
      </w:r>
      <w:r>
        <w:rPr>
          <w:rFonts w:hint="eastAsia"/>
          <w:lang w:val="en-US" w:eastAsia="zh-CN"/>
        </w:rPr>
        <w:t>力争提高主要农作物农药利用率，农药使用量持续减少。</w:t>
      </w:r>
    </w:p>
    <w:bookmarkEnd w:id="1193"/>
    <w:p>
      <w:pPr>
        <w:pStyle w:val="28"/>
        <w:ind w:firstLine="0" w:firstLineChars="0"/>
        <w:rPr>
          <w:rFonts w:hint="default" w:ascii="Times New Roman" w:hAnsi="Times New Roman" w:cs="Times New Roman"/>
          <w:color w:val="auto"/>
          <w:sz w:val="32"/>
          <w:szCs w:val="32"/>
        </w:rPr>
        <w:sectPr>
          <w:pgSz w:w="11906" w:h="16838"/>
          <w:pgMar w:top="1644" w:right="1701" w:bottom="1985" w:left="1701" w:header="851" w:footer="850" w:gutter="0"/>
          <w:pgNumType w:fmt="numberInDash"/>
          <w:cols w:space="720" w:num="1"/>
          <w:docGrid w:type="lines" w:linePitch="312" w:charSpace="0"/>
        </w:sectPr>
      </w:pPr>
    </w:p>
    <w:p>
      <w:pPr>
        <w:pStyle w:val="3"/>
        <w:numPr>
          <w:ilvl w:val="0"/>
          <w:numId w:val="5"/>
        </w:numPr>
        <w:ind w:left="0" w:leftChars="0" w:firstLine="0" w:firstLineChars="0"/>
        <w:rPr>
          <w:rFonts w:hint="eastAsia" w:ascii="方正小标宋简体" w:hAnsi="方正小标宋简体" w:eastAsia="方正小标宋简体" w:cs="方正小标宋简体"/>
          <w:sz w:val="36"/>
          <w:szCs w:val="44"/>
        </w:rPr>
      </w:pPr>
      <w:bookmarkStart w:id="1328" w:name="_Toc11491"/>
      <w:bookmarkStart w:id="1329" w:name="_Toc32444"/>
      <w:bookmarkStart w:id="1330" w:name="_Toc9293"/>
      <w:bookmarkStart w:id="1331" w:name="_Toc24749"/>
      <w:bookmarkStart w:id="1332" w:name="_Toc31921"/>
      <w:bookmarkStart w:id="1333" w:name="_Toc32343"/>
      <w:bookmarkStart w:id="1334" w:name="_Toc26809"/>
      <w:bookmarkStart w:id="1335" w:name="_Toc6626"/>
      <w:bookmarkStart w:id="1336" w:name="_Toc980"/>
      <w:bookmarkStart w:id="1337" w:name="_Toc12667"/>
      <w:bookmarkStart w:id="1338" w:name="_Toc25995"/>
      <w:bookmarkStart w:id="1339" w:name="_Toc17348"/>
      <w:bookmarkStart w:id="1340" w:name="_Toc25178"/>
      <w:bookmarkStart w:id="1341" w:name="_Toc29569"/>
      <w:bookmarkStart w:id="1342" w:name="_Toc20452"/>
      <w:bookmarkStart w:id="1343" w:name="_Toc4655"/>
      <w:bookmarkStart w:id="1344" w:name="_Toc8634"/>
      <w:bookmarkStart w:id="1345" w:name="_Toc7997"/>
      <w:bookmarkStart w:id="1346" w:name="_Toc30551"/>
      <w:bookmarkStart w:id="1347" w:name="_Toc18216"/>
      <w:bookmarkStart w:id="1348" w:name="_Toc1240"/>
      <w:bookmarkStart w:id="1349" w:name="_Toc17050"/>
      <w:bookmarkStart w:id="1350" w:name="_Toc5593"/>
      <w:bookmarkStart w:id="1351" w:name="_Toc645"/>
      <w:r>
        <w:rPr>
          <w:rFonts w:hint="eastAsia" w:ascii="方正小标宋简体" w:hAnsi="方正小标宋简体" w:eastAsia="方正小标宋简体" w:cs="方正小标宋简体"/>
          <w:sz w:val="36"/>
          <w:szCs w:val="44"/>
        </w:rPr>
        <w:t>加强生态</w:t>
      </w:r>
      <w:r>
        <w:rPr>
          <w:rFonts w:hint="eastAsia" w:ascii="方正小标宋简体" w:hAnsi="方正小标宋简体" w:eastAsia="方正小标宋简体" w:cs="方正小标宋简体"/>
          <w:sz w:val="36"/>
          <w:szCs w:val="44"/>
          <w:lang w:val="en-US" w:eastAsia="zh-CN"/>
        </w:rPr>
        <w:t>系统</w:t>
      </w:r>
      <w:r>
        <w:rPr>
          <w:rFonts w:hint="eastAsia" w:ascii="方正小标宋简体" w:hAnsi="方正小标宋简体" w:eastAsia="方正小标宋简体" w:cs="方正小标宋简体"/>
          <w:sz w:val="36"/>
          <w:szCs w:val="44"/>
        </w:rPr>
        <w:t>保护</w:t>
      </w:r>
      <w:r>
        <w:rPr>
          <w:rFonts w:hint="eastAsia" w:ascii="方正小标宋简体" w:hAnsi="方正小标宋简体" w:eastAsia="方正小标宋简体" w:cs="方正小标宋简体"/>
          <w:sz w:val="36"/>
          <w:szCs w:val="44"/>
          <w:lang w:val="en-US" w:eastAsia="zh-CN"/>
        </w:rPr>
        <w:t>修复</w:t>
      </w:r>
      <w:r>
        <w:rPr>
          <w:rFonts w:hint="eastAsia" w:ascii="方正小标宋简体" w:hAnsi="方正小标宋简体" w:eastAsia="方正小标宋简体" w:cs="方正小标宋简体"/>
          <w:sz w:val="36"/>
          <w:szCs w:val="44"/>
        </w:rPr>
        <w:t>，筑牢粤北生态屏</w:t>
      </w:r>
      <w:bookmarkEnd w:id="1328"/>
      <w:r>
        <w:rPr>
          <w:rFonts w:hint="eastAsia" w:ascii="方正小标宋简体" w:hAnsi="方正小标宋简体" w:eastAsia="方正小标宋简体" w:cs="方正小标宋简体"/>
          <w:sz w:val="36"/>
          <w:szCs w:val="44"/>
        </w:rPr>
        <w:t>障</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27"/>
        <w:rPr>
          <w:rFonts w:hint="default" w:ascii="Times New Roman" w:hAnsi="Times New Roman" w:cs="Times New Roman"/>
          <w:color w:val="auto"/>
        </w:rPr>
      </w:pPr>
    </w:p>
    <w:p>
      <w:pPr>
        <w:pStyle w:val="27"/>
        <w:widowControl w:val="0"/>
        <w:wordWrap/>
        <w:adjustRightInd/>
        <w:snapToGrid/>
        <w:textAlignment w:val="auto"/>
        <w:outlineLvl w:val="9"/>
        <w:rPr>
          <w:rFonts w:hint="default"/>
        </w:rPr>
      </w:pPr>
      <w:r>
        <w:rPr>
          <w:rFonts w:hint="default"/>
        </w:rPr>
        <w:t>以习近平生态文明思想为指导，</w:t>
      </w:r>
      <w:r>
        <w:rPr>
          <w:rFonts w:hint="eastAsia"/>
          <w:lang w:eastAsia="zh-CN"/>
        </w:rPr>
        <w:t>坚持</w:t>
      </w:r>
      <w:r>
        <w:rPr>
          <w:rFonts w:hint="default"/>
        </w:rPr>
        <w:t>人与自然和谐共生</w:t>
      </w:r>
      <w:r>
        <w:rPr>
          <w:rFonts w:hint="eastAsia"/>
          <w:lang w:eastAsia="zh-CN"/>
        </w:rPr>
        <w:t>理念</w:t>
      </w:r>
      <w:r>
        <w:rPr>
          <w:rFonts w:hint="default"/>
        </w:rPr>
        <w:t>，践行</w:t>
      </w:r>
      <w:r>
        <w:rPr>
          <w:rFonts w:hint="eastAsia"/>
          <w:lang w:eastAsia="zh-CN"/>
        </w:rPr>
        <w:t>“</w:t>
      </w:r>
      <w:r>
        <w:rPr>
          <w:rFonts w:hint="default"/>
        </w:rPr>
        <w:t>绿水青山就是金山银山</w:t>
      </w:r>
      <w:r>
        <w:rPr>
          <w:rFonts w:hint="eastAsia"/>
          <w:lang w:eastAsia="zh-CN"/>
        </w:rPr>
        <w:t>”</w:t>
      </w:r>
      <w:r>
        <w:rPr>
          <w:rFonts w:hint="default"/>
        </w:rPr>
        <w:t>理念，坚持生态优先、绿色发展，努力把韶关打造成粤港澳大湾区重要的</w:t>
      </w:r>
      <w:r>
        <w:rPr>
          <w:rFonts w:hint="eastAsia"/>
          <w:lang w:eastAsia="zh-CN"/>
        </w:rPr>
        <w:t>“</w:t>
      </w:r>
      <w:r>
        <w:rPr>
          <w:rFonts w:hint="default"/>
        </w:rPr>
        <w:t>后花园</w:t>
      </w:r>
      <w:r>
        <w:rPr>
          <w:rFonts w:hint="eastAsia"/>
          <w:lang w:eastAsia="zh-CN"/>
        </w:rPr>
        <w:t>”</w:t>
      </w:r>
      <w:r>
        <w:rPr>
          <w:rFonts w:hint="default"/>
        </w:rPr>
        <w:t>，广东重要的生态屏障。</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352" w:name="_Toc18014"/>
      <w:bookmarkStart w:id="1353" w:name="_Toc13617"/>
      <w:bookmarkStart w:id="1354" w:name="_Toc21271"/>
      <w:bookmarkStart w:id="1355" w:name="_Toc7897"/>
      <w:bookmarkStart w:id="1356" w:name="_Toc8618"/>
      <w:bookmarkStart w:id="1357" w:name="_Toc2653"/>
      <w:bookmarkStart w:id="1358" w:name="_Toc12628"/>
      <w:bookmarkStart w:id="1359" w:name="_Toc7210"/>
      <w:bookmarkStart w:id="1360" w:name="_Toc23947"/>
      <w:bookmarkStart w:id="1361" w:name="_Toc4973"/>
      <w:bookmarkStart w:id="1362" w:name="_Toc25670"/>
      <w:bookmarkStart w:id="1363" w:name="_Toc16943"/>
      <w:bookmarkStart w:id="1364" w:name="_Toc30651"/>
      <w:bookmarkStart w:id="1365" w:name="_Toc11368"/>
      <w:bookmarkStart w:id="1366" w:name="_Toc6619"/>
      <w:bookmarkStart w:id="1367" w:name="_Toc7881"/>
      <w:bookmarkStart w:id="1368" w:name="_Toc14374"/>
      <w:bookmarkStart w:id="1369" w:name="_Toc11004"/>
      <w:bookmarkStart w:id="1370" w:name="_Toc11550"/>
      <w:bookmarkStart w:id="1371" w:name="_Toc18281"/>
      <w:bookmarkStart w:id="1372" w:name="_Toc5881"/>
      <w:bookmarkStart w:id="1373" w:name="_Toc2566"/>
      <w:bookmarkStart w:id="1374" w:name="_Toc22299"/>
      <w:bookmarkStart w:id="1375" w:name="_Toc15111"/>
      <w:r>
        <w:rPr>
          <w:rFonts w:hint="default" w:ascii="黑体" w:hAnsi="黑体" w:eastAsia="黑体" w:cs="黑体"/>
          <w:b w:val="0"/>
          <w:bCs w:val="0"/>
          <w:color w:val="auto"/>
          <w:kern w:val="2"/>
          <w:sz w:val="32"/>
          <w:lang w:eastAsia="zh-CN"/>
        </w:rPr>
        <w:t>第一节</w:t>
      </w:r>
      <w:r>
        <w:rPr>
          <w:rFonts w:hint="eastAsia" w:ascii="黑体" w:hAnsi="黑体" w:eastAsia="黑体" w:cs="黑体"/>
          <w:b w:val="0"/>
          <w:bCs w:val="0"/>
          <w:color w:val="auto"/>
          <w:kern w:val="2"/>
          <w:sz w:val="32"/>
          <w:lang w:val="en-US" w:eastAsia="zh-CN"/>
        </w:rPr>
        <w:t>　</w:t>
      </w:r>
      <w:r>
        <w:rPr>
          <w:rFonts w:hint="default" w:ascii="黑体" w:hAnsi="黑体" w:eastAsia="黑体" w:cs="黑体"/>
          <w:b w:val="0"/>
          <w:bCs w:val="0"/>
          <w:color w:val="auto"/>
          <w:kern w:val="2"/>
          <w:sz w:val="32"/>
        </w:rPr>
        <w:t>筑牢生态安全格</w:t>
      </w:r>
      <w:bookmarkEnd w:id="1352"/>
      <w:r>
        <w:rPr>
          <w:rFonts w:hint="default" w:ascii="黑体" w:hAnsi="黑体" w:eastAsia="黑体" w:cs="黑体"/>
          <w:b w:val="0"/>
          <w:bCs w:val="0"/>
          <w:color w:val="auto"/>
          <w:kern w:val="2"/>
          <w:sz w:val="32"/>
        </w:rPr>
        <w:t>局</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pPr>
        <w:pStyle w:val="27"/>
        <w:rPr>
          <w:rFonts w:hint="default" w:ascii="Times New Roman" w:hAnsi="Times New Roman" w:eastAsia="仿宋_GB2312" w:cs="Times New Roman"/>
          <w:color w:val="auto"/>
        </w:rPr>
      </w:pPr>
      <w:bookmarkStart w:id="1376" w:name="_Toc15831"/>
      <w:bookmarkStart w:id="1377" w:name="_Toc3918"/>
      <w:bookmarkStart w:id="1378" w:name="_Toc27031"/>
      <w:bookmarkStart w:id="1379" w:name="_Toc25466"/>
      <w:bookmarkStart w:id="1380" w:name="_Toc24818"/>
      <w:r>
        <w:rPr>
          <w:rFonts w:hint="default"/>
        </w:rPr>
        <w:t>以生态保护红线</w:t>
      </w:r>
      <w:r>
        <w:rPr>
          <w:rFonts w:hint="eastAsia"/>
          <w:lang w:eastAsia="zh-CN"/>
        </w:rPr>
        <w:t>划定</w:t>
      </w:r>
      <w:r>
        <w:rPr>
          <w:rFonts w:hint="default"/>
        </w:rPr>
        <w:t>、自然保护地</w:t>
      </w:r>
      <w:r>
        <w:rPr>
          <w:rFonts w:hint="eastAsia"/>
          <w:lang w:eastAsia="zh-CN"/>
        </w:rPr>
        <w:t>保护、</w:t>
      </w:r>
      <w:r>
        <w:rPr>
          <w:rFonts w:hint="eastAsia"/>
          <w:lang w:val="en-US" w:eastAsia="zh-CN"/>
        </w:rPr>
        <w:t>国家公园建设</w:t>
      </w:r>
      <w:r>
        <w:rPr>
          <w:rFonts w:hint="default"/>
        </w:rPr>
        <w:t>为重点，建立完善生态保护监管体系，实施生态保护修复。</w:t>
      </w:r>
    </w:p>
    <w:p>
      <w:pPr>
        <w:pStyle w:val="5"/>
        <w:spacing w:before="0" w:after="0"/>
        <w:ind w:firstLine="640" w:firstLineChars="200"/>
        <w:rPr>
          <w:rFonts w:hint="default" w:ascii="黑体" w:hAnsi="黑体" w:eastAsia="黑体" w:cs="黑体"/>
          <w:b w:val="0"/>
          <w:bCs w:val="0"/>
          <w:color w:val="auto"/>
        </w:rPr>
      </w:pPr>
      <w:bookmarkStart w:id="1381" w:name="_Toc28273"/>
      <w:bookmarkStart w:id="1382" w:name="_Toc31743"/>
      <w:bookmarkStart w:id="1383" w:name="_Toc21359"/>
      <w:bookmarkStart w:id="1384" w:name="_Toc28268"/>
      <w:bookmarkStart w:id="1385" w:name="_Toc8256"/>
      <w:bookmarkStart w:id="1386" w:name="_Toc8036"/>
      <w:bookmarkStart w:id="1387" w:name="_Toc6185"/>
      <w:bookmarkStart w:id="1388" w:name="_Toc28373"/>
      <w:bookmarkStart w:id="1389" w:name="_Toc5048"/>
      <w:bookmarkStart w:id="1390" w:name="_Toc27742"/>
      <w:r>
        <w:rPr>
          <w:rFonts w:hint="default" w:ascii="黑体" w:hAnsi="黑体" w:eastAsia="黑体" w:cs="黑体"/>
          <w:b w:val="0"/>
          <w:bCs w:val="0"/>
          <w:color w:val="auto"/>
        </w:rPr>
        <w:t>一、加强生态空间用途管制</w:t>
      </w:r>
      <w:bookmarkEnd w:id="1381"/>
      <w:bookmarkEnd w:id="1382"/>
      <w:bookmarkEnd w:id="1383"/>
      <w:bookmarkEnd w:id="1384"/>
      <w:bookmarkEnd w:id="1385"/>
      <w:bookmarkEnd w:id="1386"/>
      <w:bookmarkEnd w:id="1387"/>
      <w:bookmarkEnd w:id="1388"/>
      <w:bookmarkEnd w:id="1389"/>
    </w:p>
    <w:p>
      <w:pPr>
        <w:pStyle w:val="27"/>
        <w:rPr>
          <w:rFonts w:hint="default" w:ascii="Times New Roman" w:hAnsi="Times New Roman" w:eastAsia="仿宋_GB2312" w:cs="Times New Roman"/>
          <w:color w:val="auto"/>
        </w:rPr>
      </w:pPr>
      <w:r>
        <w:rPr>
          <w:rFonts w:hint="eastAsia" w:ascii="楷体_GB2312" w:hAnsi="楷体_GB2312" w:eastAsia="楷体_GB2312" w:cs="楷体_GB2312"/>
          <w:b w:val="0"/>
          <w:bCs w:val="0"/>
          <w:color w:val="auto"/>
        </w:rPr>
        <w:t>严格落实生态保护红线</w:t>
      </w:r>
      <w:r>
        <w:rPr>
          <w:rFonts w:hint="eastAsia" w:ascii="楷体_GB2312" w:hAnsi="楷体_GB2312" w:eastAsia="楷体_GB2312" w:cs="楷体_GB2312"/>
          <w:b w:val="0"/>
          <w:bCs w:val="0"/>
          <w:color w:val="auto"/>
          <w:lang w:eastAsia="zh-CN"/>
        </w:rPr>
        <w:t>管控</w:t>
      </w:r>
      <w:r>
        <w:rPr>
          <w:rFonts w:hint="eastAsia" w:ascii="楷体_GB2312" w:hAnsi="楷体_GB2312" w:eastAsia="楷体_GB2312" w:cs="楷体_GB2312"/>
          <w:b w:val="0"/>
          <w:bCs w:val="0"/>
          <w:color w:val="auto"/>
        </w:rPr>
        <w:t>要求</w:t>
      </w:r>
      <w:r>
        <w:rPr>
          <w:rFonts w:hint="eastAsia" w:ascii="楷体_GB2312" w:hAnsi="楷体_GB2312" w:eastAsia="楷体_GB2312" w:cs="楷体_GB2312"/>
          <w:b w:val="0"/>
          <w:bCs w:val="0"/>
          <w:color w:val="auto"/>
          <w:lang w:eastAsia="zh-CN"/>
        </w:rPr>
        <w:t>。</w:t>
      </w:r>
      <w:r>
        <w:rPr>
          <w:rFonts w:hint="default" w:ascii="Times New Roman" w:hAnsi="Times New Roman" w:eastAsia="仿宋_GB2312" w:cs="Times New Roman"/>
          <w:color w:val="auto"/>
        </w:rPr>
        <w:t>禁止不符合功能定位的各类开发活动，严禁</w:t>
      </w:r>
      <w:r>
        <w:rPr>
          <w:rFonts w:hint="eastAsia" w:cs="Times New Roman"/>
          <w:color w:val="auto"/>
          <w:lang w:val="en-US" w:eastAsia="zh-CN"/>
        </w:rPr>
        <w:t>随意</w:t>
      </w:r>
      <w:r>
        <w:rPr>
          <w:rFonts w:hint="default" w:ascii="Times New Roman" w:hAnsi="Times New Roman" w:eastAsia="仿宋_GB2312" w:cs="Times New Roman"/>
          <w:color w:val="auto"/>
        </w:rPr>
        <w:t>改变生态保护红线区域功能用途，确保生态功能不降低、面积不减少、性质不改变。按要求部署生态保护红线勘界定标工作，设立统一规范的标识标牌。严厉查处生态保护红线内违法建设行为。</w:t>
      </w:r>
    </w:p>
    <w:p>
      <w:pPr>
        <w:pStyle w:val="27"/>
        <w:rPr>
          <w:rFonts w:hint="default" w:ascii="Times New Roman" w:hAnsi="Times New Roman" w:eastAsia="仿宋_GB2312" w:cs="Times New Roman"/>
          <w:color w:val="auto"/>
        </w:rPr>
      </w:pPr>
      <w:r>
        <w:rPr>
          <w:rFonts w:hint="eastAsia" w:ascii="楷体_GB2312" w:hAnsi="楷体_GB2312" w:eastAsia="楷体_GB2312" w:cs="楷体_GB2312"/>
          <w:b w:val="0"/>
          <w:bCs w:val="0"/>
          <w:color w:val="auto"/>
        </w:rPr>
        <w:t>落实生态环境分区管控制度</w:t>
      </w:r>
      <w:r>
        <w:rPr>
          <w:rFonts w:hint="eastAsia" w:ascii="楷体_GB2312" w:hAnsi="楷体_GB2312" w:eastAsia="楷体_GB2312" w:cs="楷体_GB2312"/>
          <w:b w:val="0"/>
          <w:bCs w:val="0"/>
          <w:color w:val="auto"/>
          <w:lang w:eastAsia="zh-CN"/>
        </w:rPr>
        <w:t>。</w:t>
      </w:r>
      <w:r>
        <w:rPr>
          <w:rFonts w:hint="default" w:ascii="Times New Roman" w:hAnsi="Times New Roman" w:eastAsia="仿宋_GB2312" w:cs="Times New Roman"/>
          <w:color w:val="auto"/>
        </w:rPr>
        <w:t>贯彻落实国家、省有关要求，基于韶关生态保护红线、环境质量底线、资源利用上线，以生态环境质量改善为</w:t>
      </w:r>
      <w:r>
        <w:rPr>
          <w:rFonts w:hint="eastAsia" w:ascii="仿宋_GB2312" w:hAnsi="仿宋_GB2312" w:eastAsia="仿宋_GB2312" w:cs="仿宋_GB2312"/>
          <w:color w:val="auto"/>
        </w:rPr>
        <w:t>目标，通过划分环境管控单元，制定生态环境准入清单，落实管控单元生态环境管控要求。到2025年，进一步完善</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三线一单</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生态环境分区管控体系，建立</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三线一单</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政策管理体系</w:t>
      </w:r>
      <w:r>
        <w:rPr>
          <w:rFonts w:hint="default" w:ascii="Times New Roman" w:hAnsi="Times New Roman" w:eastAsia="仿宋_GB2312" w:cs="Times New Roman"/>
          <w:color w:val="auto"/>
        </w:rPr>
        <w:t>，形成以</w:t>
      </w:r>
      <w:r>
        <w:rPr>
          <w:rFonts w:hint="eastAsia" w:cs="Times New Roman"/>
          <w:color w:val="auto"/>
          <w:lang w:eastAsia="zh-CN"/>
        </w:rPr>
        <w:t>“</w:t>
      </w:r>
      <w:r>
        <w:rPr>
          <w:rFonts w:hint="default" w:ascii="Times New Roman" w:hAnsi="Times New Roman" w:eastAsia="仿宋_GB2312" w:cs="Times New Roman"/>
          <w:color w:val="auto"/>
        </w:rPr>
        <w:t>三线一单</w:t>
      </w:r>
      <w:r>
        <w:rPr>
          <w:rFonts w:hint="eastAsia" w:cs="Times New Roman"/>
          <w:color w:val="auto"/>
          <w:lang w:eastAsia="zh-CN"/>
        </w:rPr>
        <w:t>”</w:t>
      </w:r>
      <w:r>
        <w:rPr>
          <w:rFonts w:hint="default" w:ascii="Times New Roman" w:hAnsi="Times New Roman" w:eastAsia="仿宋_GB2312" w:cs="Times New Roman"/>
          <w:color w:val="auto"/>
        </w:rPr>
        <w:t>成果为基础的区域生态环境评价制度。</w:t>
      </w:r>
    </w:p>
    <w:p>
      <w:pPr>
        <w:pStyle w:val="5"/>
        <w:spacing w:before="0" w:after="0"/>
        <w:ind w:firstLine="640" w:firstLineChars="200"/>
        <w:rPr>
          <w:rFonts w:hint="default" w:ascii="黑体" w:hAnsi="黑体" w:eastAsia="黑体" w:cs="黑体"/>
          <w:b w:val="0"/>
          <w:bCs w:val="0"/>
          <w:color w:val="auto"/>
          <w:lang w:val="en-US" w:eastAsia="zh-CN"/>
        </w:rPr>
      </w:pPr>
      <w:bookmarkStart w:id="1391" w:name="_Toc31370"/>
      <w:bookmarkStart w:id="1392" w:name="_Toc20703"/>
      <w:bookmarkStart w:id="1393" w:name="_Toc3198"/>
      <w:bookmarkStart w:id="1394" w:name="_Toc22871"/>
      <w:bookmarkStart w:id="1395" w:name="_Toc30608"/>
      <w:bookmarkStart w:id="1396" w:name="_Toc31056"/>
      <w:bookmarkStart w:id="1397" w:name="_Toc6633"/>
      <w:bookmarkStart w:id="1398" w:name="_Toc3288"/>
      <w:bookmarkStart w:id="1399" w:name="_Toc16947"/>
      <w:r>
        <w:rPr>
          <w:rFonts w:hint="default" w:ascii="黑体" w:hAnsi="黑体" w:eastAsia="黑体" w:cs="黑体"/>
          <w:b w:val="0"/>
          <w:bCs w:val="0"/>
          <w:color w:val="auto"/>
          <w:lang w:val="en-US" w:eastAsia="zh-CN"/>
        </w:rPr>
        <w:t>二、强化自然保护地体系保护</w:t>
      </w:r>
      <w:bookmarkEnd w:id="1391"/>
      <w:bookmarkEnd w:id="1392"/>
      <w:bookmarkEnd w:id="1393"/>
      <w:bookmarkEnd w:id="1394"/>
      <w:bookmarkEnd w:id="1395"/>
      <w:bookmarkEnd w:id="1396"/>
      <w:bookmarkEnd w:id="1397"/>
      <w:bookmarkEnd w:id="1398"/>
      <w:bookmarkEnd w:id="1399"/>
    </w:p>
    <w:p>
      <w:pPr>
        <w:pStyle w:val="27"/>
        <w:rPr>
          <w:rFonts w:hint="default" w:ascii="Times New Roman" w:hAnsi="Times New Roman" w:cs="Times New Roman"/>
          <w:color w:val="auto"/>
        </w:rPr>
      </w:pPr>
      <w:r>
        <w:rPr>
          <w:rFonts w:hint="eastAsia" w:ascii="楷体_GB2312" w:hAnsi="楷体_GB2312" w:eastAsia="楷体_GB2312" w:cs="楷体_GB2312"/>
          <w:color w:val="auto"/>
        </w:rPr>
        <w:t>加强自然保护地保护</w:t>
      </w:r>
      <w:r>
        <w:rPr>
          <w:rFonts w:hint="eastAsia" w:ascii="楷体_GB2312" w:hAnsi="楷体_GB2312" w:eastAsia="楷体_GB2312" w:cs="楷体_GB2312"/>
          <w:color w:val="auto"/>
          <w:lang w:eastAsia="zh-CN"/>
        </w:rPr>
        <w:t>。</w:t>
      </w:r>
      <w:r>
        <w:rPr>
          <w:rFonts w:hint="default" w:ascii="Times New Roman" w:hAnsi="Times New Roman" w:eastAsia="仿宋_GB2312" w:cs="Times New Roman"/>
          <w:color w:val="auto"/>
        </w:rPr>
        <w:t>强化自然保护地管控，开展自然保护地勘界立碑、自然资源本底调查、编制自然保护地总体规划和专项规划、确权登记、坚持一地一牌一机构、建立自然保护地建设和运行经费保障机制等工作</w:t>
      </w:r>
      <w:r>
        <w:rPr>
          <w:rFonts w:hint="eastAsia" w:ascii="Times New Roman" w:hAnsi="Times New Roman" w:cs="Times New Roman"/>
          <w:color w:val="auto"/>
          <w:lang w:eastAsia="zh-CN"/>
        </w:rPr>
        <w:t>，</w:t>
      </w:r>
      <w:r>
        <w:rPr>
          <w:rFonts w:hint="default" w:ascii="Times New Roman" w:hAnsi="Times New Roman" w:cs="Times New Roman"/>
          <w:color w:val="auto"/>
        </w:rPr>
        <w:t>加强自然保护地设立、晋（降）级、调整、整合和退出的监管，定期公布自然保护地生态环境状况。</w:t>
      </w:r>
      <w:r>
        <w:rPr>
          <w:rFonts w:hint="eastAsia" w:cs="Times New Roman"/>
          <w:color w:val="auto"/>
          <w:lang w:eastAsia="zh-CN"/>
        </w:rPr>
        <w:t>持续开展“</w:t>
      </w:r>
      <w:r>
        <w:rPr>
          <w:rFonts w:hint="default" w:ascii="Times New Roman" w:hAnsi="Times New Roman" w:cs="Times New Roman"/>
          <w:color w:val="auto"/>
        </w:rPr>
        <w:t>绿盾</w:t>
      </w:r>
      <w:r>
        <w:rPr>
          <w:rFonts w:hint="eastAsia" w:cs="Times New Roman"/>
          <w:color w:val="auto"/>
          <w:lang w:eastAsia="zh-CN"/>
        </w:rPr>
        <w:t>”</w:t>
      </w:r>
      <w:r>
        <w:rPr>
          <w:rFonts w:hint="default" w:ascii="Times New Roman" w:hAnsi="Times New Roman" w:cs="Times New Roman"/>
          <w:color w:val="auto"/>
        </w:rPr>
        <w:t>自然保护地强化监督</w:t>
      </w:r>
      <w:r>
        <w:rPr>
          <w:rFonts w:hint="eastAsia" w:cs="Times New Roman"/>
          <w:color w:val="auto"/>
          <w:lang w:eastAsia="zh-CN"/>
        </w:rPr>
        <w:t>等专项行动</w:t>
      </w:r>
      <w:r>
        <w:rPr>
          <w:rFonts w:hint="default" w:ascii="Times New Roman" w:hAnsi="Times New Roman" w:cs="Times New Roman"/>
          <w:color w:val="auto"/>
        </w:rPr>
        <w:t>，</w:t>
      </w:r>
      <w:r>
        <w:rPr>
          <w:rFonts w:hint="eastAsia" w:ascii="仿宋_GB2312"/>
          <w:sz w:val="32"/>
          <w:szCs w:val="32"/>
        </w:rPr>
        <w:t>严肃查处涉及自然保护地的</w:t>
      </w:r>
      <w:r>
        <w:rPr>
          <w:rFonts w:hint="eastAsia"/>
          <w:sz w:val="32"/>
          <w:szCs w:val="32"/>
        </w:rPr>
        <w:t>生态破坏行为</w:t>
      </w:r>
      <w:r>
        <w:rPr>
          <w:rFonts w:hint="default" w:ascii="Times New Roman" w:hAnsi="Times New Roman" w:cs="Times New Roman"/>
          <w:color w:val="auto"/>
        </w:rPr>
        <w:t>。开展常态化监控，坚决遏制新增违法违规问题。</w:t>
      </w:r>
      <w:r>
        <w:rPr>
          <w:rFonts w:hint="default" w:ascii="Times New Roman" w:hAnsi="Times New Roman" w:cs="Times New Roman"/>
          <w:color w:val="auto"/>
          <w:lang w:val="en-US" w:eastAsia="zh-CN"/>
        </w:rPr>
        <w:t>建立</w:t>
      </w:r>
      <w:r>
        <w:rPr>
          <w:rFonts w:hint="default" w:ascii="Times New Roman" w:hAnsi="Times New Roman" w:cs="Times New Roman"/>
          <w:color w:val="auto"/>
        </w:rPr>
        <w:t>自然保护地生态环境监测制度，依托省的自然保护地</w:t>
      </w:r>
      <w:r>
        <w:rPr>
          <w:rFonts w:hint="eastAsia" w:cs="Times New Roman"/>
          <w:color w:val="auto"/>
          <w:lang w:eastAsia="zh-CN"/>
        </w:rPr>
        <w:t>“</w:t>
      </w:r>
      <w:r>
        <w:rPr>
          <w:rFonts w:hint="default" w:ascii="Times New Roman" w:hAnsi="Times New Roman" w:cs="Times New Roman"/>
          <w:color w:val="auto"/>
        </w:rPr>
        <w:t>天空地一体化</w:t>
      </w:r>
      <w:r>
        <w:rPr>
          <w:rFonts w:hint="eastAsia" w:cs="Times New Roman"/>
          <w:color w:val="auto"/>
          <w:lang w:eastAsia="zh-CN"/>
        </w:rPr>
        <w:t>”</w:t>
      </w:r>
      <w:r>
        <w:rPr>
          <w:rFonts w:hint="default" w:ascii="Times New Roman" w:hAnsi="Times New Roman" w:cs="Times New Roman"/>
          <w:color w:val="auto"/>
        </w:rPr>
        <w:t>生态环境监测网络体系，重点开展行政区域内各级各类自然保护地生态环境监测工作。</w:t>
      </w:r>
    </w:p>
    <w:p>
      <w:pPr>
        <w:pStyle w:val="27"/>
        <w:rPr>
          <w:rFonts w:hint="default" w:ascii="Times New Roman" w:hAnsi="Times New Roman" w:eastAsia="仿宋_GB2312" w:cs="Times New Roman"/>
          <w:color w:val="auto"/>
        </w:rPr>
      </w:pPr>
      <w:r>
        <w:rPr>
          <w:rFonts w:hint="eastAsia" w:ascii="楷体_GB2312" w:hAnsi="楷体_GB2312" w:eastAsia="楷体_GB2312" w:cs="楷体_GB2312"/>
          <w:color w:val="auto"/>
          <w:lang w:eastAsia="zh-CN"/>
        </w:rPr>
        <w:t>配合</w:t>
      </w:r>
      <w:r>
        <w:rPr>
          <w:rFonts w:hint="eastAsia" w:ascii="楷体_GB2312" w:hAnsi="楷体_GB2312" w:eastAsia="楷体_GB2312" w:cs="楷体_GB2312"/>
          <w:color w:val="auto"/>
        </w:rPr>
        <w:t>推</w:t>
      </w:r>
      <w:r>
        <w:rPr>
          <w:rFonts w:hint="eastAsia" w:ascii="楷体_GB2312" w:hAnsi="楷体_GB2312" w:eastAsia="楷体_GB2312" w:cs="楷体_GB2312"/>
          <w:color w:val="auto"/>
          <w:lang w:eastAsia="zh-CN"/>
        </w:rPr>
        <w:t>进</w:t>
      </w:r>
      <w:r>
        <w:rPr>
          <w:rFonts w:hint="eastAsia" w:ascii="楷体_GB2312" w:hAnsi="楷体_GB2312" w:eastAsia="楷体_GB2312" w:cs="楷体_GB2312"/>
          <w:color w:val="auto"/>
        </w:rPr>
        <w:t>国家公园创建</w:t>
      </w:r>
      <w:r>
        <w:rPr>
          <w:rFonts w:hint="eastAsia" w:ascii="楷体_GB2312" w:hAnsi="楷体_GB2312" w:eastAsia="楷体_GB2312" w:cs="楷体_GB2312"/>
          <w:color w:val="auto"/>
          <w:lang w:eastAsia="zh-CN"/>
        </w:rPr>
        <w:t>。</w:t>
      </w:r>
      <w:r>
        <w:rPr>
          <w:rFonts w:hint="eastAsia" w:cs="Times New Roman"/>
          <w:color w:val="auto"/>
          <w:lang w:eastAsia="zh-CN"/>
        </w:rPr>
        <w:t>加快构建以国家公园为主体的自然保护地体系</w:t>
      </w:r>
      <w:r>
        <w:rPr>
          <w:rFonts w:hint="default" w:ascii="Times New Roman" w:hAnsi="Times New Roman" w:eastAsia="仿宋_GB2312" w:cs="Times New Roman"/>
          <w:color w:val="auto"/>
        </w:rPr>
        <w:t>。主动融入全国国家公园总体布局，以加强自然生态系统原真性、完整性保护为基础，突出保护南岭山地森林及生物多样性、丹霞地貌、水源涵养地等核心功能的定位，积极配合省创建以完整森林生态系统、珍稀野生动植物种群、丹霞地貌地质资源为特色的南岭国家公园和丹霞山国家公园。</w:t>
      </w:r>
    </w:p>
    <w:p>
      <w:pPr>
        <w:pStyle w:val="5"/>
        <w:spacing w:before="0" w:after="0"/>
        <w:ind w:firstLine="640" w:firstLineChars="200"/>
        <w:rPr>
          <w:rFonts w:hint="default" w:ascii="黑体" w:hAnsi="黑体" w:eastAsia="黑体" w:cs="黑体"/>
          <w:b w:val="0"/>
          <w:bCs w:val="0"/>
          <w:color w:val="auto"/>
          <w:lang w:val="en-US" w:eastAsia="zh-CN"/>
        </w:rPr>
      </w:pPr>
      <w:bookmarkStart w:id="1400" w:name="_Toc60"/>
      <w:bookmarkStart w:id="1401" w:name="_Toc7687"/>
      <w:bookmarkStart w:id="1402" w:name="_Toc4891"/>
      <w:bookmarkStart w:id="1403" w:name="_Toc30836"/>
      <w:bookmarkStart w:id="1404" w:name="_Toc4779"/>
      <w:bookmarkStart w:id="1405" w:name="_Toc13559"/>
      <w:bookmarkStart w:id="1406" w:name="_Toc30160"/>
      <w:bookmarkStart w:id="1407" w:name="_Toc19753"/>
      <w:bookmarkStart w:id="1408" w:name="_Toc22223"/>
      <w:r>
        <w:rPr>
          <w:rFonts w:hint="eastAsia" w:ascii="黑体" w:hAnsi="黑体" w:eastAsia="黑体" w:cs="黑体"/>
          <w:b w:val="0"/>
          <w:bCs w:val="0"/>
          <w:color w:val="auto"/>
          <w:lang w:val="en-US" w:eastAsia="zh-CN"/>
        </w:rPr>
        <w:t>三</w:t>
      </w:r>
      <w:r>
        <w:rPr>
          <w:rFonts w:hint="default" w:ascii="黑体" w:hAnsi="黑体" w:eastAsia="黑体" w:cs="黑体"/>
          <w:b w:val="0"/>
          <w:bCs w:val="0"/>
          <w:color w:val="auto"/>
          <w:lang w:val="en-US" w:eastAsia="zh-CN"/>
        </w:rPr>
        <w:t>、</w:t>
      </w:r>
      <w:r>
        <w:rPr>
          <w:rFonts w:hint="eastAsia" w:ascii="黑体" w:hAnsi="黑体" w:eastAsia="黑体" w:cs="黑体"/>
          <w:b w:val="0"/>
          <w:bCs w:val="0"/>
          <w:color w:val="auto"/>
          <w:lang w:val="en-US" w:eastAsia="zh-CN"/>
        </w:rPr>
        <w:t>建立完善生态保护监管体系</w:t>
      </w:r>
      <w:bookmarkEnd w:id="1400"/>
      <w:bookmarkEnd w:id="1401"/>
      <w:bookmarkEnd w:id="1402"/>
      <w:bookmarkEnd w:id="1403"/>
      <w:bookmarkEnd w:id="1404"/>
      <w:bookmarkEnd w:id="1405"/>
      <w:bookmarkEnd w:id="1406"/>
      <w:bookmarkEnd w:id="1407"/>
      <w:bookmarkEnd w:id="1408"/>
    </w:p>
    <w:p>
      <w:pPr>
        <w:pStyle w:val="27"/>
        <w:rPr>
          <w:rFonts w:hint="default" w:ascii="Times New Roman" w:hAnsi="Times New Roman" w:eastAsia="仿宋_GB2312" w:cs="Times New Roman"/>
          <w:color w:val="auto"/>
        </w:rPr>
      </w:pPr>
      <w:r>
        <w:rPr>
          <w:rFonts w:hint="eastAsia"/>
          <w:color w:val="auto"/>
          <w:sz w:val="32"/>
          <w:szCs w:val="32"/>
          <w:lang w:eastAsia="zh-CN"/>
        </w:rPr>
        <w:t>强化</w:t>
      </w:r>
      <w:r>
        <w:rPr>
          <w:rFonts w:hint="eastAsia"/>
          <w:color w:val="auto"/>
          <w:sz w:val="32"/>
          <w:szCs w:val="32"/>
        </w:rPr>
        <w:t>对自然资源开发利用活动、重要生态环境建设和生态修复等工作的监督管理，健全自然生态保护监管体系，加快实现生态保护领域全过程监管的制度化、法治化、规范化。</w:t>
      </w:r>
      <w:r>
        <w:rPr>
          <w:rFonts w:hint="eastAsia"/>
          <w:color w:val="auto"/>
          <w:sz w:val="32"/>
        </w:rPr>
        <w:t>按照国家</w:t>
      </w:r>
      <w:r>
        <w:rPr>
          <w:rFonts w:hint="eastAsia"/>
          <w:color w:val="auto"/>
          <w:sz w:val="32"/>
          <w:lang w:val="en-US" w:eastAsia="zh-CN"/>
        </w:rPr>
        <w:t>和省</w:t>
      </w:r>
      <w:r>
        <w:rPr>
          <w:rFonts w:hint="eastAsia"/>
          <w:color w:val="auto"/>
          <w:sz w:val="32"/>
        </w:rPr>
        <w:t>统一部署，选择重要生态功能区、生态敏感脆弱区等重点区域开展生态状况调查评估，强化国家公园和其他自然保护地、生态保护红线、县域重点生态功能区遥感监测评估。</w:t>
      </w:r>
      <w:r>
        <w:rPr>
          <w:rFonts w:hint="eastAsia"/>
          <w:color w:val="auto"/>
          <w:sz w:val="32"/>
          <w:szCs w:val="32"/>
        </w:rPr>
        <w:t>开展生物物种调查评估，构建野生动植物监测、监管与评价预警系统。</w:t>
      </w:r>
    </w:p>
    <w:bookmarkEnd w:id="1376"/>
    <w:bookmarkEnd w:id="1377"/>
    <w:bookmarkEnd w:id="1378"/>
    <w:bookmarkEnd w:id="1379"/>
    <w:bookmarkEnd w:id="1380"/>
    <w:bookmarkEnd w:id="1390"/>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409" w:name="_Toc23192"/>
      <w:bookmarkStart w:id="1410" w:name="_Toc25462"/>
      <w:bookmarkStart w:id="1411" w:name="_Toc27567"/>
      <w:bookmarkStart w:id="1412" w:name="_Toc20625"/>
      <w:bookmarkStart w:id="1413" w:name="_Toc953"/>
      <w:bookmarkStart w:id="1414" w:name="_Toc5582"/>
      <w:bookmarkStart w:id="1415" w:name="_Toc18627"/>
      <w:bookmarkStart w:id="1416" w:name="_Toc12726"/>
      <w:bookmarkStart w:id="1417" w:name="_Toc20099"/>
      <w:bookmarkStart w:id="1418" w:name="_Toc10350"/>
      <w:bookmarkStart w:id="1419" w:name="_Toc6365"/>
      <w:bookmarkStart w:id="1420" w:name="_Toc14868"/>
      <w:bookmarkStart w:id="1421" w:name="_Toc18099"/>
      <w:bookmarkStart w:id="1422" w:name="_Toc4340"/>
      <w:bookmarkStart w:id="1423" w:name="_Toc30920"/>
      <w:bookmarkStart w:id="1424" w:name="_Toc2359"/>
      <w:bookmarkStart w:id="1425" w:name="_Toc27238"/>
      <w:bookmarkStart w:id="1426" w:name="_Toc9697"/>
      <w:bookmarkStart w:id="1427" w:name="_Toc2965"/>
      <w:bookmarkStart w:id="1428" w:name="_Toc17462"/>
      <w:bookmarkStart w:id="1429" w:name="_Toc22193"/>
      <w:bookmarkStart w:id="1430" w:name="_Toc26425"/>
      <w:bookmarkStart w:id="1431" w:name="_Toc12118"/>
      <w:bookmarkStart w:id="1432" w:name="_Toc38"/>
      <w:r>
        <w:rPr>
          <w:rFonts w:hint="default" w:ascii="黑体" w:hAnsi="黑体" w:eastAsia="黑体" w:cs="黑体"/>
          <w:b w:val="0"/>
          <w:bCs w:val="0"/>
          <w:color w:val="auto"/>
          <w:kern w:val="2"/>
          <w:sz w:val="32"/>
        </w:rPr>
        <w:t>第二节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推动实施重大生态保护修复工</w:t>
      </w:r>
      <w:bookmarkEnd w:id="1409"/>
      <w:r>
        <w:rPr>
          <w:rFonts w:hint="default" w:ascii="黑体" w:hAnsi="黑体" w:eastAsia="黑体" w:cs="黑体"/>
          <w:b w:val="0"/>
          <w:bCs w:val="0"/>
          <w:color w:val="auto"/>
          <w:kern w:val="2"/>
          <w:sz w:val="32"/>
        </w:rPr>
        <w:t>程</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pPr>
        <w:pStyle w:val="27"/>
        <w:rPr>
          <w:rFonts w:hint="default"/>
        </w:rPr>
      </w:pPr>
      <w:bookmarkStart w:id="1433" w:name="_Toc9974"/>
      <w:bookmarkStart w:id="1434" w:name="_Toc14082"/>
      <w:bookmarkStart w:id="1435" w:name="_Toc7068"/>
      <w:bookmarkStart w:id="1436" w:name="_Toc29422"/>
      <w:bookmarkStart w:id="1437" w:name="_Toc14549"/>
      <w:r>
        <w:rPr>
          <w:rFonts w:hint="default"/>
        </w:rPr>
        <w:t>统筹山水林田湖草一体化保护和修复，加强陆地、湿地等生态系统保护修复，提升生态系统功能。</w:t>
      </w:r>
    </w:p>
    <w:p>
      <w:pPr>
        <w:pStyle w:val="5"/>
        <w:spacing w:before="0" w:after="0"/>
        <w:ind w:firstLine="640" w:firstLineChars="200"/>
        <w:rPr>
          <w:rFonts w:hint="default" w:ascii="黑体" w:hAnsi="黑体" w:eastAsia="黑体" w:cs="黑体"/>
          <w:b w:val="0"/>
          <w:bCs w:val="0"/>
          <w:color w:val="auto"/>
          <w:lang w:val="en-US" w:eastAsia="zh-CN"/>
        </w:rPr>
      </w:pPr>
      <w:bookmarkStart w:id="1438" w:name="_Toc13529"/>
      <w:bookmarkStart w:id="1439" w:name="_Toc30534"/>
      <w:bookmarkStart w:id="1440" w:name="_Toc20689"/>
      <w:bookmarkStart w:id="1441" w:name="_Toc23367"/>
      <w:bookmarkStart w:id="1442" w:name="_Toc18245"/>
      <w:bookmarkStart w:id="1443" w:name="_Toc27269"/>
      <w:bookmarkStart w:id="1444" w:name="_Toc27862"/>
      <w:bookmarkStart w:id="1445" w:name="_Toc17925"/>
      <w:bookmarkStart w:id="1446" w:name="_Toc13072"/>
      <w:bookmarkStart w:id="1447" w:name="_Toc1450"/>
      <w:r>
        <w:rPr>
          <w:rFonts w:hint="eastAsia" w:ascii="黑体" w:hAnsi="黑体" w:eastAsia="黑体" w:cs="黑体"/>
          <w:b w:val="0"/>
          <w:bCs w:val="0"/>
          <w:color w:val="auto"/>
          <w:lang w:val="en-US" w:eastAsia="zh-CN"/>
        </w:rPr>
        <w:t>一、</w:t>
      </w:r>
      <w:r>
        <w:rPr>
          <w:rFonts w:hint="default" w:ascii="黑体" w:hAnsi="黑体" w:eastAsia="黑体" w:cs="黑体"/>
          <w:b w:val="0"/>
          <w:bCs w:val="0"/>
          <w:color w:val="auto"/>
          <w:lang w:val="en-US" w:eastAsia="zh-CN"/>
        </w:rPr>
        <w:t>加强重要生态系统保护修复</w:t>
      </w:r>
      <w:bookmarkEnd w:id="1438"/>
      <w:bookmarkEnd w:id="1439"/>
      <w:bookmarkEnd w:id="1440"/>
      <w:bookmarkEnd w:id="1441"/>
      <w:bookmarkEnd w:id="1442"/>
      <w:bookmarkEnd w:id="1443"/>
      <w:bookmarkEnd w:id="1444"/>
      <w:bookmarkEnd w:id="1445"/>
      <w:bookmarkEnd w:id="1446"/>
      <w:bookmarkEnd w:id="1447"/>
    </w:p>
    <w:p>
      <w:pPr>
        <w:widowControl w:val="0"/>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val="0"/>
          <w:bCs w:val="0"/>
          <w:color w:val="auto"/>
          <w:sz w:val="32"/>
          <w:szCs w:val="32"/>
        </w:rPr>
        <w:t>推进湿地恢复与建设</w:t>
      </w:r>
      <w:r>
        <w:rPr>
          <w:rFonts w:hint="eastAsia" w:ascii="楷体_GB2312" w:hAnsi="楷体_GB2312" w:eastAsia="楷体_GB2312" w:cs="楷体_GB2312"/>
          <w:b w:val="0"/>
          <w:bCs w:val="0"/>
          <w:color w:val="auto"/>
          <w:sz w:val="32"/>
          <w:szCs w:val="32"/>
          <w:lang w:eastAsia="zh-CN"/>
        </w:rPr>
        <w:t>。</w:t>
      </w:r>
      <w:r>
        <w:rPr>
          <w:rFonts w:hint="eastAsia" w:ascii="仿宋_GB2312" w:hAnsi="仿宋_GB2312" w:eastAsia="仿宋_GB2312" w:cs="仿宋_GB2312"/>
          <w:color w:val="auto"/>
          <w:sz w:val="32"/>
          <w:szCs w:val="32"/>
        </w:rPr>
        <w:t>根据河湖湿地受损情况分析结果，针对湿地面积萎缩、重要物种生境受损等问题，采取不同的保护与修复措施，优先开展重要湿地、湿地自然保护地内以及水鸟生态廊道的退化湿地生态修复和湿地生境恢复。保护修复具有生物多样性丰富特征和珍稀濒危物种集中分布、繁殖、栖息的重点湿地，不断增强湿地生态系统的稳定性。稳步实施湿地保育与建设，自然保护地和湿地公园实行优先保护和修复，恢复原有湿地，扩大湿地保护面积，保障湿地水环境质量优良。至2025年，湿地保护率达到52%，恢复（建设）湿地面积663</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rPr>
        <w:t>5亩。</w:t>
      </w:r>
    </w:p>
    <w:p>
      <w:pPr>
        <w:pStyle w:val="27"/>
        <w:rPr>
          <w:rFonts w:hint="default" w:ascii="Times New Roman" w:hAnsi="Times New Roman" w:eastAsia="仿宋_GB2312" w:cs="Times New Roman"/>
          <w:bCs/>
          <w:color w:val="auto"/>
          <w:lang w:eastAsia="zh-CN"/>
        </w:rPr>
      </w:pPr>
      <w:r>
        <w:rPr>
          <w:rFonts w:hint="eastAsia" w:ascii="楷体_GB2312" w:hAnsi="楷体_GB2312" w:eastAsia="楷体_GB2312" w:cs="楷体_GB2312"/>
          <w:b w:val="0"/>
          <w:bCs w:val="0"/>
          <w:color w:val="auto"/>
          <w:sz w:val="32"/>
          <w:szCs w:val="32"/>
        </w:rPr>
        <w:t>石漠化综合治理</w:t>
      </w:r>
      <w:r>
        <w:rPr>
          <w:rFonts w:hint="eastAsia" w:ascii="楷体_GB2312" w:hAnsi="楷体_GB2312" w:eastAsia="楷体_GB2312" w:cs="楷体_GB2312"/>
          <w:b w:val="0"/>
          <w:bCs w:val="0"/>
          <w:color w:val="auto"/>
          <w:sz w:val="32"/>
          <w:szCs w:val="32"/>
          <w:lang w:eastAsia="zh-CN"/>
        </w:rPr>
        <w:t>。</w:t>
      </w:r>
      <w:r>
        <w:rPr>
          <w:rFonts w:hint="eastAsia" w:ascii="仿宋_GB2312" w:hAnsi="仿宋_GB2312" w:cs="仿宋_GB2312"/>
          <w:color w:val="auto"/>
        </w:rPr>
        <w:t>结合碳汇造林工程，加强石漠化岩溶地区森林资源保护管理、植被恢复和水土流失治理，改善石漠化地区的生态环境，提高区域生态承载力。按照</w:t>
      </w:r>
      <w:r>
        <w:rPr>
          <w:rFonts w:hint="eastAsia" w:ascii="仿宋_GB2312" w:hAnsi="仿宋_GB2312" w:cs="仿宋_GB2312"/>
          <w:color w:val="auto"/>
          <w:lang w:eastAsia="zh-CN"/>
        </w:rPr>
        <w:t>“</w:t>
      </w:r>
      <w:r>
        <w:rPr>
          <w:rFonts w:hint="eastAsia" w:ascii="仿宋_GB2312" w:hAnsi="仿宋_GB2312" w:cs="仿宋_GB2312"/>
          <w:color w:val="auto"/>
        </w:rPr>
        <w:t>以封为主，封、管、造、节并举</w:t>
      </w:r>
      <w:r>
        <w:rPr>
          <w:rFonts w:hint="eastAsia" w:ascii="仿宋_GB2312" w:hAnsi="仿宋_GB2312" w:cs="仿宋_GB2312"/>
          <w:color w:val="auto"/>
          <w:lang w:eastAsia="zh-CN"/>
        </w:rPr>
        <w:t>”</w:t>
      </w:r>
      <w:r>
        <w:rPr>
          <w:rFonts w:hint="eastAsia" w:ascii="仿宋_GB2312" w:hAnsi="仿宋_GB2312" w:cs="仿宋_GB2312"/>
          <w:color w:val="auto"/>
        </w:rPr>
        <w:t>原则，采取高规格挖穴换土、抚育追肥等措施，加大石漠化和红砂岩地区造林力度。在石灰岩地区优先发展良种油茶、金银花、光皮树等经济树种植，实现石漠化治理的同时提升林地产出效益</w:t>
      </w:r>
      <w:r>
        <w:rPr>
          <w:rFonts w:hint="eastAsia" w:ascii="仿宋_GB2312" w:hAnsi="仿宋_GB2312" w:cs="仿宋_GB2312"/>
          <w:color w:val="auto"/>
          <w:lang w:eastAsia="zh-CN"/>
        </w:rPr>
        <w:t>。</w:t>
      </w:r>
      <w:r>
        <w:rPr>
          <w:rFonts w:hint="eastAsia" w:ascii="仿宋_GB2312" w:hAnsi="仿宋_GB2312" w:cs="仿宋_GB2312"/>
          <w:color w:val="auto"/>
        </w:rPr>
        <w:t>初步建立起水土保持监测网络体系和水土保持信息化网络平台，构建水土保持监测自动化系统和预报系统；开展大中型生产建设项目水土保持动态监测，建立健全水土保持监督管理机构</w:t>
      </w:r>
      <w:r>
        <w:rPr>
          <w:rFonts w:hint="eastAsia" w:ascii="仿宋_GB2312" w:hAnsi="仿宋_GB2312" w:cs="仿宋_GB2312"/>
          <w:color w:val="auto"/>
          <w:lang w:eastAsia="zh-CN"/>
        </w:rPr>
        <w:t>。</w:t>
      </w:r>
    </w:p>
    <w:p>
      <w:pPr>
        <w:pStyle w:val="5"/>
        <w:spacing w:before="0" w:after="0"/>
        <w:ind w:firstLine="640" w:firstLineChars="200"/>
        <w:rPr>
          <w:rFonts w:hint="eastAsia" w:ascii="黑体" w:hAnsi="黑体" w:eastAsia="黑体" w:cs="黑体"/>
          <w:b w:val="0"/>
          <w:bCs w:val="0"/>
          <w:color w:val="auto"/>
          <w:lang w:val="en-US" w:eastAsia="zh-CN"/>
        </w:rPr>
      </w:pPr>
      <w:bookmarkStart w:id="1448" w:name="_Toc29036"/>
      <w:bookmarkStart w:id="1449" w:name="_Toc22582"/>
      <w:bookmarkStart w:id="1450" w:name="_Toc19891"/>
      <w:bookmarkStart w:id="1451" w:name="_Toc34"/>
      <w:bookmarkStart w:id="1452" w:name="_Toc4799"/>
      <w:bookmarkStart w:id="1453" w:name="_Toc9207"/>
      <w:bookmarkStart w:id="1454" w:name="_Toc13831"/>
      <w:bookmarkStart w:id="1455" w:name="_Toc1899"/>
      <w:bookmarkStart w:id="1456" w:name="_Toc27731"/>
      <w:r>
        <w:rPr>
          <w:rFonts w:hint="eastAsia" w:ascii="黑体" w:hAnsi="黑体" w:eastAsia="黑体" w:cs="黑体"/>
          <w:b w:val="0"/>
          <w:bCs w:val="0"/>
          <w:color w:val="auto"/>
          <w:lang w:val="en-US" w:eastAsia="zh-CN"/>
        </w:rPr>
        <w:t>二、加大重点区域生态治理修复</w:t>
      </w:r>
      <w:bookmarkEnd w:id="1448"/>
      <w:bookmarkEnd w:id="1449"/>
      <w:bookmarkEnd w:id="1450"/>
      <w:bookmarkEnd w:id="1451"/>
      <w:bookmarkEnd w:id="1452"/>
      <w:bookmarkEnd w:id="1453"/>
      <w:bookmarkEnd w:id="1454"/>
      <w:bookmarkEnd w:id="1455"/>
      <w:bookmarkEnd w:id="1456"/>
    </w:p>
    <w:p>
      <w:pPr>
        <w:pStyle w:val="27"/>
        <w:rPr>
          <w:rFonts w:hint="eastAsia"/>
        </w:rPr>
      </w:pPr>
      <w:r>
        <w:rPr>
          <w:rFonts w:hint="eastAsia" w:ascii="楷体_GB2312" w:hAnsi="楷体_GB2312" w:eastAsia="楷体_GB2312" w:cs="楷体_GB2312"/>
          <w:b w:val="0"/>
          <w:bCs w:val="0"/>
        </w:rPr>
        <w:t>高质量建设韶关市万里碧道</w:t>
      </w:r>
      <w:r>
        <w:rPr>
          <w:rFonts w:hint="eastAsia" w:ascii="楷体_GB2312" w:hAnsi="楷体_GB2312" w:eastAsia="楷体_GB2312" w:cs="楷体_GB2312"/>
          <w:b w:val="0"/>
          <w:bCs w:val="0"/>
          <w:lang w:eastAsia="zh-CN"/>
        </w:rPr>
        <w:t>。</w:t>
      </w:r>
      <w:r>
        <w:rPr>
          <w:rFonts w:hint="eastAsia"/>
        </w:rPr>
        <w:t>以水为纽带，以江河湖库及河口岸带为载体，统筹生态、安全、文化、景观和休闲功能</w:t>
      </w:r>
      <w:r>
        <w:rPr>
          <w:rFonts w:hint="eastAsia"/>
          <w:lang w:eastAsia="zh-CN"/>
        </w:rPr>
        <w:t>，</w:t>
      </w:r>
      <w:r>
        <w:rPr>
          <w:rFonts w:hint="eastAsia"/>
        </w:rPr>
        <w:t>建立优化廊道的生态、生活、生产空间格局，形成碧水畅流、江河安澜的行洪通道，水清岸绿、鱼翔浅底的生态廊道。重点打造北江南岭山水画廊碧道。</w:t>
      </w:r>
      <w:r>
        <w:rPr>
          <w:rFonts w:hint="eastAsia"/>
          <w:lang w:eastAsia="zh-CN"/>
        </w:rPr>
        <w:t>“</w:t>
      </w:r>
      <w:r>
        <w:rPr>
          <w:rFonts w:hint="eastAsia"/>
        </w:rPr>
        <w:t>十四五</w:t>
      </w:r>
      <w:r>
        <w:rPr>
          <w:rFonts w:hint="eastAsia"/>
          <w:lang w:eastAsia="zh-CN"/>
        </w:rPr>
        <w:t>”</w:t>
      </w:r>
      <w:r>
        <w:rPr>
          <w:rFonts w:hint="eastAsia"/>
        </w:rPr>
        <w:t>期间，建成规划碧道总长度601.6km。全市主要碧道网络基本形成。</w:t>
      </w:r>
    </w:p>
    <w:p>
      <w:pPr>
        <w:pStyle w:val="27"/>
        <w:widowControl w:val="0"/>
        <w:wordWrap/>
        <w:adjustRightInd/>
        <w:snapToGrid/>
        <w:textAlignment w:val="auto"/>
        <w:outlineLvl w:val="9"/>
        <w:rPr>
          <w:rFonts w:hint="eastAsia"/>
        </w:rPr>
      </w:pPr>
      <w:r>
        <w:rPr>
          <w:rFonts w:hint="eastAsia" w:ascii="楷体_GB2312" w:hAnsi="楷体_GB2312" w:eastAsia="楷体_GB2312" w:cs="楷体_GB2312"/>
          <w:b w:val="0"/>
          <w:bCs w:val="0"/>
        </w:rPr>
        <w:t>推进</w:t>
      </w:r>
      <w:r>
        <w:rPr>
          <w:rFonts w:hint="eastAsia" w:ascii="楷体_GB2312" w:hAnsi="楷体_GB2312" w:eastAsia="楷体_GB2312" w:cs="楷体_GB2312"/>
          <w:b w:val="0"/>
          <w:bCs w:val="0"/>
          <w:lang w:eastAsia="zh-CN"/>
        </w:rPr>
        <w:t>“</w:t>
      </w:r>
      <w:r>
        <w:rPr>
          <w:rFonts w:hint="eastAsia" w:ascii="楷体_GB2312" w:hAnsi="楷体_GB2312" w:eastAsia="楷体_GB2312" w:cs="楷体_GB2312"/>
          <w:b w:val="0"/>
          <w:bCs w:val="0"/>
        </w:rPr>
        <w:t>美丽河湖</w:t>
      </w:r>
      <w:r>
        <w:rPr>
          <w:rFonts w:hint="eastAsia" w:ascii="楷体_GB2312" w:hAnsi="楷体_GB2312" w:eastAsia="楷体_GB2312" w:cs="楷体_GB2312"/>
          <w:b w:val="0"/>
          <w:bCs w:val="0"/>
          <w:lang w:eastAsia="zh-CN"/>
        </w:rPr>
        <w:t>”</w:t>
      </w:r>
      <w:r>
        <w:rPr>
          <w:rFonts w:hint="eastAsia" w:ascii="楷体_GB2312" w:hAnsi="楷体_GB2312" w:eastAsia="楷体_GB2312" w:cs="楷体_GB2312"/>
          <w:b w:val="0"/>
          <w:bCs w:val="0"/>
        </w:rPr>
        <w:t>试点建设</w:t>
      </w:r>
      <w:r>
        <w:rPr>
          <w:rFonts w:hint="eastAsia" w:ascii="楷体_GB2312" w:hAnsi="楷体_GB2312" w:eastAsia="楷体_GB2312" w:cs="楷体_GB2312"/>
          <w:b w:val="0"/>
          <w:bCs w:val="0"/>
          <w:lang w:eastAsia="zh-CN"/>
        </w:rPr>
        <w:t>。</w:t>
      </w:r>
      <w:r>
        <w:rPr>
          <w:rFonts w:hint="eastAsia"/>
        </w:rPr>
        <w:t>遵循山水林田湖草系统治理理念，以重要生态保护区、水源涵养区、江河源头区、重要湿地以及水生态脆弱和恶化区域为重点，实施水生态保护与修复。推进北江流域等一批水生态系统修复示范工程，打造一批</w:t>
      </w:r>
      <w:r>
        <w:rPr>
          <w:rFonts w:hint="eastAsia"/>
          <w:lang w:eastAsia="zh-CN"/>
        </w:rPr>
        <w:t>“</w:t>
      </w:r>
      <w:r>
        <w:rPr>
          <w:rFonts w:hint="eastAsia"/>
        </w:rPr>
        <w:t>清水绿岸、鱼翔浅底</w:t>
      </w:r>
      <w:r>
        <w:rPr>
          <w:rFonts w:hint="eastAsia"/>
          <w:lang w:eastAsia="zh-CN"/>
        </w:rPr>
        <w:t>”</w:t>
      </w:r>
      <w:r>
        <w:rPr>
          <w:rFonts w:hint="eastAsia"/>
        </w:rPr>
        <w:t>的省级美丽河湖典范，提升水生态环境状况和广大群众生活幸福感。结合南岭国家公园的创建和古驿道的建设，到2025年，重点打造丹霞碧道、南水水库和孔江水库为全省</w:t>
      </w:r>
      <w:r>
        <w:rPr>
          <w:rFonts w:hint="eastAsia"/>
          <w:lang w:eastAsia="zh-CN"/>
        </w:rPr>
        <w:t>乃</w:t>
      </w:r>
      <w:r>
        <w:rPr>
          <w:rFonts w:hint="eastAsia"/>
        </w:rPr>
        <w:t>至全国知名的美丽河湖生态品牌。</w:t>
      </w:r>
    </w:p>
    <w:p>
      <w:pPr>
        <w:pStyle w:val="27"/>
        <w:widowControl w:val="0"/>
        <w:wordWrap/>
        <w:adjustRightInd/>
        <w:snapToGrid/>
        <w:textAlignment w:val="auto"/>
        <w:outlineLvl w:val="9"/>
        <w:rPr>
          <w:rFonts w:hint="eastAsia"/>
        </w:rPr>
      </w:pPr>
      <w:r>
        <w:rPr>
          <w:rFonts w:hint="eastAsia" w:ascii="楷体_GB2312" w:hAnsi="楷体_GB2312" w:eastAsia="楷体_GB2312" w:cs="楷体_GB2312"/>
          <w:b w:val="0"/>
          <w:bCs w:val="0"/>
        </w:rPr>
        <w:t>推进绿色矿山示范创建</w:t>
      </w:r>
      <w:r>
        <w:rPr>
          <w:rFonts w:hint="eastAsia" w:ascii="楷体_GB2312" w:hAnsi="楷体_GB2312" w:eastAsia="楷体_GB2312" w:cs="楷体_GB2312"/>
          <w:b w:val="0"/>
          <w:bCs w:val="0"/>
          <w:lang w:eastAsia="zh-CN"/>
        </w:rPr>
        <w:t>。</w:t>
      </w:r>
      <w:r>
        <w:rPr>
          <w:rFonts w:hint="default"/>
        </w:rPr>
        <w:t>以韶关绿色矿业发展示范区建设为契机，明确绿色矿山建设的目标、任务和实现路径，研究完善激励政策，促进矿地融合发展，推动矿业产业转型升级，构建绿色矿业发展长效机制。在大宝山矿、凡口铅锌矿、乐昌铅锌矿等重点矿山及其周边区域开展矿区地质环境综合治理和矿山生态修复工程，针对历史遗留矿山地质环境问题实施矿山复垦复绿工程。推动尾矿库修复和尾矿资源综合利用。</w:t>
      </w:r>
    </w:p>
    <w:bookmarkEnd w:id="1433"/>
    <w:bookmarkEnd w:id="1434"/>
    <w:bookmarkEnd w:id="1435"/>
    <w:bookmarkEnd w:id="1436"/>
    <w:bookmarkEnd w:id="1437"/>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457" w:name="_Toc3866"/>
      <w:bookmarkStart w:id="1458" w:name="_Toc10299"/>
      <w:bookmarkStart w:id="1459" w:name="_Toc11150"/>
      <w:bookmarkStart w:id="1460" w:name="_Toc21452"/>
      <w:bookmarkStart w:id="1461" w:name="_Toc19055"/>
      <w:bookmarkStart w:id="1462" w:name="_Toc13387"/>
      <w:bookmarkStart w:id="1463" w:name="_Toc30908"/>
      <w:bookmarkStart w:id="1464" w:name="_Toc12504"/>
      <w:bookmarkStart w:id="1465" w:name="_Toc14929"/>
      <w:bookmarkStart w:id="1466" w:name="_Toc5067"/>
      <w:bookmarkStart w:id="1467" w:name="_Toc4197"/>
      <w:bookmarkStart w:id="1468" w:name="_Toc30572"/>
      <w:bookmarkStart w:id="1469" w:name="_Toc8529"/>
      <w:bookmarkStart w:id="1470" w:name="_Toc16402"/>
      <w:bookmarkStart w:id="1471" w:name="_Toc4317"/>
      <w:bookmarkStart w:id="1472" w:name="_Toc15850"/>
      <w:bookmarkStart w:id="1473" w:name="_Toc9794"/>
      <w:bookmarkStart w:id="1474" w:name="_Toc21138"/>
      <w:bookmarkStart w:id="1475" w:name="_Toc18933"/>
      <w:bookmarkStart w:id="1476" w:name="_Toc17513"/>
      <w:bookmarkStart w:id="1477" w:name="_Toc31214"/>
      <w:bookmarkStart w:id="1478" w:name="_Toc21403"/>
      <w:bookmarkStart w:id="1479" w:name="_Toc15986"/>
      <w:bookmarkStart w:id="1480" w:name="_Toc32103"/>
      <w:r>
        <w:rPr>
          <w:rFonts w:hint="default" w:ascii="黑体" w:hAnsi="黑体" w:eastAsia="黑体" w:cs="黑体"/>
          <w:b w:val="0"/>
          <w:bCs w:val="0"/>
          <w:color w:val="auto"/>
          <w:kern w:val="2"/>
          <w:sz w:val="32"/>
        </w:rPr>
        <w:t>第三节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维护生物多样</w:t>
      </w:r>
      <w:bookmarkEnd w:id="1457"/>
      <w:r>
        <w:rPr>
          <w:rFonts w:hint="default" w:ascii="黑体" w:hAnsi="黑体" w:eastAsia="黑体" w:cs="黑体"/>
          <w:b w:val="0"/>
          <w:bCs w:val="0"/>
          <w:color w:val="auto"/>
          <w:kern w:val="2"/>
          <w:sz w:val="32"/>
        </w:rPr>
        <w:t>性</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pPr>
        <w:pStyle w:val="27"/>
        <w:rPr>
          <w:rFonts w:hint="default" w:ascii="Times New Roman" w:hAnsi="Times New Roman" w:cs="Times New Roman"/>
          <w:color w:val="auto"/>
        </w:rPr>
      </w:pPr>
      <w:bookmarkStart w:id="1481" w:name="_Toc30818"/>
      <w:bookmarkStart w:id="1482" w:name="_Toc20636"/>
      <w:bookmarkStart w:id="1483" w:name="_Toc2916"/>
      <w:bookmarkStart w:id="1484" w:name="_Toc31216"/>
      <w:bookmarkStart w:id="1485" w:name="_Toc16826"/>
      <w:bookmarkStart w:id="1486" w:name="_Toc16530"/>
      <w:r>
        <w:rPr>
          <w:rFonts w:hint="default" w:ascii="Times New Roman" w:hAnsi="Times New Roman" w:cs="Times New Roman"/>
          <w:color w:val="auto"/>
        </w:rPr>
        <w:t>以典型生态系统、典型物种为核心，实施生物多样性保护工程，健全生物入侵风险管理制度，提升生物多样性保护水平。</w:t>
      </w:r>
    </w:p>
    <w:p>
      <w:pPr>
        <w:pStyle w:val="5"/>
        <w:spacing w:before="0" w:after="0"/>
        <w:ind w:firstLine="640" w:firstLineChars="200"/>
        <w:rPr>
          <w:rFonts w:hint="default" w:ascii="黑体" w:hAnsi="黑体" w:eastAsia="黑体" w:cs="黑体"/>
          <w:b w:val="0"/>
          <w:bCs w:val="0"/>
          <w:color w:val="auto"/>
          <w:lang w:val="en-US" w:eastAsia="zh-CN"/>
        </w:rPr>
      </w:pPr>
      <w:bookmarkStart w:id="1487" w:name="_Toc5598"/>
      <w:bookmarkStart w:id="1488" w:name="_Toc27669"/>
      <w:bookmarkStart w:id="1489" w:name="_Toc27425"/>
      <w:bookmarkStart w:id="1490" w:name="_Toc25667"/>
      <w:bookmarkStart w:id="1491" w:name="_Toc17644"/>
      <w:bookmarkStart w:id="1492" w:name="_Toc27313"/>
      <w:bookmarkStart w:id="1493" w:name="_Toc10175"/>
      <w:bookmarkStart w:id="1494" w:name="_Toc1112"/>
      <w:bookmarkStart w:id="1495" w:name="_Toc15805"/>
      <w:r>
        <w:rPr>
          <w:rFonts w:hint="default" w:ascii="黑体" w:hAnsi="黑体" w:eastAsia="黑体" w:cs="黑体"/>
          <w:b w:val="0"/>
          <w:bCs w:val="0"/>
          <w:color w:val="auto"/>
          <w:lang w:val="en-US" w:eastAsia="zh-CN"/>
        </w:rPr>
        <w:t>一、建立完善典型生态系统和典型物种保护机制</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pPr>
        <w:pStyle w:val="27"/>
        <w:widowControl w:val="0"/>
        <w:wordWrap/>
        <w:adjustRightInd/>
        <w:snapToGrid/>
        <w:textAlignment w:val="auto"/>
        <w:outlineLvl w:val="9"/>
        <w:rPr>
          <w:rFonts w:hint="default"/>
        </w:rPr>
      </w:pPr>
      <w:r>
        <w:rPr>
          <w:rFonts w:hint="default"/>
        </w:rPr>
        <w:t>以南岭山地为重点，实施珍贵濒危野生动植物抢救性保护工程。加强保护以粤北南岭山地为代表的中亚热带常绿阔叶林带。实施生物多样性保护工程，到2025年，国家重点保护野生动植物物种种数保护率达到95%以上。</w:t>
      </w:r>
    </w:p>
    <w:p>
      <w:pPr>
        <w:pStyle w:val="27"/>
        <w:widowControl w:val="0"/>
        <w:wordWrap/>
        <w:adjustRightInd/>
        <w:snapToGrid/>
        <w:textAlignment w:val="auto"/>
        <w:outlineLvl w:val="9"/>
        <w:rPr>
          <w:rFonts w:hint="default"/>
        </w:rPr>
      </w:pPr>
      <w:r>
        <w:rPr>
          <w:rFonts w:hint="default"/>
        </w:rPr>
        <w:t>保护河流天然状态的浅滩、江心洲、河漫滩、天然堤坝、冲积扇以及河流阶地、滩涂、湿地等独特的河流地貌。提升森林、湿地、农田生态系统的保护与建设，在保护生态系统完整性的基础上，加强生态系统功能修复和质量提升</w:t>
      </w:r>
      <w:r>
        <w:rPr>
          <w:rFonts w:hint="eastAsia"/>
          <w:lang w:eastAsia="zh-CN"/>
        </w:rPr>
        <w:t>；</w:t>
      </w:r>
      <w:r>
        <w:rPr>
          <w:rFonts w:hint="default"/>
        </w:rPr>
        <w:t>根据各类生态系统特点，提出生物多样性保护相关要求。以珍稀濒危物种资源保护为重点，以保护重要物种栖息地及活动区域为主要手段，维护区域生物多样性水平。</w:t>
      </w:r>
    </w:p>
    <w:p>
      <w:pPr>
        <w:pStyle w:val="27"/>
        <w:rPr>
          <w:rFonts w:hint="default"/>
        </w:rPr>
      </w:pPr>
      <w:r>
        <w:rPr>
          <w:rFonts w:hint="default"/>
        </w:rPr>
        <w:t>进一步优化自然保护区结构和空间布局，依托武江、浈江、锦江、墨江、南水等北江主要水系，构建水鸟生态廊道空间合理布局。</w:t>
      </w:r>
    </w:p>
    <w:p>
      <w:pPr>
        <w:pStyle w:val="5"/>
        <w:spacing w:before="0" w:after="0"/>
        <w:ind w:firstLine="640" w:firstLineChars="200"/>
        <w:rPr>
          <w:rFonts w:hint="default" w:ascii="黑体" w:hAnsi="黑体" w:eastAsia="黑体" w:cs="黑体"/>
          <w:b w:val="0"/>
          <w:bCs w:val="0"/>
          <w:color w:val="auto"/>
          <w:lang w:val="en-US" w:eastAsia="zh-CN"/>
        </w:rPr>
      </w:pPr>
      <w:bookmarkStart w:id="1496" w:name="_Toc29348"/>
      <w:bookmarkStart w:id="1497" w:name="_Toc25124"/>
      <w:bookmarkStart w:id="1498" w:name="_Toc4234"/>
      <w:bookmarkStart w:id="1499" w:name="_Toc20797"/>
      <w:bookmarkStart w:id="1500" w:name="_Toc19047"/>
      <w:bookmarkStart w:id="1501" w:name="_Toc3093"/>
      <w:bookmarkStart w:id="1502" w:name="_Toc17598"/>
      <w:bookmarkStart w:id="1503" w:name="_Toc1197"/>
      <w:bookmarkStart w:id="1504" w:name="_Toc23937"/>
      <w:bookmarkStart w:id="1505" w:name="_Toc27630"/>
      <w:bookmarkStart w:id="1506" w:name="_Toc29012"/>
      <w:bookmarkStart w:id="1507" w:name="_Toc26218"/>
      <w:bookmarkStart w:id="1508" w:name="_Toc7034"/>
      <w:bookmarkStart w:id="1509" w:name="_Toc7271"/>
      <w:bookmarkStart w:id="1510" w:name="_Toc6854"/>
      <w:r>
        <w:rPr>
          <w:rFonts w:hint="default" w:ascii="黑体" w:hAnsi="黑体" w:eastAsia="黑体" w:cs="黑体"/>
          <w:b w:val="0"/>
          <w:bCs w:val="0"/>
          <w:color w:val="auto"/>
          <w:lang w:val="en-US" w:eastAsia="zh-CN"/>
        </w:rPr>
        <w:t>二、健全生物入侵风险管理制度</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pStyle w:val="27"/>
        <w:widowControl w:val="0"/>
        <w:wordWrap/>
        <w:adjustRightInd/>
        <w:snapToGrid/>
        <w:textAlignment w:val="auto"/>
        <w:outlineLvl w:val="9"/>
        <w:rPr>
          <w:rFonts w:hint="default"/>
        </w:rPr>
      </w:pPr>
      <w:r>
        <w:rPr>
          <w:rFonts w:hint="default"/>
        </w:rPr>
        <w:t>建立生物遗传资源获取与惠益分享机制，完善生物物种资源出入境管理制度，严防外来物种入侵。加强生物安全管理，建立针对红火蚁、薇甘菊、互花米草等外来入侵物种的监测预警及风险管理机制。</w:t>
      </w:r>
      <w:r>
        <w:rPr>
          <w:rFonts w:hint="eastAsia"/>
          <w:lang w:val="en-US" w:eastAsia="zh-CN"/>
        </w:rPr>
        <w:t>探索</w:t>
      </w:r>
      <w:r>
        <w:rPr>
          <w:rFonts w:hint="default"/>
        </w:rPr>
        <w:t>建立本地物种和特有种标本和基因库，加强基因多样性保护。</w:t>
      </w:r>
    </w:p>
    <w:p>
      <w:pPr>
        <w:pStyle w:val="27"/>
        <w:widowControl w:val="0"/>
        <w:wordWrap/>
        <w:adjustRightInd/>
        <w:snapToGrid/>
        <w:textAlignment w:val="auto"/>
        <w:outlineLvl w:val="9"/>
        <w:rPr>
          <w:rFonts w:hint="default"/>
        </w:rPr>
      </w:pPr>
      <w:r>
        <w:rPr>
          <w:rFonts w:hint="default"/>
        </w:rPr>
        <w:t>开展外来物种入侵情况的深入调查和研究，建立外来物种数据库，确定危害等级，建立生物多样性监测评估和预警体系，通过科学合理的管理措施和工程措施，逐步实现对生物入侵现象的严格管控，逐步消除有害物种入侵现象</w:t>
      </w:r>
      <w:r>
        <w:rPr>
          <w:rFonts w:hint="eastAsia"/>
          <w:lang w:eastAsia="zh-CN"/>
        </w:rPr>
        <w:t>，</w:t>
      </w:r>
      <w:r>
        <w:rPr>
          <w:rFonts w:hint="default"/>
        </w:rPr>
        <w:t>确保外来物种入侵不明显、不加剧。</w:t>
      </w:r>
    </w:p>
    <w:p>
      <w:pPr>
        <w:pStyle w:val="27"/>
        <w:widowControl w:val="0"/>
        <w:wordWrap/>
        <w:adjustRightInd/>
        <w:snapToGrid/>
        <w:textAlignment w:val="auto"/>
        <w:outlineLvl w:val="9"/>
        <w:rPr>
          <w:rFonts w:hint="default" w:ascii="Times New Roman" w:hAnsi="Times New Roman" w:eastAsia="仿宋_GB2312" w:cs="Times New Roman"/>
          <w:color w:val="auto"/>
          <w:szCs w:val="22"/>
        </w:rPr>
      </w:pPr>
    </w:p>
    <w:p>
      <w:pPr>
        <w:pStyle w:val="27"/>
        <w:rPr>
          <w:rFonts w:hint="default" w:ascii="Times New Roman" w:hAnsi="Times New Roman" w:eastAsia="仿宋_GB2312" w:cs="Times New Roman"/>
          <w:color w:val="auto"/>
          <w:kern w:val="2"/>
          <w:sz w:val="32"/>
          <w:szCs w:val="22"/>
        </w:rPr>
        <w:sectPr>
          <w:headerReference r:id="rId10" w:type="default"/>
          <w:pgSz w:w="11906" w:h="16838"/>
          <w:pgMar w:top="2098" w:right="1474" w:bottom="1984" w:left="1587" w:header="851" w:footer="851" w:gutter="0"/>
          <w:pgNumType w:fmt="numberInDash"/>
          <w:cols w:space="720" w:num="1"/>
          <w:docGrid w:type="linesAndChars" w:linePitch="312" w:charSpace="0"/>
        </w:sectPr>
      </w:pPr>
    </w:p>
    <w:bookmarkEnd w:id="32"/>
    <w:bookmarkEnd w:id="33"/>
    <w:p>
      <w:pPr>
        <w:pStyle w:val="3"/>
        <w:rPr>
          <w:rFonts w:hint="eastAsia" w:ascii="方正小标宋简体" w:hAnsi="方正小标宋简体" w:eastAsia="方正小标宋简体" w:cs="方正小标宋简体"/>
          <w:color w:val="auto"/>
          <w:sz w:val="36"/>
          <w:szCs w:val="44"/>
        </w:rPr>
      </w:pPr>
      <w:bookmarkStart w:id="1511" w:name="_Toc9334"/>
      <w:bookmarkStart w:id="1512" w:name="_Toc21912"/>
      <w:bookmarkStart w:id="1513" w:name="_Toc1469"/>
      <w:bookmarkStart w:id="1514" w:name="_Toc8175"/>
      <w:bookmarkStart w:id="1515" w:name="_Toc18904"/>
      <w:bookmarkStart w:id="1516" w:name="_Toc4228"/>
      <w:bookmarkStart w:id="1517" w:name="_Toc27206"/>
      <w:bookmarkStart w:id="1518" w:name="_Toc10567"/>
      <w:bookmarkStart w:id="1519" w:name="_Toc2104"/>
      <w:bookmarkStart w:id="1520" w:name="_Toc29335"/>
      <w:bookmarkStart w:id="1521" w:name="_Toc28045"/>
      <w:bookmarkStart w:id="1522" w:name="_Toc23852"/>
      <w:bookmarkStart w:id="1523" w:name="_Toc21150"/>
      <w:bookmarkStart w:id="1524" w:name="_Toc6710"/>
      <w:bookmarkStart w:id="1525" w:name="_Toc2142"/>
      <w:bookmarkStart w:id="1526" w:name="_Toc2840"/>
      <w:bookmarkStart w:id="1527" w:name="_Toc30771"/>
      <w:bookmarkStart w:id="1528" w:name="_Toc24645"/>
      <w:bookmarkStart w:id="1529" w:name="_Toc29449"/>
      <w:bookmarkStart w:id="1530" w:name="_Toc8721"/>
      <w:bookmarkStart w:id="1531" w:name="_Toc24084"/>
      <w:bookmarkStart w:id="1532" w:name="_Toc27974"/>
      <w:bookmarkStart w:id="1533" w:name="_Toc12391"/>
      <w:bookmarkStart w:id="1534" w:name="_Toc3060"/>
      <w:bookmarkStart w:id="1535" w:name="_Toc57663223"/>
      <w:r>
        <w:rPr>
          <w:rFonts w:hint="eastAsia" w:ascii="方正小标宋简体" w:hAnsi="方正小标宋简体" w:eastAsia="方正小标宋简体" w:cs="方正小标宋简体"/>
          <w:color w:val="auto"/>
          <w:sz w:val="36"/>
          <w:szCs w:val="44"/>
        </w:rPr>
        <w:t>第九章</w:t>
      </w:r>
      <w:r>
        <w:rPr>
          <w:rStyle w:val="36"/>
          <w:rFonts w:hint="eastAsia" w:ascii="方正小标宋简体" w:hAnsi="方正小标宋简体" w:eastAsia="方正小标宋简体" w:cs="方正小标宋简体"/>
          <w:bCs w:val="0"/>
          <w:color w:val="auto"/>
          <w:sz w:val="36"/>
          <w:szCs w:val="44"/>
          <w:lang w:eastAsia="zh-CN"/>
        </w:rPr>
        <w:t>　</w:t>
      </w:r>
      <w:r>
        <w:rPr>
          <w:rFonts w:hint="eastAsia" w:ascii="方正小标宋简体" w:hAnsi="方正小标宋简体" w:eastAsia="方正小标宋简体" w:cs="方正小标宋简体"/>
          <w:color w:val="auto"/>
          <w:sz w:val="36"/>
          <w:szCs w:val="44"/>
        </w:rPr>
        <w:t>强化底线思维，有效防范环境风</w:t>
      </w:r>
      <w:bookmarkEnd w:id="1511"/>
      <w:r>
        <w:rPr>
          <w:rFonts w:hint="eastAsia" w:ascii="方正小标宋简体" w:hAnsi="方正小标宋简体" w:eastAsia="方正小标宋简体" w:cs="方正小标宋简体"/>
          <w:color w:val="auto"/>
          <w:sz w:val="36"/>
          <w:szCs w:val="44"/>
        </w:rPr>
        <w:t>险</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pPr>
        <w:pStyle w:val="27"/>
        <w:rPr>
          <w:rFonts w:hint="default" w:ascii="Times New Roman" w:hAnsi="Times New Roman" w:cs="Times New Roman"/>
          <w:color w:val="auto"/>
        </w:rPr>
      </w:pPr>
    </w:p>
    <w:p>
      <w:pPr>
        <w:pStyle w:val="27"/>
        <w:widowControl w:val="0"/>
        <w:wordWrap/>
        <w:adjustRightInd/>
        <w:snapToGrid/>
        <w:textAlignment w:val="auto"/>
        <w:outlineLvl w:val="9"/>
        <w:rPr>
          <w:rFonts w:hint="default"/>
        </w:rPr>
      </w:pPr>
      <w:r>
        <w:rPr>
          <w:rFonts w:hint="default"/>
        </w:rPr>
        <w:t>坚持把人民生命安全和身体健康放在第一位，牢固树立环境风险防控底线思维，实施风险常态化管理，强化危险废物、重金属、危险化学品风险管控，探索新污染物治理。</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536" w:name="_Toc30825"/>
      <w:bookmarkStart w:id="1537" w:name="_Toc13986"/>
      <w:bookmarkStart w:id="1538" w:name="_Toc7207"/>
      <w:bookmarkStart w:id="1539" w:name="_Toc21974"/>
      <w:bookmarkStart w:id="1540" w:name="_Toc21646"/>
      <w:bookmarkStart w:id="1541" w:name="_Toc17395"/>
      <w:bookmarkStart w:id="1542" w:name="_Toc9232"/>
      <w:bookmarkStart w:id="1543" w:name="_Toc14152"/>
      <w:bookmarkStart w:id="1544" w:name="_Toc8745"/>
      <w:bookmarkStart w:id="1545" w:name="_Toc16259"/>
      <w:bookmarkStart w:id="1546" w:name="_Toc13289"/>
      <w:bookmarkStart w:id="1547" w:name="_Toc29212"/>
      <w:bookmarkStart w:id="1548" w:name="_Toc10176"/>
      <w:bookmarkStart w:id="1549" w:name="_Toc16853"/>
      <w:bookmarkStart w:id="1550" w:name="_Toc21365"/>
      <w:bookmarkStart w:id="1551" w:name="_Toc11190"/>
      <w:bookmarkStart w:id="1552" w:name="_Toc15206"/>
      <w:r>
        <w:rPr>
          <w:rFonts w:hint="default" w:ascii="黑体" w:hAnsi="黑体" w:eastAsia="黑体" w:cs="黑体"/>
          <w:b w:val="0"/>
          <w:bCs w:val="0"/>
          <w:color w:val="auto"/>
          <w:kern w:val="2"/>
          <w:sz w:val="32"/>
        </w:rPr>
        <w:t>第一节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强化固体废物安全利用处</w:t>
      </w:r>
      <w:bookmarkEnd w:id="1536"/>
      <w:r>
        <w:rPr>
          <w:rFonts w:hint="default" w:ascii="黑体" w:hAnsi="黑体" w:eastAsia="黑体" w:cs="黑体"/>
          <w:b w:val="0"/>
          <w:bCs w:val="0"/>
          <w:color w:val="auto"/>
          <w:kern w:val="2"/>
          <w:sz w:val="32"/>
        </w:rPr>
        <w:t>置</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pPr>
        <w:pStyle w:val="27"/>
        <w:rPr>
          <w:rFonts w:hint="default"/>
        </w:rPr>
      </w:pPr>
      <w:r>
        <w:rPr>
          <w:rFonts w:hint="default"/>
        </w:rPr>
        <w:t>探索推进</w:t>
      </w:r>
      <w:r>
        <w:rPr>
          <w:rFonts w:hint="eastAsia"/>
          <w:lang w:eastAsia="zh-CN"/>
        </w:rPr>
        <w:t>“</w:t>
      </w:r>
      <w:r>
        <w:rPr>
          <w:rFonts w:hint="default"/>
        </w:rPr>
        <w:t>无废城市</w:t>
      </w:r>
      <w:r>
        <w:rPr>
          <w:rFonts w:hint="eastAsia"/>
          <w:lang w:eastAsia="zh-CN"/>
        </w:rPr>
        <w:t>”</w:t>
      </w:r>
      <w:r>
        <w:rPr>
          <w:rFonts w:hint="default"/>
        </w:rPr>
        <w:t>建设，围绕固体废物源头减量、资源化利用、安全处理处置和环境风险管控，构建固体废物全过程管理体系。</w:t>
      </w:r>
    </w:p>
    <w:p>
      <w:pPr>
        <w:pStyle w:val="5"/>
        <w:spacing w:before="0" w:after="0"/>
        <w:ind w:firstLine="640" w:firstLineChars="200"/>
        <w:rPr>
          <w:rFonts w:hint="default" w:ascii="黑体" w:hAnsi="黑体" w:eastAsia="黑体" w:cs="黑体"/>
          <w:b w:val="0"/>
          <w:bCs w:val="0"/>
          <w:color w:val="auto"/>
          <w:lang w:val="en-US" w:eastAsia="zh-CN"/>
        </w:rPr>
      </w:pPr>
      <w:bookmarkStart w:id="1553" w:name="_Toc20764"/>
      <w:bookmarkStart w:id="1554" w:name="_Toc14793"/>
      <w:bookmarkStart w:id="1555" w:name="_Toc25570"/>
      <w:bookmarkStart w:id="1556" w:name="_Toc15169"/>
      <w:bookmarkStart w:id="1557" w:name="_Toc22931"/>
      <w:bookmarkStart w:id="1558" w:name="_Toc7292"/>
      <w:bookmarkStart w:id="1559" w:name="_Toc13886"/>
      <w:bookmarkStart w:id="1560" w:name="_Toc2572"/>
      <w:bookmarkStart w:id="1561" w:name="_Toc27740"/>
      <w:bookmarkStart w:id="1562" w:name="_Toc14848"/>
      <w:r>
        <w:rPr>
          <w:rFonts w:hint="default" w:ascii="黑体" w:hAnsi="黑体" w:eastAsia="黑体" w:cs="黑体"/>
          <w:b w:val="0"/>
          <w:bCs w:val="0"/>
          <w:color w:val="auto"/>
          <w:lang w:val="en-US" w:eastAsia="zh-CN"/>
        </w:rPr>
        <w:t>一、</w:t>
      </w:r>
      <w:r>
        <w:rPr>
          <w:rFonts w:hint="eastAsia" w:ascii="黑体" w:hAnsi="黑体" w:eastAsia="黑体" w:cs="黑体"/>
          <w:b w:val="0"/>
          <w:bCs w:val="0"/>
          <w:color w:val="auto"/>
          <w:lang w:val="en-US" w:eastAsia="zh-CN"/>
        </w:rPr>
        <w:t>探索</w:t>
      </w:r>
      <w:r>
        <w:rPr>
          <w:rFonts w:hint="default" w:ascii="黑体" w:hAnsi="黑体" w:eastAsia="黑体" w:cs="黑体"/>
          <w:b w:val="0"/>
          <w:bCs w:val="0"/>
          <w:color w:val="auto"/>
          <w:lang w:val="en-US" w:eastAsia="zh-CN"/>
        </w:rPr>
        <w:t>推进</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无废城市</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建设</w:t>
      </w:r>
      <w:bookmarkEnd w:id="1553"/>
      <w:bookmarkEnd w:id="1554"/>
      <w:bookmarkEnd w:id="1555"/>
      <w:bookmarkEnd w:id="1556"/>
      <w:bookmarkEnd w:id="1557"/>
      <w:bookmarkEnd w:id="1558"/>
      <w:bookmarkEnd w:id="1559"/>
      <w:bookmarkEnd w:id="1560"/>
      <w:bookmarkEnd w:id="1561"/>
      <w:bookmarkEnd w:id="1562"/>
    </w:p>
    <w:p>
      <w:pPr>
        <w:pStyle w:val="27"/>
        <w:widowControl w:val="0"/>
        <w:wordWrap/>
        <w:adjustRightInd/>
        <w:snapToGrid/>
        <w:textAlignment w:val="auto"/>
        <w:outlineLvl w:val="9"/>
        <w:rPr>
          <w:rFonts w:hint="eastAsia"/>
          <w:lang w:eastAsia="zh-CN"/>
        </w:rPr>
      </w:pPr>
      <w:r>
        <w:rPr>
          <w:rFonts w:hint="default"/>
        </w:rPr>
        <w:t>健全固体废物综合管理制度，完善工业固体废物</w:t>
      </w:r>
      <w:r>
        <w:rPr>
          <w:rFonts w:hint="eastAsia"/>
          <w:lang w:eastAsia="zh-CN"/>
        </w:rPr>
        <w:t>产生、</w:t>
      </w:r>
      <w:r>
        <w:rPr>
          <w:rFonts w:hint="default"/>
        </w:rPr>
        <w:t>收集</w:t>
      </w:r>
      <w:r>
        <w:rPr>
          <w:rFonts w:hint="eastAsia"/>
          <w:lang w:eastAsia="zh-CN"/>
        </w:rPr>
        <w:t>、</w:t>
      </w:r>
      <w:r>
        <w:rPr>
          <w:rFonts w:hint="default"/>
        </w:rPr>
        <w:t>贮存、</w:t>
      </w:r>
      <w:r>
        <w:rPr>
          <w:rFonts w:hint="eastAsia"/>
          <w:lang w:eastAsia="zh-CN"/>
        </w:rPr>
        <w:t>运输、</w:t>
      </w:r>
      <w:r>
        <w:rPr>
          <w:rFonts w:hint="default"/>
        </w:rPr>
        <w:t>利用</w:t>
      </w:r>
      <w:r>
        <w:rPr>
          <w:rFonts w:hint="eastAsia"/>
          <w:lang w:eastAsia="zh-CN"/>
        </w:rPr>
        <w:t>、</w:t>
      </w:r>
      <w:r>
        <w:rPr>
          <w:rFonts w:hint="default"/>
        </w:rPr>
        <w:t>处置等</w:t>
      </w:r>
      <w:r>
        <w:rPr>
          <w:rFonts w:hint="eastAsia"/>
          <w:lang w:eastAsia="zh-CN"/>
        </w:rPr>
        <w:t>过程的</w:t>
      </w:r>
      <w:r>
        <w:rPr>
          <w:rFonts w:hint="default"/>
        </w:rPr>
        <w:t>污染控制措施。</w:t>
      </w:r>
    </w:p>
    <w:p>
      <w:pPr>
        <w:pStyle w:val="27"/>
        <w:widowControl w:val="0"/>
        <w:wordWrap/>
        <w:adjustRightInd/>
        <w:snapToGrid/>
        <w:ind w:firstLine="640" w:firstLineChars="200"/>
        <w:textAlignment w:val="auto"/>
        <w:outlineLvl w:val="9"/>
        <w:rPr>
          <w:rFonts w:hint="eastAsia"/>
          <w:lang w:eastAsia="zh-CN"/>
        </w:rPr>
      </w:pPr>
      <w:r>
        <w:rPr>
          <w:rFonts w:hint="eastAsia"/>
        </w:rPr>
        <w:t>在重点行业开展工业固体废物纳入排污许可管理试点。</w:t>
      </w:r>
      <w:r>
        <w:rPr>
          <w:rFonts w:hint="eastAsia"/>
          <w:lang w:val="en-US" w:eastAsia="zh-CN"/>
        </w:rPr>
        <w:t>全面启动一般工业固体废物产生及利用处置情况调查，建立韶关市一般工业固体废物利用处置企业名单，搭建产废企业与利用处置企业联系桥梁，提升区域综合利用和处理处置水平。</w:t>
      </w:r>
      <w:r>
        <w:rPr>
          <w:rFonts w:hint="eastAsia"/>
        </w:rPr>
        <w:t>贯彻实施生产者责任延伸制度，建立和完善相关法规制度，建立健全回收利用体系。</w:t>
      </w:r>
      <w:r>
        <w:rPr>
          <w:rFonts w:hint="eastAsia"/>
          <w:lang w:val="en-US" w:eastAsia="zh-CN"/>
        </w:rPr>
        <w:t>加强塑料污染防治，进一步扩大一次性塑料制品禁限范围，有效推广应用替代产品，大幅度降低塑料垃圾填埋量，推进塑料污染问题突出领域和电商、快递、外卖等新兴领域污染防治工作，防止过度包装。加强生活垃圾污染环境防治，进一步提高收运处置体系建设和运维管理水平，加强生活垃圾分类运输、分类处理设施建设，开展异地评估，健全收运处置体系长效管护机制。加强建筑垃圾污染环境防治，建立建筑垃圾分类处理制度，推进建筑垃圾源头减量，建立建筑垃圾回收利用体系。</w:t>
      </w:r>
      <w:r>
        <w:rPr>
          <w:rFonts w:hint="eastAsia"/>
        </w:rPr>
        <w:t>强化秸秆、农膜和农药包装废弃物回收利用，鼓励和引导有关单位和其他生产经营者依法收集、贮存、运输、利用、处置农业固体废物</w:t>
      </w:r>
      <w:r>
        <w:rPr>
          <w:rFonts w:hint="eastAsia"/>
          <w:lang w:eastAsia="zh-CN"/>
        </w:rPr>
        <w:t>。</w:t>
      </w:r>
    </w:p>
    <w:p>
      <w:pPr>
        <w:pStyle w:val="5"/>
        <w:spacing w:before="0" w:after="0"/>
        <w:ind w:firstLine="640" w:firstLineChars="200"/>
        <w:rPr>
          <w:rFonts w:hint="default" w:ascii="黑体" w:hAnsi="黑体" w:eastAsia="黑体" w:cs="黑体"/>
          <w:b w:val="0"/>
          <w:bCs w:val="0"/>
          <w:color w:val="auto"/>
          <w:lang w:val="en-US" w:eastAsia="zh-CN"/>
        </w:rPr>
      </w:pPr>
      <w:bookmarkStart w:id="1563" w:name="_Toc16972"/>
      <w:bookmarkStart w:id="1564" w:name="_Toc11517"/>
      <w:bookmarkStart w:id="1565" w:name="_Toc26248"/>
      <w:bookmarkStart w:id="1566" w:name="_Toc21667"/>
      <w:bookmarkStart w:id="1567" w:name="_Toc13787"/>
      <w:bookmarkStart w:id="1568" w:name="_Toc10329"/>
      <w:bookmarkStart w:id="1569" w:name="_Toc16566"/>
      <w:bookmarkStart w:id="1570" w:name="_Toc26806"/>
      <w:bookmarkStart w:id="1571" w:name="_Toc28191"/>
      <w:bookmarkStart w:id="1572" w:name="_Toc26529"/>
      <w:r>
        <w:rPr>
          <w:rFonts w:hint="default" w:ascii="黑体" w:hAnsi="黑体" w:eastAsia="黑体" w:cs="黑体"/>
          <w:b w:val="0"/>
          <w:bCs w:val="0"/>
          <w:color w:val="auto"/>
          <w:lang w:val="en-US" w:eastAsia="zh-CN"/>
        </w:rPr>
        <w:t>二、强化固体废物全过程监管</w:t>
      </w:r>
      <w:bookmarkEnd w:id="1563"/>
      <w:bookmarkEnd w:id="1564"/>
      <w:bookmarkEnd w:id="1565"/>
      <w:bookmarkEnd w:id="1566"/>
      <w:bookmarkEnd w:id="1567"/>
      <w:bookmarkEnd w:id="1568"/>
      <w:bookmarkEnd w:id="1569"/>
      <w:bookmarkEnd w:id="1570"/>
      <w:bookmarkEnd w:id="1571"/>
      <w:bookmarkEnd w:id="1572"/>
    </w:p>
    <w:p>
      <w:pPr>
        <w:pStyle w:val="27"/>
        <w:spacing w:before="0" w:beforeAutospacing="0" w:after="0" w:afterAutospacing="0"/>
        <w:rPr>
          <w:rFonts w:hint="default"/>
        </w:rPr>
      </w:pPr>
      <w:r>
        <w:rPr>
          <w:rFonts w:hint="default"/>
        </w:rPr>
        <w:t>督促工业固体废物产生单位建立健全工业固体废物产生、收集、贮存、运输、利用、处置全过程的污染环境防治责任制度，建立工业固体废物管理台账。构建危险废物全过程监管</w:t>
      </w:r>
      <w:r>
        <w:rPr>
          <w:rFonts w:hint="default"/>
          <w:highlight w:val="none"/>
        </w:rPr>
        <w:t>体系，推动危险废物环境管理信息化建设和应用。加强</w:t>
      </w:r>
      <w:r>
        <w:rPr>
          <w:rFonts w:hint="eastAsia"/>
          <w:highlight w:val="none"/>
          <w:lang w:eastAsia="zh-CN"/>
        </w:rPr>
        <w:t>危险废物产生</w:t>
      </w:r>
      <w:r>
        <w:rPr>
          <w:rFonts w:hint="default"/>
          <w:highlight w:val="none"/>
        </w:rPr>
        <w:t>、转移</w:t>
      </w:r>
      <w:r>
        <w:rPr>
          <w:rFonts w:hint="eastAsia"/>
          <w:highlight w:val="none"/>
          <w:lang w:eastAsia="zh-CN"/>
        </w:rPr>
        <w:t>联单</w:t>
      </w:r>
      <w:r>
        <w:rPr>
          <w:rFonts w:hint="default"/>
          <w:highlight w:val="none"/>
        </w:rPr>
        <w:t>、综合利用、安全处置</w:t>
      </w:r>
      <w:r>
        <w:rPr>
          <w:rFonts w:hint="eastAsia"/>
          <w:highlight w:val="none"/>
          <w:lang w:eastAsia="zh-CN"/>
        </w:rPr>
        <w:t>等环节</w:t>
      </w:r>
      <w:r>
        <w:rPr>
          <w:rFonts w:hint="default"/>
          <w:highlight w:val="none"/>
        </w:rPr>
        <w:t>的监管，严格执行危</w:t>
      </w:r>
      <w:r>
        <w:rPr>
          <w:rFonts w:hint="default"/>
        </w:rPr>
        <w:t>废申报登记制度及危废转移联单（电子联单）</w:t>
      </w:r>
      <w:r>
        <w:rPr>
          <w:rFonts w:hint="eastAsia"/>
          <w:lang w:val="en-US" w:eastAsia="zh-CN"/>
        </w:rPr>
        <w:t>制度</w:t>
      </w:r>
      <w:r>
        <w:rPr>
          <w:rFonts w:hint="default"/>
        </w:rPr>
        <w:t>，防止危废非法转移或处置不当。</w:t>
      </w:r>
    </w:p>
    <w:p>
      <w:pPr>
        <w:pStyle w:val="5"/>
        <w:spacing w:before="0" w:after="0"/>
        <w:ind w:firstLine="640" w:firstLineChars="200"/>
        <w:rPr>
          <w:rFonts w:hint="default" w:ascii="黑体" w:hAnsi="黑体" w:eastAsia="黑体" w:cs="黑体"/>
          <w:b w:val="0"/>
          <w:bCs w:val="0"/>
          <w:color w:val="auto"/>
          <w:lang w:val="en-US" w:eastAsia="zh-CN"/>
        </w:rPr>
      </w:pPr>
      <w:bookmarkStart w:id="1573" w:name="_Toc13362"/>
      <w:bookmarkStart w:id="1574" w:name="_Toc7122"/>
      <w:bookmarkStart w:id="1575" w:name="_Toc31183"/>
      <w:bookmarkStart w:id="1576" w:name="_Toc1158"/>
      <w:bookmarkStart w:id="1577" w:name="_Toc14223"/>
      <w:bookmarkStart w:id="1578" w:name="_Toc11252"/>
      <w:bookmarkStart w:id="1579" w:name="_Toc5175"/>
      <w:bookmarkStart w:id="1580" w:name="_Toc27322"/>
      <w:bookmarkStart w:id="1581" w:name="_Toc20632"/>
      <w:bookmarkStart w:id="1582" w:name="_Toc16655"/>
      <w:r>
        <w:rPr>
          <w:rFonts w:hint="default" w:ascii="黑体" w:hAnsi="黑体" w:eastAsia="黑体" w:cs="黑体"/>
          <w:b w:val="0"/>
          <w:bCs w:val="0"/>
          <w:color w:val="auto"/>
          <w:lang w:val="en-US" w:eastAsia="zh-CN"/>
        </w:rPr>
        <w:t>三、提升固体废物处理处置能力</w:t>
      </w:r>
      <w:bookmarkEnd w:id="1573"/>
      <w:bookmarkEnd w:id="1574"/>
      <w:bookmarkEnd w:id="1575"/>
      <w:bookmarkEnd w:id="1576"/>
      <w:bookmarkEnd w:id="1577"/>
      <w:bookmarkEnd w:id="1578"/>
      <w:bookmarkEnd w:id="1579"/>
      <w:bookmarkEnd w:id="1580"/>
      <w:bookmarkEnd w:id="1581"/>
      <w:bookmarkEnd w:id="1582"/>
    </w:p>
    <w:p>
      <w:pPr>
        <w:pStyle w:val="27"/>
        <w:widowControl w:val="0"/>
        <w:wordWrap/>
        <w:adjustRightInd/>
        <w:snapToGrid/>
        <w:textAlignment w:val="auto"/>
        <w:outlineLvl w:val="9"/>
        <w:rPr>
          <w:rFonts w:hint="default"/>
        </w:rPr>
      </w:pPr>
      <w:r>
        <w:rPr>
          <w:rFonts w:hint="eastAsia"/>
        </w:rPr>
        <w:t>全面推进固体废物利用处置设施建设，补齐固体废物利用处置能力短板</w:t>
      </w:r>
      <w:r>
        <w:rPr>
          <w:rFonts w:hint="eastAsia"/>
          <w:lang w:eastAsia="zh-CN"/>
        </w:rPr>
        <w:t>。</w:t>
      </w:r>
      <w:r>
        <w:rPr>
          <w:rFonts w:hint="default"/>
        </w:rPr>
        <w:t>以冶炼废渣、尾矿及其他大宗工业固体废物为重点，推进一般固体废物利用处置设施建设，补齐固体废物利用处置能力短板。提升区域危险废物处理处置能力</w:t>
      </w:r>
      <w:r>
        <w:rPr>
          <w:rFonts w:hint="eastAsia"/>
          <w:lang w:eastAsia="zh-CN"/>
        </w:rPr>
        <w:t>，</w:t>
      </w:r>
      <w:r>
        <w:rPr>
          <w:rFonts w:hint="default"/>
        </w:rPr>
        <w:t>鼓励建立危险废物集中收集贮存试点，提升小微企业和工业园区等危险废物收集转运能力，探索危险废物</w:t>
      </w:r>
      <w:r>
        <w:rPr>
          <w:rFonts w:hint="eastAsia"/>
          <w:lang w:eastAsia="zh-CN"/>
        </w:rPr>
        <w:t>“</w:t>
      </w:r>
      <w:r>
        <w:rPr>
          <w:rFonts w:hint="default"/>
        </w:rPr>
        <w:t>点对点</w:t>
      </w:r>
      <w:r>
        <w:rPr>
          <w:rFonts w:hint="eastAsia"/>
          <w:lang w:eastAsia="zh-CN"/>
        </w:rPr>
        <w:t>”</w:t>
      </w:r>
      <w:r>
        <w:rPr>
          <w:rFonts w:hint="default"/>
        </w:rPr>
        <w:t>定向利用</w:t>
      </w:r>
      <w:r>
        <w:rPr>
          <w:rFonts w:hint="eastAsia"/>
          <w:lang w:eastAsia="zh-CN"/>
        </w:rPr>
        <w:t>。</w:t>
      </w:r>
      <w:r>
        <w:rPr>
          <w:rFonts w:hint="default"/>
        </w:rPr>
        <w:t>加快推进医疗废物集中处置设施建设和提档升级，完善各县（市、区）医疗废物收集转运处置体系并覆盖至农村地区，确保县级以上的医疗废物全部得到无害化处置。建立医疗废物协同应急处置设施清单，完善处置物资储备体系，保障重大疫情医疗废物应急处置能力。推进污泥无害化处置设施建设，鼓励垃圾焚烧发电厂、燃煤电厂、水泥窑等协同处置方式。</w:t>
      </w:r>
      <w:r>
        <w:rPr>
          <w:rFonts w:hint="eastAsia"/>
        </w:rPr>
        <w:t>推动建筑垃圾跨区域平衡处置，强化协作监管和信息共享。</w:t>
      </w:r>
    </w:p>
    <w:p>
      <w:pPr>
        <w:pStyle w:val="5"/>
        <w:spacing w:before="0" w:after="0"/>
        <w:ind w:firstLine="640" w:firstLineChars="200"/>
        <w:rPr>
          <w:rFonts w:hint="default" w:ascii="黑体" w:hAnsi="黑体" w:eastAsia="黑体" w:cs="黑体"/>
          <w:b w:val="0"/>
          <w:bCs w:val="0"/>
          <w:color w:val="auto"/>
          <w:lang w:val="en-US" w:eastAsia="zh-CN"/>
        </w:rPr>
      </w:pPr>
      <w:bookmarkStart w:id="1583" w:name="_Toc32711"/>
      <w:bookmarkStart w:id="1584" w:name="_Toc751"/>
      <w:bookmarkStart w:id="1585" w:name="_Toc4749"/>
      <w:bookmarkStart w:id="1586" w:name="_Toc17183"/>
      <w:bookmarkStart w:id="1587" w:name="_Toc23220"/>
      <w:bookmarkStart w:id="1588" w:name="_Toc18203"/>
      <w:bookmarkStart w:id="1589" w:name="_Toc5289"/>
      <w:bookmarkStart w:id="1590" w:name="_Toc21875"/>
      <w:bookmarkStart w:id="1591" w:name="_Toc9624"/>
      <w:bookmarkStart w:id="1592" w:name="_Toc24407"/>
      <w:r>
        <w:rPr>
          <w:rFonts w:hint="default" w:ascii="黑体" w:hAnsi="黑体" w:eastAsia="黑体" w:cs="黑体"/>
          <w:b w:val="0"/>
          <w:bCs w:val="0"/>
          <w:color w:val="auto"/>
          <w:lang w:val="en-US" w:eastAsia="zh-CN"/>
        </w:rPr>
        <w:t>四、强化固体废物风险管控</w:t>
      </w:r>
      <w:bookmarkEnd w:id="1583"/>
      <w:bookmarkEnd w:id="1584"/>
      <w:bookmarkEnd w:id="1585"/>
      <w:bookmarkEnd w:id="1586"/>
      <w:bookmarkEnd w:id="1587"/>
      <w:bookmarkEnd w:id="1588"/>
      <w:bookmarkEnd w:id="1589"/>
      <w:bookmarkEnd w:id="1590"/>
      <w:bookmarkEnd w:id="1591"/>
      <w:bookmarkEnd w:id="1592"/>
    </w:p>
    <w:p>
      <w:pPr>
        <w:pStyle w:val="27"/>
        <w:widowControl w:val="0"/>
        <w:wordWrap/>
        <w:adjustRightInd/>
        <w:snapToGrid/>
        <w:textAlignment w:val="auto"/>
        <w:outlineLvl w:val="9"/>
        <w:rPr>
          <w:rFonts w:hint="default"/>
        </w:rPr>
      </w:pPr>
      <w:r>
        <w:rPr>
          <w:rFonts w:hint="default"/>
        </w:rPr>
        <w:t>全面开展危险废物排查，整治环境风险隐患。加大企业清库存力度，化解停产企业危险废物积存风险，严格控制在产企业固体废物库存量，动态掌握危险废物产生、贮存信息。全面摸底调查和整治工业固体废物堆存场所，杜绝超量存储、扬散、流失、渗漏和管理粗放等问题。</w:t>
      </w:r>
      <w:r>
        <w:rPr>
          <w:rFonts w:hint="eastAsia"/>
          <w:lang w:val="en-US" w:eastAsia="zh-CN"/>
        </w:rPr>
        <w:t>结合区域实际，针对机修维修拆解行业、废机油、废铅酸蓄电池行业、医疗行业、实验室等相对薄弱的危废管理区域，持续开展专项整治活动，综合提升区域危险废物管理水平</w:t>
      </w:r>
      <w:r>
        <w:rPr>
          <w:rFonts w:hint="default"/>
        </w:rPr>
        <w:t>，定期开展联合打击固体废物环境违法行为专项行动。全面禁止进口固体废物，保持打击洋垃圾走私的高压态势。</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szCs w:val="32"/>
          <w:lang w:val="en-US" w:eastAsia="zh-CN" w:bidi="ar-SA"/>
        </w:rPr>
      </w:pPr>
      <w:bookmarkStart w:id="1593" w:name="_Toc31342"/>
      <w:bookmarkStart w:id="1594" w:name="_Toc14282"/>
      <w:bookmarkStart w:id="1595" w:name="_Toc3366"/>
      <w:bookmarkStart w:id="1596" w:name="_Toc28225"/>
      <w:bookmarkStart w:id="1597" w:name="_Toc16170"/>
      <w:bookmarkStart w:id="1598" w:name="_Toc4462"/>
      <w:bookmarkStart w:id="1599" w:name="_Toc10533"/>
      <w:bookmarkStart w:id="1600" w:name="_Toc5708"/>
      <w:bookmarkStart w:id="1601" w:name="_Toc50"/>
      <w:bookmarkStart w:id="1602" w:name="_Toc14007"/>
      <w:bookmarkStart w:id="1603" w:name="_Toc10464"/>
      <w:bookmarkStart w:id="1604" w:name="_Toc31612"/>
      <w:bookmarkStart w:id="1605" w:name="_Toc7935"/>
      <w:bookmarkStart w:id="1606" w:name="_Toc11360"/>
      <w:bookmarkStart w:id="1607" w:name="_Toc8547"/>
      <w:bookmarkStart w:id="1608" w:name="_Toc26718"/>
      <w:bookmarkStart w:id="1609" w:name="_Toc16407"/>
      <w:r>
        <w:rPr>
          <w:rFonts w:hint="default" w:ascii="黑体" w:hAnsi="黑体" w:eastAsia="黑体" w:cs="黑体"/>
          <w:b w:val="0"/>
          <w:bCs w:val="0"/>
          <w:color w:val="auto"/>
          <w:kern w:val="2"/>
          <w:sz w:val="32"/>
          <w:szCs w:val="32"/>
          <w:lang w:val="en-US" w:eastAsia="zh-CN" w:bidi="ar-SA"/>
        </w:rPr>
        <w:t>第二节</w:t>
      </w:r>
      <w:r>
        <w:rPr>
          <w:rFonts w:hint="eastAsia" w:ascii="黑体" w:hAnsi="黑体" w:eastAsia="黑体" w:cs="黑体"/>
          <w:b w:val="0"/>
          <w:bCs w:val="0"/>
          <w:color w:val="auto"/>
          <w:kern w:val="2"/>
          <w:sz w:val="32"/>
          <w:szCs w:val="32"/>
          <w:lang w:val="en-US" w:eastAsia="zh-CN" w:bidi="ar-SA"/>
        </w:rPr>
        <w:t>　</w:t>
      </w:r>
      <w:r>
        <w:rPr>
          <w:rFonts w:hint="default" w:ascii="黑体" w:hAnsi="黑体" w:eastAsia="黑体" w:cs="黑体"/>
          <w:b w:val="0"/>
          <w:bCs w:val="0"/>
          <w:color w:val="auto"/>
          <w:kern w:val="2"/>
          <w:sz w:val="32"/>
          <w:szCs w:val="32"/>
          <w:lang w:val="en-US" w:eastAsia="zh-CN" w:bidi="ar-SA"/>
        </w:rPr>
        <w:t>加强重金属和危险化学品风险管</w:t>
      </w:r>
      <w:bookmarkEnd w:id="1593"/>
      <w:r>
        <w:rPr>
          <w:rFonts w:hint="default" w:ascii="黑体" w:hAnsi="黑体" w:eastAsia="黑体" w:cs="黑体"/>
          <w:b w:val="0"/>
          <w:bCs w:val="0"/>
          <w:color w:val="auto"/>
          <w:kern w:val="2"/>
          <w:sz w:val="32"/>
          <w:szCs w:val="32"/>
          <w:lang w:val="en-US" w:eastAsia="zh-CN" w:bidi="ar-SA"/>
        </w:rPr>
        <w:t>控</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pPr>
        <w:pStyle w:val="27"/>
        <w:widowControl w:val="0"/>
        <w:wordWrap/>
        <w:adjustRightInd/>
        <w:snapToGrid/>
        <w:textAlignment w:val="auto"/>
        <w:outlineLvl w:val="9"/>
        <w:rPr>
          <w:rFonts w:hint="default" w:ascii="Times New Roman" w:hAnsi="Times New Roman" w:eastAsia="仿宋_GB2312" w:cs="Times New Roman"/>
          <w:color w:val="auto"/>
          <w:szCs w:val="32"/>
          <w:highlight w:val="none"/>
        </w:rPr>
      </w:pPr>
      <w:r>
        <w:rPr>
          <w:rFonts w:hint="default"/>
        </w:rPr>
        <w:t>强化化工企业、涉重金属行业、工业园区和尾矿库等重点环境风险源的环境风险评估和防控，针对风险较高的企业及园区，建设事故导流槽、事故收集池、应急闸坝集等预防性设施</w:t>
      </w:r>
      <w:r>
        <w:rPr>
          <w:rFonts w:hint="eastAsia"/>
          <w:lang w:eastAsia="zh-CN"/>
        </w:rPr>
        <w:t>。</w:t>
      </w:r>
      <w:r>
        <w:rPr>
          <w:rFonts w:hint="default"/>
        </w:rPr>
        <w:t>探索在化工、金属矿采选、金属冶炼等环境风险较高、环境污染事件较为集中的领域建立环境污染强制责任保险制度，将相关企业纳入</w:t>
      </w:r>
      <w:r>
        <w:rPr>
          <w:rFonts w:hint="default"/>
          <w:highlight w:val="none"/>
        </w:rPr>
        <w:t>投保环境污染强制责任保险范围。</w:t>
      </w:r>
    </w:p>
    <w:p>
      <w:pPr>
        <w:pStyle w:val="5"/>
        <w:spacing w:before="0" w:after="0"/>
        <w:ind w:firstLine="640" w:firstLineChars="200"/>
        <w:rPr>
          <w:rFonts w:hint="default" w:ascii="黑体" w:hAnsi="黑体" w:eastAsia="黑体" w:cs="黑体"/>
          <w:b w:val="0"/>
          <w:bCs w:val="0"/>
          <w:color w:val="auto"/>
          <w:lang w:val="en-US" w:eastAsia="zh-CN"/>
        </w:rPr>
      </w:pPr>
      <w:bookmarkStart w:id="1610" w:name="_Toc1640"/>
      <w:bookmarkStart w:id="1611" w:name="_Toc29997"/>
      <w:bookmarkStart w:id="1612" w:name="_Toc6929"/>
      <w:bookmarkStart w:id="1613" w:name="_Toc10334"/>
      <w:bookmarkStart w:id="1614" w:name="_Toc4585"/>
      <w:bookmarkStart w:id="1615" w:name="_Toc5041"/>
      <w:bookmarkStart w:id="1616" w:name="_Toc8387"/>
      <w:bookmarkStart w:id="1617" w:name="_Toc19465"/>
      <w:bookmarkStart w:id="1618" w:name="_Toc24763"/>
      <w:bookmarkStart w:id="1619" w:name="_Toc30922"/>
      <w:r>
        <w:rPr>
          <w:rFonts w:hint="default" w:ascii="黑体" w:hAnsi="黑体" w:eastAsia="黑体" w:cs="黑体"/>
          <w:b w:val="0"/>
          <w:bCs w:val="0"/>
          <w:color w:val="auto"/>
          <w:lang w:val="en-US" w:eastAsia="zh-CN"/>
        </w:rPr>
        <w:t>一、持续推进重金属污染综合防控</w:t>
      </w:r>
      <w:bookmarkEnd w:id="1610"/>
      <w:bookmarkEnd w:id="1611"/>
      <w:bookmarkEnd w:id="1612"/>
      <w:bookmarkEnd w:id="1613"/>
      <w:bookmarkEnd w:id="1614"/>
      <w:bookmarkEnd w:id="1615"/>
      <w:bookmarkEnd w:id="1616"/>
      <w:bookmarkEnd w:id="1617"/>
      <w:bookmarkEnd w:id="1618"/>
      <w:bookmarkEnd w:id="1619"/>
    </w:p>
    <w:p>
      <w:pPr>
        <w:pStyle w:val="27"/>
        <w:wordWrap/>
        <w:spacing w:line="560" w:lineRule="exact"/>
        <w:textAlignment w:val="auto"/>
        <w:rPr>
          <w:rFonts w:hint="default" w:ascii="Times New Roman" w:hAnsi="Times New Roman" w:cs="Times New Roman"/>
          <w:color w:val="auto"/>
        </w:rPr>
      </w:pPr>
      <w:r>
        <w:rPr>
          <w:rFonts w:hint="default"/>
          <w:highlight w:val="none"/>
        </w:rPr>
        <w:t>推进涉重金属行业企业重金属减排，动态更新涉重金属重点行业企业全口径清单。严格落实新建、改建、扩建的项目严格实行重金属等特征污染物排放减</w:t>
      </w:r>
      <w:r>
        <w:rPr>
          <w:rFonts w:hint="default"/>
        </w:rPr>
        <w:t>量替代。优化</w:t>
      </w:r>
      <w:r>
        <w:rPr>
          <w:rFonts w:hint="eastAsia"/>
          <w:lang w:val="en-US" w:eastAsia="zh-CN"/>
        </w:rPr>
        <w:t>产业</w:t>
      </w:r>
      <w:r>
        <w:rPr>
          <w:rFonts w:hint="default"/>
        </w:rPr>
        <w:t>空间布局，鼓励化工、有色金属冶炼等行业企业入园管理。实施重金属重点行业企业强制性清洁生产审核，鼓励现有重金属污染物排放企业提标改造。加强尾矿库的环境风险排查与防范，以及金属矿采选、金属冶炼企业的重金属污染风险防控</w:t>
      </w:r>
      <w:r>
        <w:rPr>
          <w:rFonts w:hint="default"/>
          <w:lang w:eastAsia="zh-CN"/>
        </w:rPr>
        <w:t>。</w:t>
      </w:r>
      <w:r>
        <w:rPr>
          <w:rFonts w:hint="default"/>
        </w:rPr>
        <w:t>加强涉重行业企业监管，安装涉重金属废水、废气在线监测设备，建立涉重金属企业环境风险监测预警制度。</w:t>
      </w:r>
      <w:r>
        <w:rPr>
          <w:rFonts w:hint="eastAsia"/>
          <w:lang w:val="en-US" w:eastAsia="zh-CN"/>
        </w:rPr>
        <w:t>对</w:t>
      </w:r>
      <w:r>
        <w:rPr>
          <w:rFonts w:hint="default"/>
        </w:rPr>
        <w:t>凡口铅锌矿、大宝山矿、乐昌铅锌矿区域的涉重金属污染物排放企业执行细颗粒物重点污染物特别排放限值</w:t>
      </w:r>
      <w:r>
        <w:rPr>
          <w:rFonts w:hint="eastAsia"/>
          <w:lang w:eastAsia="zh-CN"/>
        </w:rPr>
        <w:t>；</w:t>
      </w:r>
      <w:r>
        <w:rPr>
          <w:rFonts w:hint="eastAsia"/>
          <w:lang w:val="en-US" w:eastAsia="zh-CN"/>
        </w:rPr>
        <w:t>对</w:t>
      </w:r>
      <w:r>
        <w:rPr>
          <w:rFonts w:hint="default"/>
        </w:rPr>
        <w:t>仁化县凡口铅锌矿及其周边、大宝山矿及其周边等区域严格执行部分重金属水污染物特别排放限值的相关规定。</w:t>
      </w:r>
    </w:p>
    <w:p>
      <w:pPr>
        <w:pStyle w:val="5"/>
        <w:widowControl/>
        <w:wordWrap/>
        <w:spacing w:before="0" w:after="0" w:line="560" w:lineRule="exact"/>
        <w:ind w:firstLine="643"/>
        <w:textAlignment w:val="auto"/>
        <w:rPr>
          <w:rFonts w:hint="eastAsia" w:ascii="黑体" w:hAnsi="黑体" w:eastAsia="黑体" w:cs="黑体"/>
          <w:b w:val="0"/>
          <w:bCs w:val="0"/>
          <w:color w:val="auto"/>
        </w:rPr>
      </w:pPr>
      <w:bookmarkStart w:id="1620" w:name="_Toc2594"/>
      <w:bookmarkStart w:id="1621" w:name="_Toc4279"/>
      <w:bookmarkStart w:id="1622" w:name="_Toc20240"/>
      <w:bookmarkStart w:id="1623" w:name="_Toc20315"/>
      <w:bookmarkStart w:id="1624" w:name="_Toc164"/>
      <w:bookmarkStart w:id="1625" w:name="_Toc26825"/>
      <w:bookmarkStart w:id="1626" w:name="_Toc6450"/>
      <w:bookmarkStart w:id="1627" w:name="_Toc19838"/>
      <w:bookmarkStart w:id="1628" w:name="_Toc14511"/>
      <w:bookmarkStart w:id="1629" w:name="_Toc28960"/>
      <w:r>
        <w:rPr>
          <w:rFonts w:hint="eastAsia" w:ascii="黑体" w:hAnsi="黑体" w:eastAsia="黑体" w:cs="黑体"/>
          <w:b w:val="0"/>
          <w:bCs w:val="0"/>
          <w:color w:val="auto"/>
        </w:rPr>
        <w:t>二、加强危险化学品风险管控</w:t>
      </w:r>
      <w:bookmarkEnd w:id="1620"/>
      <w:bookmarkEnd w:id="1621"/>
      <w:bookmarkEnd w:id="1622"/>
      <w:bookmarkEnd w:id="1623"/>
      <w:bookmarkEnd w:id="1624"/>
      <w:bookmarkEnd w:id="1625"/>
      <w:bookmarkEnd w:id="1626"/>
      <w:bookmarkEnd w:id="1627"/>
      <w:bookmarkEnd w:id="1628"/>
      <w:bookmarkEnd w:id="1629"/>
    </w:p>
    <w:p>
      <w:pPr>
        <w:pStyle w:val="27"/>
        <w:widowControl w:val="0"/>
        <w:wordWrap/>
        <w:adjustRightInd/>
        <w:snapToGrid/>
        <w:spacing w:line="560" w:lineRule="exact"/>
        <w:textAlignment w:val="auto"/>
        <w:outlineLvl w:val="9"/>
        <w:rPr>
          <w:rFonts w:hint="default"/>
        </w:rPr>
      </w:pPr>
      <w:r>
        <w:rPr>
          <w:rFonts w:hint="default"/>
        </w:rPr>
        <w:t>优化涉危险化学品企业布局，对危险化学品生产装置或者储存数量构成重大危险源的危险化学品储存设施，严格执行与居民区安全距离等有关规定合理布局。进一步加强危险化学品的经营、存储、使用单位的安全监督管理，督促落实</w:t>
      </w:r>
      <w:r>
        <w:rPr>
          <w:rFonts w:hint="eastAsia"/>
          <w:lang w:eastAsia="zh-CN"/>
        </w:rPr>
        <w:t>主</w:t>
      </w:r>
      <w:r>
        <w:rPr>
          <w:rFonts w:hint="default"/>
        </w:rPr>
        <w:t>体责任。利用危险化学品安全管理信息系统，建立危险化学品全过程动态监管体系。推进危险化学品重大危险源实时动态监管，实现实时视频监控、远程动态监测、在线预警和事故后果分析模拟。</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630" w:name="_Toc3316"/>
      <w:bookmarkStart w:id="1631" w:name="_Toc16905"/>
      <w:bookmarkStart w:id="1632" w:name="_Toc3871"/>
      <w:bookmarkStart w:id="1633" w:name="_Toc22817"/>
      <w:bookmarkStart w:id="1634" w:name="_Toc22047"/>
      <w:bookmarkStart w:id="1635" w:name="_Toc3649"/>
      <w:bookmarkStart w:id="1636" w:name="_Toc3605"/>
      <w:bookmarkStart w:id="1637" w:name="_Toc2030"/>
      <w:bookmarkStart w:id="1638" w:name="_Toc29897"/>
      <w:bookmarkStart w:id="1639" w:name="_Toc11792"/>
      <w:bookmarkStart w:id="1640" w:name="_Toc22507"/>
      <w:bookmarkStart w:id="1641" w:name="_Toc7588"/>
      <w:bookmarkStart w:id="1642" w:name="_Toc23929"/>
      <w:bookmarkStart w:id="1643" w:name="_Toc5999"/>
      <w:bookmarkStart w:id="1644" w:name="_Toc13991"/>
      <w:bookmarkStart w:id="1645" w:name="_Toc17700"/>
      <w:bookmarkStart w:id="1646" w:name="_Toc5079"/>
      <w:r>
        <w:rPr>
          <w:rFonts w:hint="default" w:ascii="黑体" w:hAnsi="黑体" w:eastAsia="黑体" w:cs="黑体"/>
          <w:b w:val="0"/>
          <w:bCs w:val="0"/>
          <w:color w:val="auto"/>
          <w:kern w:val="2"/>
          <w:sz w:val="32"/>
        </w:rPr>
        <w:t>第三节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重视新污染物治</w:t>
      </w:r>
      <w:bookmarkEnd w:id="1630"/>
      <w:r>
        <w:rPr>
          <w:rFonts w:hint="default" w:ascii="黑体" w:hAnsi="黑体" w:eastAsia="黑体" w:cs="黑体"/>
          <w:b w:val="0"/>
          <w:bCs w:val="0"/>
          <w:color w:val="auto"/>
          <w:kern w:val="2"/>
          <w:sz w:val="32"/>
        </w:rPr>
        <w:t>理</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pPr>
        <w:pStyle w:val="27"/>
        <w:rPr>
          <w:rFonts w:hint="default"/>
        </w:rPr>
      </w:pPr>
      <w:r>
        <w:rPr>
          <w:rFonts w:hint="eastAsia"/>
          <w:lang w:eastAsia="zh-CN"/>
        </w:rPr>
        <w:t>探索</w:t>
      </w:r>
      <w:r>
        <w:rPr>
          <w:rFonts w:hint="eastAsia"/>
        </w:rPr>
        <w:t>以典型内分泌干扰素、抗生素、全氟化合物、微塑料等为重点</w:t>
      </w:r>
      <w:r>
        <w:rPr>
          <w:rFonts w:hint="eastAsia"/>
          <w:lang w:eastAsia="zh-CN"/>
        </w:rPr>
        <w:t>的新污染物监控评估与控制</w:t>
      </w:r>
      <w:r>
        <w:rPr>
          <w:rFonts w:hint="eastAsia"/>
        </w:rPr>
        <w:t>，完善环境准入制度、全生命周期环境管理制度、信息报告和公开制度等。加强医药等行业新污染物环境风险管控</w:t>
      </w:r>
      <w:r>
        <w:rPr>
          <w:rFonts w:hint="default"/>
        </w:rPr>
        <w:t>。</w:t>
      </w:r>
      <w:r>
        <w:rPr>
          <w:rFonts w:hint="eastAsia"/>
          <w:lang w:eastAsia="zh-CN"/>
        </w:rPr>
        <w:t>探索</w:t>
      </w:r>
      <w:r>
        <w:rPr>
          <w:rFonts w:hint="default"/>
        </w:rPr>
        <w:t>以环境健康风险防范为重点，开展环境与健康风险哨点调查与监测</w:t>
      </w:r>
      <w:r>
        <w:rPr>
          <w:rFonts w:hint="eastAsia"/>
          <w:lang w:eastAsia="zh-CN"/>
        </w:rPr>
        <w:t>试点</w:t>
      </w:r>
      <w:r>
        <w:rPr>
          <w:rFonts w:hint="default"/>
        </w:rPr>
        <w:t>。</w:t>
      </w:r>
    </w:p>
    <w:p>
      <w:pPr>
        <w:pStyle w:val="27"/>
        <w:rPr>
          <w:rFonts w:hint="default" w:ascii="Times New Roman" w:hAnsi="Times New Roman" w:cs="Times New Roman"/>
          <w:color w:val="auto"/>
        </w:rPr>
      </w:pPr>
    </w:p>
    <w:p>
      <w:pPr>
        <w:keepNext/>
        <w:keepLines/>
        <w:spacing w:beforeLines="50" w:afterLines="50"/>
        <w:jc w:val="center"/>
        <w:outlineLvl w:val="0"/>
        <w:rPr>
          <w:rFonts w:hint="default" w:ascii="Times New Roman" w:hAnsi="Times New Roman" w:cs="Times New Roman"/>
          <w:color w:val="auto"/>
        </w:rPr>
      </w:pPr>
      <w:r>
        <w:rPr>
          <w:rFonts w:hint="default" w:ascii="Times New Roman" w:hAnsi="Times New Roman" w:eastAsia="楷体_GB2312" w:cs="Times New Roman"/>
          <w:color w:val="auto"/>
          <w:sz w:val="32"/>
        </w:rPr>
        <w:br w:type="page"/>
      </w:r>
      <w:bookmarkStart w:id="1647" w:name="_Toc5398"/>
      <w:bookmarkStart w:id="1648" w:name="_Toc2149"/>
      <w:bookmarkStart w:id="1649" w:name="_Toc19853"/>
      <w:bookmarkStart w:id="1650" w:name="_Toc10075"/>
      <w:bookmarkStart w:id="1651" w:name="_Toc8035"/>
      <w:bookmarkStart w:id="1652" w:name="_Toc15076"/>
      <w:bookmarkStart w:id="1653" w:name="_Toc6830"/>
      <w:bookmarkStart w:id="1654" w:name="_Toc24233"/>
      <w:bookmarkStart w:id="1655" w:name="_Toc12944"/>
      <w:bookmarkStart w:id="1656" w:name="_Toc18024"/>
      <w:bookmarkStart w:id="1657" w:name="_Toc2659"/>
      <w:bookmarkStart w:id="1658" w:name="_Toc29351"/>
      <w:bookmarkStart w:id="1659" w:name="_Toc10387"/>
      <w:bookmarkStart w:id="1660" w:name="_Toc30134"/>
      <w:bookmarkStart w:id="1661" w:name="_Toc10825"/>
      <w:bookmarkStart w:id="1662" w:name="_Toc32427"/>
      <w:bookmarkStart w:id="1663" w:name="_Toc25665"/>
      <w:r>
        <w:rPr>
          <w:rStyle w:val="36"/>
          <w:rFonts w:hint="eastAsia" w:ascii="方正小标宋简体" w:hAnsi="方正小标宋简体" w:eastAsia="方正小标宋简体" w:cs="方正小标宋简体"/>
          <w:color w:val="auto"/>
          <w:sz w:val="36"/>
          <w:szCs w:val="44"/>
        </w:rPr>
        <w:t>第十章</w:t>
      </w:r>
      <w:r>
        <w:rPr>
          <w:rStyle w:val="36"/>
          <w:rFonts w:hint="eastAsia" w:ascii="方正小标宋简体" w:hAnsi="方正小标宋简体" w:eastAsia="方正小标宋简体" w:cs="方正小标宋简体"/>
          <w:bCs w:val="0"/>
          <w:color w:val="auto"/>
          <w:sz w:val="36"/>
          <w:szCs w:val="44"/>
          <w:lang w:eastAsia="zh-CN"/>
        </w:rPr>
        <w:t>　</w:t>
      </w:r>
      <w:r>
        <w:rPr>
          <w:rStyle w:val="36"/>
          <w:rFonts w:hint="eastAsia" w:ascii="方正小标宋简体" w:hAnsi="方正小标宋简体" w:eastAsia="方正小标宋简体" w:cs="方正小标宋简体"/>
          <w:color w:val="auto"/>
          <w:sz w:val="36"/>
          <w:szCs w:val="44"/>
        </w:rPr>
        <w:t>完善监管体系，确保核与辐射</w:t>
      </w:r>
      <w:bookmarkEnd w:id="1647"/>
      <w:r>
        <w:rPr>
          <w:rStyle w:val="36"/>
          <w:rFonts w:hint="eastAsia" w:ascii="方正小标宋简体" w:hAnsi="方正小标宋简体" w:eastAsia="方正小标宋简体" w:cs="方正小标宋简体"/>
          <w:color w:val="auto"/>
          <w:sz w:val="36"/>
          <w:szCs w:val="44"/>
        </w:rPr>
        <w:t>安全</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pPr>
        <w:pStyle w:val="27"/>
        <w:rPr>
          <w:rFonts w:hint="default"/>
        </w:rPr>
      </w:pPr>
      <w:r>
        <w:rPr>
          <w:rFonts w:hint="default"/>
        </w:rPr>
        <w:t>坚持安全第一，牢固树立底线思维，持续推进完善核安全与辐射环境监测与管理体系，防止放射性污染环境的事故，提高辐射管理能力，实现核与辐射的安全监控。</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664" w:name="_Toc24895"/>
      <w:bookmarkStart w:id="1665" w:name="_Toc15198"/>
      <w:bookmarkStart w:id="1666" w:name="_Toc26116"/>
      <w:bookmarkStart w:id="1667" w:name="_Toc26583"/>
      <w:bookmarkStart w:id="1668" w:name="_Toc28038"/>
      <w:bookmarkStart w:id="1669" w:name="_Toc13503"/>
      <w:bookmarkStart w:id="1670" w:name="_Toc2633"/>
      <w:bookmarkStart w:id="1671" w:name="_Toc3833"/>
      <w:bookmarkStart w:id="1672" w:name="_Toc28194"/>
      <w:bookmarkStart w:id="1673" w:name="_Toc8968"/>
      <w:bookmarkStart w:id="1674" w:name="_Toc7541"/>
      <w:bookmarkStart w:id="1675" w:name="_Toc6279"/>
      <w:bookmarkStart w:id="1676" w:name="_Toc11587"/>
      <w:bookmarkStart w:id="1677" w:name="_Toc26318"/>
      <w:bookmarkStart w:id="1678" w:name="_Toc22678"/>
      <w:bookmarkStart w:id="1679" w:name="_Toc9337"/>
      <w:bookmarkStart w:id="1680" w:name="_Toc13032"/>
      <w:r>
        <w:rPr>
          <w:rFonts w:hint="default" w:ascii="黑体" w:hAnsi="黑体" w:eastAsia="黑体" w:cs="黑体"/>
          <w:b w:val="0"/>
          <w:bCs w:val="0"/>
          <w:color w:val="auto"/>
          <w:kern w:val="2"/>
          <w:sz w:val="32"/>
        </w:rPr>
        <w:t>第一节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建立应急联动机</w:t>
      </w:r>
      <w:bookmarkEnd w:id="1664"/>
      <w:r>
        <w:rPr>
          <w:rFonts w:hint="default" w:ascii="黑体" w:hAnsi="黑体" w:eastAsia="黑体" w:cs="黑体"/>
          <w:b w:val="0"/>
          <w:bCs w:val="0"/>
          <w:color w:val="auto"/>
          <w:kern w:val="2"/>
          <w:sz w:val="32"/>
        </w:rPr>
        <w:t>制</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pPr>
        <w:pStyle w:val="27"/>
        <w:rPr>
          <w:rFonts w:hint="default"/>
          <w:lang w:val="en-US" w:eastAsia="zh-CN"/>
        </w:rPr>
      </w:pPr>
      <w:bookmarkStart w:id="1681" w:name="_Toc2923"/>
      <w:r>
        <w:rPr>
          <w:rFonts w:hint="default"/>
          <w:lang w:val="en-US" w:eastAsia="zh-CN"/>
        </w:rPr>
        <w:t>健全统筹有力、权责分明、运转高效的核安全协调机制，完善核与辐射安全领域应急预案体系，提升核应急能力水平。</w:t>
      </w:r>
    </w:p>
    <w:p>
      <w:pPr>
        <w:pStyle w:val="5"/>
        <w:spacing w:before="0" w:after="0"/>
        <w:ind w:firstLine="640" w:firstLineChars="200"/>
        <w:rPr>
          <w:rFonts w:hint="default" w:ascii="黑体" w:hAnsi="黑体" w:eastAsia="黑体" w:cs="黑体"/>
          <w:b w:val="0"/>
          <w:bCs w:val="0"/>
          <w:color w:val="auto"/>
          <w:lang w:val="en-US" w:eastAsia="zh-CN"/>
        </w:rPr>
      </w:pPr>
      <w:bookmarkStart w:id="1682" w:name="_Toc25674"/>
      <w:bookmarkStart w:id="1683" w:name="_Toc22455"/>
      <w:bookmarkStart w:id="1684" w:name="_Toc17916"/>
      <w:bookmarkStart w:id="1685" w:name="_Toc27296"/>
      <w:bookmarkStart w:id="1686" w:name="_Toc22690"/>
      <w:bookmarkStart w:id="1687" w:name="_Toc8218"/>
      <w:bookmarkStart w:id="1688" w:name="_Toc8788"/>
      <w:bookmarkStart w:id="1689" w:name="_Toc3831"/>
      <w:bookmarkStart w:id="1690" w:name="_Toc4977"/>
      <w:r>
        <w:rPr>
          <w:rFonts w:hint="default" w:ascii="黑体" w:hAnsi="黑体" w:eastAsia="黑体" w:cs="黑体"/>
          <w:b w:val="0"/>
          <w:bCs w:val="0"/>
          <w:color w:val="auto"/>
          <w:lang w:val="en-US" w:eastAsia="zh-CN"/>
        </w:rPr>
        <w:t>一、加强重要污染源监管</w:t>
      </w:r>
      <w:bookmarkEnd w:id="1681"/>
      <w:bookmarkEnd w:id="1682"/>
      <w:bookmarkEnd w:id="1683"/>
      <w:bookmarkEnd w:id="1684"/>
      <w:bookmarkEnd w:id="1685"/>
      <w:bookmarkEnd w:id="1686"/>
      <w:bookmarkEnd w:id="1687"/>
      <w:bookmarkEnd w:id="1688"/>
      <w:bookmarkEnd w:id="1689"/>
      <w:bookmarkEnd w:id="1690"/>
    </w:p>
    <w:p>
      <w:pPr>
        <w:pStyle w:val="27"/>
        <w:rPr>
          <w:rFonts w:hint="default"/>
        </w:rPr>
      </w:pPr>
      <w:r>
        <w:rPr>
          <w:rFonts w:hint="default"/>
        </w:rPr>
        <w:t>加强对核技术利用单位的监管，落实韶关市核技术利用单位年度评估工作，要求核技术利用单位对年度评估发现的问题立行立改。持续定期开展放射源专项行动，每年开展一次放射源安全专项检查，查找安全隐患，对违法违规行为进行查处。加强放射性常规监测断面的监</w:t>
      </w:r>
      <w:r>
        <w:rPr>
          <w:rFonts w:hint="eastAsia"/>
          <w:lang w:eastAsia="zh-CN"/>
        </w:rPr>
        <w:t>测</w:t>
      </w:r>
      <w:r>
        <w:rPr>
          <w:rFonts w:hint="default"/>
        </w:rPr>
        <w:t>。加强核与辐射环境的监管。</w:t>
      </w:r>
    </w:p>
    <w:p>
      <w:pPr>
        <w:pStyle w:val="5"/>
        <w:spacing w:before="0" w:after="0"/>
        <w:ind w:firstLine="640" w:firstLineChars="200"/>
        <w:rPr>
          <w:rFonts w:hint="default" w:ascii="黑体" w:hAnsi="黑体" w:eastAsia="黑体" w:cs="黑体"/>
          <w:b w:val="0"/>
          <w:bCs w:val="0"/>
          <w:color w:val="auto"/>
          <w:lang w:val="en-US" w:eastAsia="zh-CN"/>
        </w:rPr>
      </w:pPr>
      <w:bookmarkStart w:id="1691" w:name="_Toc14849"/>
      <w:bookmarkStart w:id="1692" w:name="_Toc16945"/>
      <w:bookmarkStart w:id="1693" w:name="_Toc31603"/>
      <w:bookmarkStart w:id="1694" w:name="_Toc10967"/>
      <w:bookmarkStart w:id="1695" w:name="_Toc2403"/>
      <w:bookmarkStart w:id="1696" w:name="_Toc1815"/>
      <w:bookmarkStart w:id="1697" w:name="_Toc6337"/>
      <w:bookmarkStart w:id="1698" w:name="_Toc31625"/>
      <w:bookmarkStart w:id="1699" w:name="_Toc3624"/>
      <w:bookmarkStart w:id="1700" w:name="_Toc6033"/>
      <w:r>
        <w:rPr>
          <w:rFonts w:hint="default" w:ascii="黑体" w:hAnsi="黑体" w:eastAsia="黑体" w:cs="黑体"/>
          <w:b w:val="0"/>
          <w:bCs w:val="0"/>
          <w:color w:val="auto"/>
          <w:lang w:val="en-US" w:eastAsia="zh-CN"/>
        </w:rPr>
        <w:t>二、加强核安全文化建设</w:t>
      </w:r>
      <w:bookmarkEnd w:id="1691"/>
      <w:bookmarkEnd w:id="1692"/>
      <w:bookmarkEnd w:id="1693"/>
      <w:bookmarkEnd w:id="1694"/>
      <w:bookmarkEnd w:id="1695"/>
      <w:bookmarkEnd w:id="1696"/>
      <w:bookmarkEnd w:id="1697"/>
      <w:bookmarkEnd w:id="1698"/>
      <w:bookmarkEnd w:id="1699"/>
      <w:bookmarkEnd w:id="1700"/>
    </w:p>
    <w:p>
      <w:pPr>
        <w:pStyle w:val="27"/>
        <w:jc w:val="both"/>
        <w:rPr>
          <w:rFonts w:hint="default"/>
        </w:rPr>
      </w:pPr>
      <w:r>
        <w:rPr>
          <w:rFonts w:hint="default"/>
        </w:rPr>
        <w:t>积极推动、引导核技术利用单位建立健全核安全文化，采用现场宣传、专项交流等多种形式开展核安全文化宣传，促进核技术利用单位自觉提升辐射安全管理水平和责任意识，切实承担起企业核与辐射安全风险防范责任。不断营造核与辐射安全第一的氛围，促进企业主动关注辐射安全。</w:t>
      </w:r>
    </w:p>
    <w:p>
      <w:pPr>
        <w:pStyle w:val="5"/>
        <w:spacing w:before="0" w:after="0"/>
        <w:ind w:firstLine="640" w:firstLineChars="200"/>
        <w:rPr>
          <w:rFonts w:hint="default" w:ascii="黑体" w:hAnsi="黑体" w:eastAsia="黑体" w:cs="黑体"/>
          <w:b w:val="0"/>
          <w:bCs w:val="0"/>
          <w:color w:val="auto"/>
          <w:lang w:val="en-US" w:eastAsia="zh-CN"/>
        </w:rPr>
      </w:pPr>
      <w:bookmarkStart w:id="1701" w:name="_Toc5932"/>
      <w:bookmarkStart w:id="1702" w:name="_Toc16723"/>
      <w:bookmarkStart w:id="1703" w:name="_Toc7182"/>
      <w:bookmarkStart w:id="1704" w:name="_Toc12801"/>
      <w:bookmarkStart w:id="1705" w:name="_Toc8513"/>
      <w:bookmarkStart w:id="1706" w:name="_Toc13844"/>
      <w:bookmarkStart w:id="1707" w:name="_Toc26428"/>
      <w:bookmarkStart w:id="1708" w:name="_Toc4309"/>
      <w:bookmarkStart w:id="1709" w:name="_Toc26648"/>
      <w:bookmarkStart w:id="1710" w:name="_Toc14369"/>
      <w:r>
        <w:rPr>
          <w:rFonts w:hint="default" w:ascii="黑体" w:hAnsi="黑体" w:eastAsia="黑体" w:cs="黑体"/>
          <w:b w:val="0"/>
          <w:bCs w:val="0"/>
          <w:color w:val="auto"/>
          <w:lang w:val="en-US" w:eastAsia="zh-CN"/>
        </w:rPr>
        <w:t>三、提升辐射安全精细化管理水平</w:t>
      </w:r>
      <w:bookmarkEnd w:id="1701"/>
      <w:bookmarkEnd w:id="1702"/>
      <w:bookmarkEnd w:id="1703"/>
      <w:bookmarkEnd w:id="1704"/>
      <w:bookmarkEnd w:id="1705"/>
      <w:bookmarkEnd w:id="1706"/>
      <w:bookmarkEnd w:id="1707"/>
      <w:bookmarkEnd w:id="1708"/>
      <w:bookmarkEnd w:id="1709"/>
      <w:bookmarkEnd w:id="1710"/>
    </w:p>
    <w:p>
      <w:pPr>
        <w:pStyle w:val="27"/>
        <w:rPr>
          <w:rFonts w:hint="default"/>
        </w:rPr>
      </w:pPr>
      <w:r>
        <w:rPr>
          <w:rFonts w:hint="default"/>
        </w:rPr>
        <w:t>坚持以风险为导向，突出监管重点</w:t>
      </w:r>
      <w:r>
        <w:rPr>
          <w:rFonts w:hint="eastAsia"/>
          <w:lang w:eastAsia="zh-CN"/>
        </w:rPr>
        <w:t>。</w:t>
      </w:r>
      <w:r>
        <w:rPr>
          <w:rFonts w:hint="default"/>
        </w:rPr>
        <w:t>对核技术利用单位进行风险等级划分，对高风险、易出问题的核技术利用单位及生产环节，开展重点监督检查，并适当提高检查频次；坚持以问题为导向，对检查中发现问题较为突出的单位，要督促并指导核技术利用单位解决好存在的问题。探索建立一套科学、客观、动态的辐射安全风险分析、评级系统，实现核技术利用单位辐射安全个性化、精细化管理。</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711" w:name="_Toc10027"/>
      <w:bookmarkStart w:id="1712" w:name="_Toc26066"/>
      <w:bookmarkStart w:id="1713" w:name="_Toc9746"/>
      <w:bookmarkStart w:id="1714" w:name="_Toc30775"/>
      <w:bookmarkStart w:id="1715" w:name="_Toc21666"/>
      <w:bookmarkStart w:id="1716" w:name="_Toc7911"/>
      <w:bookmarkStart w:id="1717" w:name="_Toc12138"/>
      <w:bookmarkStart w:id="1718" w:name="_Toc30046"/>
      <w:bookmarkStart w:id="1719" w:name="_Toc26883"/>
      <w:bookmarkStart w:id="1720" w:name="_Toc1438"/>
      <w:bookmarkStart w:id="1721" w:name="_Toc19378"/>
      <w:bookmarkStart w:id="1722" w:name="_Toc5778"/>
      <w:bookmarkStart w:id="1723" w:name="_Toc6049"/>
      <w:bookmarkStart w:id="1724" w:name="_Toc20543"/>
      <w:bookmarkStart w:id="1725" w:name="_Toc19431"/>
      <w:bookmarkStart w:id="1726" w:name="_Toc19163"/>
      <w:bookmarkStart w:id="1727" w:name="_Toc12823"/>
      <w:r>
        <w:rPr>
          <w:rFonts w:hint="default" w:ascii="黑体" w:hAnsi="黑体" w:eastAsia="黑体" w:cs="黑体"/>
          <w:b w:val="0"/>
          <w:bCs w:val="0"/>
          <w:color w:val="auto"/>
          <w:kern w:val="2"/>
          <w:sz w:val="32"/>
        </w:rPr>
        <w:t>第二节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提高核与辐射安全监管能</w:t>
      </w:r>
      <w:bookmarkEnd w:id="1711"/>
      <w:r>
        <w:rPr>
          <w:rFonts w:hint="default" w:ascii="黑体" w:hAnsi="黑体" w:eastAsia="黑体" w:cs="黑体"/>
          <w:b w:val="0"/>
          <w:bCs w:val="0"/>
          <w:color w:val="auto"/>
          <w:kern w:val="2"/>
          <w:sz w:val="32"/>
        </w:rPr>
        <w:t>力</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pPr>
        <w:pStyle w:val="27"/>
        <w:rPr>
          <w:rFonts w:hint="default" w:ascii="Times New Roman" w:hAnsi="Times New Roman" w:cs="Times New Roman"/>
          <w:color w:val="auto"/>
        </w:rPr>
      </w:pPr>
      <w:r>
        <w:rPr>
          <w:rFonts w:hint="eastAsia" w:cs="Times New Roman"/>
          <w:color w:val="auto"/>
          <w:lang w:val="en-US" w:eastAsia="zh-CN"/>
        </w:rPr>
        <w:t>充实</w:t>
      </w:r>
      <w:r>
        <w:rPr>
          <w:rFonts w:hint="default" w:ascii="Times New Roman" w:hAnsi="Times New Roman" w:cs="Times New Roman"/>
          <w:color w:val="auto"/>
        </w:rPr>
        <w:t>辐射监管、监测队伍，优化人才结构，加强人员培训，维持辐射安全监管人员的相对稳定。对放射源及射线装置在国家核技术利用平台统一申报管理，加强国家核技术利用平台的使用，及时将各县（市、区）核技术利用单位的检查记录上传到国家核技术利用平台，逐步完善韶关市辐射环境信息化、现代化管理体系。建立完善市控电磁辐射设施监督性监测体系，配合广东省辐射监测中心对典型电磁辐射设施开展监督性监测。初步掌握</w:t>
      </w:r>
      <w:r>
        <w:rPr>
          <w:rFonts w:hint="eastAsia" w:ascii="Times New Roman" w:hAnsi="Times New Roman" w:cs="Times New Roman"/>
          <w:color w:val="auto"/>
          <w:lang w:eastAsia="zh-CN"/>
        </w:rPr>
        <w:t>韶关</w:t>
      </w:r>
      <w:r>
        <w:rPr>
          <w:rFonts w:hint="default" w:ascii="Times New Roman" w:hAnsi="Times New Roman" w:cs="Times New Roman"/>
          <w:color w:val="auto"/>
        </w:rPr>
        <w:t>市通信基站电磁辐射水平，敏感区域移动通讯基站监测点位实现全覆盖。对第三方电磁辐射监测机构进行定期抽查考核。摸清</w:t>
      </w:r>
      <w:r>
        <w:rPr>
          <w:rFonts w:hint="eastAsia" w:ascii="Times New Roman" w:hAnsi="Times New Roman" w:cs="Times New Roman"/>
          <w:color w:val="auto"/>
          <w:lang w:eastAsia="zh-CN"/>
        </w:rPr>
        <w:t>韶关</w:t>
      </w:r>
      <w:r>
        <w:rPr>
          <w:rFonts w:hint="default" w:ascii="Times New Roman" w:hAnsi="Times New Roman" w:cs="Times New Roman"/>
          <w:color w:val="auto"/>
        </w:rPr>
        <w:t>市电磁环境质量，对电磁环境质量进行网格化监测，初步建立电磁环境质量监测与评价模式，提升电磁环境信息管理水平。</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728" w:name="_Toc14279"/>
      <w:bookmarkStart w:id="1729" w:name="_Toc3090"/>
      <w:bookmarkStart w:id="1730" w:name="_Toc18727"/>
      <w:bookmarkStart w:id="1731" w:name="_Toc20922"/>
      <w:bookmarkStart w:id="1732" w:name="_Toc16196"/>
      <w:bookmarkStart w:id="1733" w:name="_Toc24370"/>
      <w:bookmarkStart w:id="1734" w:name="_Toc15541"/>
      <w:bookmarkStart w:id="1735" w:name="_Toc16595"/>
      <w:bookmarkStart w:id="1736" w:name="_Toc21230"/>
      <w:bookmarkStart w:id="1737" w:name="_Toc17008"/>
      <w:bookmarkStart w:id="1738" w:name="_Toc20551"/>
      <w:bookmarkStart w:id="1739" w:name="_Toc5532"/>
      <w:bookmarkStart w:id="1740" w:name="_Toc19146"/>
      <w:bookmarkStart w:id="1741" w:name="_Toc16765"/>
      <w:bookmarkStart w:id="1742" w:name="_Toc18741"/>
      <w:bookmarkStart w:id="1743" w:name="_Toc20317"/>
      <w:bookmarkStart w:id="1744" w:name="_Toc15473"/>
      <w:r>
        <w:rPr>
          <w:rFonts w:hint="default" w:ascii="黑体" w:hAnsi="黑体" w:eastAsia="黑体" w:cs="黑体"/>
          <w:b w:val="0"/>
          <w:bCs w:val="0"/>
          <w:color w:val="auto"/>
          <w:kern w:val="2"/>
          <w:sz w:val="32"/>
        </w:rPr>
        <w:t>第三节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保障伴生矿辐射环境安</w:t>
      </w:r>
      <w:bookmarkEnd w:id="1728"/>
      <w:r>
        <w:rPr>
          <w:rFonts w:hint="default" w:ascii="黑体" w:hAnsi="黑体" w:eastAsia="黑体" w:cs="黑体"/>
          <w:b w:val="0"/>
          <w:bCs w:val="0"/>
          <w:color w:val="auto"/>
          <w:kern w:val="2"/>
          <w:sz w:val="32"/>
        </w:rPr>
        <w:t>全</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pPr>
        <w:pStyle w:val="27"/>
        <w:rPr>
          <w:rFonts w:hint="default" w:ascii="Times New Roman" w:hAnsi="Times New Roman" w:cs="Times New Roman"/>
          <w:color w:val="auto"/>
        </w:rPr>
      </w:pPr>
      <w:r>
        <w:rPr>
          <w:rFonts w:hint="default" w:ascii="Times New Roman" w:hAnsi="Times New Roman" w:cs="Times New Roman"/>
          <w:color w:val="auto"/>
        </w:rPr>
        <w:t>加强对纳入辐射安全监管的伴生放射性矿开发利用企业的监管。配合广东省辐射监测中心持续对纳入辐射安全监管的伴生放射性矿开发利用企业开展监督性监测。加强对伴生放射性矿开发利用企业的日常监管。</w:t>
      </w:r>
      <w:r>
        <w:rPr>
          <w:rFonts w:hint="eastAsia" w:cs="Times New Roman"/>
          <w:color w:val="auto"/>
          <w:lang w:val="en-US" w:eastAsia="zh-CN"/>
        </w:rPr>
        <w:t>推进</w:t>
      </w:r>
      <w:r>
        <w:rPr>
          <w:rFonts w:hint="default" w:ascii="Times New Roman" w:hAnsi="Times New Roman" w:cs="Times New Roman"/>
          <w:color w:val="auto"/>
        </w:rPr>
        <w:t>伴生矿废渣处理处置项目</w:t>
      </w:r>
      <w:r>
        <w:rPr>
          <w:rFonts w:hint="eastAsia" w:cs="Times New Roman"/>
          <w:color w:val="auto"/>
          <w:lang w:val="en-US" w:eastAsia="zh-CN"/>
        </w:rPr>
        <w:t>建设</w:t>
      </w:r>
      <w:r>
        <w:rPr>
          <w:rFonts w:hint="default" w:ascii="Times New Roman" w:hAnsi="Times New Roman" w:cs="Times New Roman"/>
          <w:color w:val="auto"/>
        </w:rPr>
        <w:t>，探索解决伴生放射性废渣安全处理处置的方法和路径。</w:t>
      </w:r>
    </w:p>
    <w:p>
      <w:pPr>
        <w:pStyle w:val="3"/>
        <w:numPr>
          <w:ilvl w:val="0"/>
          <w:numId w:val="7"/>
        </w:numPr>
        <w:jc w:val="center"/>
        <w:rPr>
          <w:rFonts w:hint="eastAsia" w:ascii="方正小标宋简体" w:hAnsi="方正小标宋简体" w:eastAsia="方正小标宋简体" w:cs="方正小标宋简体"/>
          <w:color w:val="auto"/>
          <w:sz w:val="36"/>
          <w:szCs w:val="36"/>
        </w:rPr>
      </w:pPr>
      <w:r>
        <w:rPr>
          <w:rFonts w:hint="default" w:ascii="Times New Roman" w:hAnsi="Times New Roman" w:eastAsia="楷体_GB2312" w:cs="Times New Roman"/>
          <w:color w:val="auto"/>
          <w:sz w:val="32"/>
        </w:rPr>
        <w:br w:type="page"/>
      </w:r>
      <w:bookmarkEnd w:id="1535"/>
      <w:bookmarkStart w:id="1745" w:name="_Toc619"/>
      <w:bookmarkStart w:id="1746" w:name="_Toc27215"/>
      <w:bookmarkStart w:id="1747" w:name="_Toc20282"/>
      <w:bookmarkStart w:id="1748" w:name="_Toc9069"/>
      <w:bookmarkStart w:id="1749" w:name="_Toc80280518"/>
      <w:bookmarkStart w:id="1750" w:name="_Toc21809"/>
      <w:bookmarkStart w:id="1751" w:name="_Toc25955"/>
      <w:bookmarkStart w:id="1752" w:name="_Toc25585"/>
      <w:bookmarkStart w:id="1753" w:name="_Toc24162"/>
      <w:bookmarkStart w:id="1754" w:name="_Toc2214"/>
      <w:bookmarkStart w:id="1755" w:name="_Toc27708"/>
      <w:bookmarkStart w:id="1756" w:name="_Toc7903"/>
      <w:bookmarkStart w:id="1757" w:name="_Toc29369"/>
      <w:bookmarkStart w:id="1758" w:name="_Toc7168"/>
      <w:bookmarkStart w:id="1759" w:name="_Toc24208"/>
      <w:bookmarkStart w:id="1760" w:name="_Toc28098"/>
      <w:bookmarkStart w:id="1761" w:name="_Toc12854"/>
      <w:bookmarkStart w:id="1762" w:name="_Toc26221"/>
      <w:bookmarkStart w:id="1763" w:name="_Toc19"/>
      <w:bookmarkStart w:id="1764" w:name="_Toc19797"/>
      <w:bookmarkStart w:id="1765" w:name="_Toc19024"/>
      <w:bookmarkStart w:id="1766" w:name="_Toc13481"/>
      <w:bookmarkStart w:id="1767" w:name="_Toc5491"/>
      <w:bookmarkStart w:id="1768" w:name="_Toc16875"/>
      <w:bookmarkStart w:id="1769" w:name="_Toc30794"/>
      <w:bookmarkStart w:id="1770" w:name="_Toc57663225"/>
      <w:bookmarkStart w:id="1771" w:name="_Toc61001266"/>
      <w:r>
        <w:rPr>
          <w:rFonts w:hint="eastAsia" w:ascii="方正小标宋简体" w:hAnsi="方正小标宋简体" w:eastAsia="方正小标宋简体" w:cs="方正小标宋简体"/>
          <w:color w:val="auto"/>
          <w:sz w:val="36"/>
          <w:szCs w:val="36"/>
        </w:rPr>
        <w:t>坚持改革创新，构建现代环境治理体</w:t>
      </w:r>
      <w:bookmarkEnd w:id="1745"/>
      <w:r>
        <w:rPr>
          <w:rFonts w:hint="eastAsia" w:ascii="方正小标宋简体" w:hAnsi="方正小标宋简体" w:eastAsia="方正小标宋简体" w:cs="方正小标宋简体"/>
          <w:color w:val="auto"/>
          <w:sz w:val="36"/>
          <w:szCs w:val="36"/>
        </w:rPr>
        <w:t>系</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pStyle w:val="27"/>
        <w:rPr>
          <w:rFonts w:hint="default" w:ascii="Times New Roman" w:hAnsi="Times New Roman" w:cs="Times New Roman"/>
          <w:color w:val="auto"/>
        </w:rPr>
      </w:pPr>
    </w:p>
    <w:p>
      <w:pPr>
        <w:pStyle w:val="27"/>
        <w:rPr>
          <w:rFonts w:hint="default" w:ascii="Times New Roman" w:hAnsi="Times New Roman" w:cs="Times New Roman"/>
          <w:color w:val="auto"/>
        </w:rPr>
      </w:pPr>
      <w:r>
        <w:rPr>
          <w:rFonts w:hint="default" w:ascii="Times New Roman" w:hAnsi="Times New Roman" w:cs="Times New Roman"/>
          <w:color w:val="auto"/>
        </w:rPr>
        <w:t>实施最严格的生态环境保护制度，全面落实生态环境保护党政同责、一岗双责，完善生态文明建设的统筹协调机制，创新治理手段，健全政府、企业、公众共治的现代环境治理体系，为实现美丽韶关提供制度保障。</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772" w:name="_Toc3338"/>
      <w:bookmarkStart w:id="1773" w:name="_Toc19845"/>
      <w:bookmarkStart w:id="1774" w:name="_Toc9027"/>
      <w:bookmarkStart w:id="1775" w:name="_Toc4426"/>
      <w:bookmarkStart w:id="1776" w:name="_Toc16294"/>
      <w:bookmarkStart w:id="1777" w:name="_Toc6705"/>
      <w:bookmarkStart w:id="1778" w:name="_Toc13114"/>
      <w:bookmarkStart w:id="1779" w:name="_Toc5561"/>
      <w:bookmarkStart w:id="1780" w:name="_Toc32131"/>
      <w:bookmarkStart w:id="1781" w:name="_Toc28168"/>
      <w:bookmarkStart w:id="1782" w:name="_Toc13406"/>
      <w:bookmarkStart w:id="1783" w:name="_Toc5256"/>
      <w:bookmarkStart w:id="1784" w:name="_Toc27499"/>
      <w:bookmarkStart w:id="1785" w:name="_Toc80280519"/>
      <w:bookmarkStart w:id="1786" w:name="_Toc21306"/>
      <w:bookmarkStart w:id="1787" w:name="_Toc8270"/>
      <w:bookmarkStart w:id="1788" w:name="_Toc29891"/>
      <w:bookmarkStart w:id="1789" w:name="_Toc20711"/>
      <w:bookmarkStart w:id="1790" w:name="_Toc27228"/>
      <w:bookmarkStart w:id="1791" w:name="_Toc22192"/>
      <w:bookmarkStart w:id="1792" w:name="_Toc5887"/>
      <w:bookmarkStart w:id="1793" w:name="_Toc15848"/>
      <w:bookmarkStart w:id="1794" w:name="_Toc19190"/>
      <w:bookmarkStart w:id="1795" w:name="_Toc28335"/>
      <w:r>
        <w:rPr>
          <w:rFonts w:hint="eastAsia" w:ascii="黑体" w:hAnsi="黑体" w:eastAsia="黑体" w:cs="黑体"/>
          <w:b w:val="0"/>
          <w:bCs w:val="0"/>
          <w:color w:val="auto"/>
          <w:kern w:val="2"/>
          <w:sz w:val="32"/>
          <w:lang w:val="en-US" w:eastAsia="zh-CN"/>
        </w:rPr>
        <w:t>第一节　</w:t>
      </w:r>
      <w:r>
        <w:rPr>
          <w:rFonts w:hint="default" w:ascii="黑体" w:hAnsi="黑体" w:eastAsia="黑体" w:cs="黑体"/>
          <w:b w:val="0"/>
          <w:bCs w:val="0"/>
          <w:color w:val="auto"/>
          <w:kern w:val="2"/>
          <w:sz w:val="32"/>
        </w:rPr>
        <w:t>完善生态环境管理体制机</w:t>
      </w:r>
      <w:bookmarkEnd w:id="1772"/>
      <w:r>
        <w:rPr>
          <w:rFonts w:hint="default" w:ascii="黑体" w:hAnsi="黑体" w:eastAsia="黑体" w:cs="黑体"/>
          <w:b w:val="0"/>
          <w:bCs w:val="0"/>
          <w:color w:val="auto"/>
          <w:kern w:val="2"/>
          <w:sz w:val="32"/>
        </w:rPr>
        <w:t>制</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pPr>
        <w:pStyle w:val="5"/>
        <w:spacing w:before="0" w:after="0"/>
        <w:ind w:firstLine="640" w:firstLineChars="200"/>
        <w:rPr>
          <w:rFonts w:hint="default" w:ascii="黑体" w:hAnsi="黑体" w:eastAsia="黑体" w:cs="黑体"/>
          <w:b w:val="0"/>
          <w:bCs w:val="0"/>
          <w:color w:val="auto"/>
          <w:lang w:val="en-US" w:eastAsia="zh-CN"/>
        </w:rPr>
      </w:pPr>
      <w:bookmarkStart w:id="1796" w:name="_Toc21981"/>
      <w:bookmarkStart w:id="1797" w:name="_Toc19246"/>
      <w:bookmarkStart w:id="1798" w:name="_Toc2388"/>
      <w:bookmarkStart w:id="1799" w:name="_Toc4594"/>
      <w:bookmarkStart w:id="1800" w:name="_Toc25380"/>
      <w:bookmarkStart w:id="1801" w:name="_Toc24443"/>
      <w:bookmarkStart w:id="1802" w:name="_Toc25759"/>
      <w:bookmarkStart w:id="1803" w:name="_Toc2527"/>
      <w:bookmarkStart w:id="1804" w:name="_Toc4030"/>
      <w:r>
        <w:rPr>
          <w:rFonts w:hint="eastAsia" w:ascii="黑体" w:hAnsi="黑体" w:eastAsia="黑体" w:cs="黑体"/>
          <w:b w:val="0"/>
          <w:bCs w:val="0"/>
          <w:color w:val="auto"/>
          <w:lang w:val="en-US" w:eastAsia="zh-CN"/>
        </w:rPr>
        <w:t>一、</w:t>
      </w:r>
      <w:r>
        <w:rPr>
          <w:rFonts w:hint="default" w:ascii="黑体" w:hAnsi="黑体" w:eastAsia="黑体" w:cs="黑体"/>
          <w:b w:val="0"/>
          <w:bCs w:val="0"/>
          <w:color w:val="auto"/>
          <w:lang w:val="en-US" w:eastAsia="zh-CN"/>
        </w:rPr>
        <w:t>严格实行生态环境保护党政同责、一岗双责</w:t>
      </w:r>
      <w:bookmarkEnd w:id="1796"/>
      <w:bookmarkEnd w:id="1797"/>
      <w:bookmarkEnd w:id="1798"/>
      <w:bookmarkEnd w:id="1799"/>
      <w:bookmarkEnd w:id="1800"/>
      <w:bookmarkEnd w:id="1801"/>
      <w:bookmarkEnd w:id="1802"/>
      <w:bookmarkEnd w:id="1803"/>
      <w:bookmarkEnd w:id="1804"/>
    </w:p>
    <w:p>
      <w:pPr>
        <w:pStyle w:val="27"/>
        <w:rPr>
          <w:rFonts w:hint="default" w:ascii="Times New Roman" w:hAnsi="Times New Roman" w:cs="Times New Roman"/>
          <w:color w:val="auto"/>
        </w:rPr>
      </w:pPr>
      <w:r>
        <w:rPr>
          <w:rFonts w:hint="default" w:ascii="Times New Roman" w:hAnsi="Times New Roman" w:cs="Times New Roman"/>
          <w:color w:val="auto"/>
        </w:rPr>
        <w:t>加强</w:t>
      </w:r>
      <w:r>
        <w:rPr>
          <w:rFonts w:hint="eastAsia" w:cs="Times New Roman"/>
          <w:color w:val="auto"/>
          <w:lang w:eastAsia="zh-CN"/>
        </w:rPr>
        <w:t>市县</w:t>
      </w:r>
      <w:r>
        <w:rPr>
          <w:rFonts w:hint="default" w:ascii="Times New Roman" w:hAnsi="Times New Roman" w:cs="Times New Roman"/>
          <w:color w:val="auto"/>
        </w:rPr>
        <w:t>生态环境保护委员会建设，建立健全工作体制机制，强化对生态环境工作的统筹领导和协调推进。贯彻落实《关于严格落实生态环境保护责任的实施意见》</w:t>
      </w:r>
      <w:r>
        <w:rPr>
          <w:rFonts w:hint="default" w:ascii="Times New Roman" w:hAnsi="Times New Roman" w:cs="Times New Roman"/>
          <w:color w:val="auto"/>
          <w:lang w:eastAsia="zh-CN"/>
        </w:rPr>
        <w:t>，</w:t>
      </w:r>
      <w:r>
        <w:rPr>
          <w:rFonts w:hint="default" w:ascii="Times New Roman" w:hAnsi="Times New Roman" w:cs="Times New Roman"/>
          <w:color w:val="auto"/>
        </w:rPr>
        <w:t>压实职能部门生态环境保护责任。开展领导干部自然资源资产离任（任中）审计，建立常态化的审计机制，探索引入第三方专业机构进行自然资源资产审计。深化党政领导干部生态环境损害责任追究制度。</w:t>
      </w:r>
    </w:p>
    <w:p>
      <w:pPr>
        <w:pStyle w:val="5"/>
        <w:spacing w:before="0" w:after="0"/>
        <w:ind w:firstLine="640" w:firstLineChars="200"/>
        <w:rPr>
          <w:rFonts w:hint="default" w:ascii="黑体" w:hAnsi="黑体" w:eastAsia="黑体" w:cs="黑体"/>
          <w:b w:val="0"/>
          <w:bCs w:val="0"/>
          <w:color w:val="auto"/>
          <w:lang w:val="en-US" w:eastAsia="zh-CN"/>
        </w:rPr>
      </w:pPr>
      <w:bookmarkStart w:id="1805" w:name="_Toc19932"/>
      <w:bookmarkStart w:id="1806" w:name="_Toc3457"/>
      <w:bookmarkStart w:id="1807" w:name="_Toc531"/>
      <w:bookmarkStart w:id="1808" w:name="_Toc337"/>
      <w:bookmarkStart w:id="1809" w:name="_Toc23905"/>
      <w:bookmarkStart w:id="1810" w:name="_Toc27549"/>
      <w:bookmarkStart w:id="1811" w:name="_Toc13186"/>
      <w:bookmarkStart w:id="1812" w:name="_Toc3246"/>
      <w:bookmarkStart w:id="1813" w:name="_Toc18454"/>
      <w:r>
        <w:rPr>
          <w:rFonts w:hint="eastAsia" w:ascii="黑体" w:hAnsi="黑体" w:eastAsia="黑体" w:cs="黑体"/>
          <w:b w:val="0"/>
          <w:bCs w:val="0"/>
          <w:color w:val="auto"/>
          <w:lang w:val="en-US" w:eastAsia="zh-CN"/>
        </w:rPr>
        <w:t>二、</w:t>
      </w:r>
      <w:r>
        <w:rPr>
          <w:rFonts w:hint="default" w:ascii="黑体" w:hAnsi="黑体" w:eastAsia="黑体" w:cs="黑体"/>
          <w:b w:val="0"/>
          <w:bCs w:val="0"/>
          <w:color w:val="auto"/>
          <w:lang w:val="en-US" w:eastAsia="zh-CN"/>
        </w:rPr>
        <w:t>健全以排污许可制为核心的固定污染源监管制度</w:t>
      </w:r>
      <w:bookmarkEnd w:id="1805"/>
      <w:bookmarkEnd w:id="1806"/>
      <w:bookmarkEnd w:id="1807"/>
      <w:bookmarkEnd w:id="1808"/>
      <w:bookmarkEnd w:id="1809"/>
      <w:bookmarkEnd w:id="1810"/>
      <w:bookmarkEnd w:id="1811"/>
      <w:bookmarkEnd w:id="1812"/>
      <w:bookmarkEnd w:id="1813"/>
    </w:p>
    <w:p>
      <w:pPr>
        <w:pStyle w:val="27"/>
        <w:rPr>
          <w:rFonts w:hint="default" w:ascii="Times New Roman" w:hAnsi="Times New Roman" w:cs="Times New Roman"/>
          <w:color w:val="auto"/>
        </w:rPr>
      </w:pPr>
      <w:r>
        <w:rPr>
          <w:rFonts w:hint="eastAsia"/>
          <w:color w:val="auto"/>
          <w:sz w:val="32"/>
          <w:szCs w:val="32"/>
        </w:rPr>
        <w:t>持续推进排污许可制改革，完善排污许可证信息公开制度，健全企业排污许可证档案信息台账和数据</w:t>
      </w:r>
      <w:r>
        <w:rPr>
          <w:rFonts w:hint="eastAsia" w:ascii="仿宋_GB2312"/>
          <w:color w:val="auto"/>
          <w:sz w:val="32"/>
          <w:szCs w:val="32"/>
        </w:rPr>
        <w:t>库，完善企业台账管理、自行监测、执行报告制度。推动排污许可与生态环境执法、环境监测、环评、总量控制等制度有效衔接。推动重点行业环境影响评价、</w:t>
      </w:r>
      <w:r>
        <w:rPr>
          <w:rFonts w:hint="eastAsia"/>
          <w:color w:val="auto"/>
          <w:sz w:val="32"/>
          <w:szCs w:val="32"/>
        </w:rPr>
        <w:t>排污许可、监管执法全闭环管理。</w:t>
      </w:r>
    </w:p>
    <w:p>
      <w:pPr>
        <w:pStyle w:val="5"/>
        <w:spacing w:before="0" w:after="0"/>
        <w:ind w:firstLine="640" w:firstLineChars="200"/>
        <w:rPr>
          <w:rFonts w:hint="default" w:ascii="黑体" w:hAnsi="黑体" w:eastAsia="黑体" w:cs="黑体"/>
          <w:b w:val="0"/>
          <w:bCs w:val="0"/>
          <w:color w:val="auto"/>
          <w:lang w:val="en-US" w:eastAsia="zh-CN"/>
        </w:rPr>
      </w:pPr>
      <w:bookmarkStart w:id="1814" w:name="_Toc9397"/>
      <w:bookmarkStart w:id="1815" w:name="_Toc26215"/>
      <w:bookmarkStart w:id="1816" w:name="_Toc7915"/>
      <w:bookmarkStart w:id="1817" w:name="_Toc20414"/>
      <w:bookmarkStart w:id="1818" w:name="_Toc12572"/>
      <w:bookmarkStart w:id="1819" w:name="_Toc14441"/>
      <w:bookmarkStart w:id="1820" w:name="_Toc8111"/>
      <w:bookmarkStart w:id="1821" w:name="_Toc22123"/>
      <w:bookmarkStart w:id="1822" w:name="_Toc6896"/>
      <w:r>
        <w:rPr>
          <w:rFonts w:hint="eastAsia" w:ascii="黑体" w:hAnsi="黑体" w:eastAsia="黑体" w:cs="黑体"/>
          <w:b w:val="0"/>
          <w:bCs w:val="0"/>
          <w:color w:val="auto"/>
          <w:lang w:val="en-US" w:eastAsia="zh-CN"/>
        </w:rPr>
        <w:t>三、</w:t>
      </w:r>
      <w:r>
        <w:rPr>
          <w:rFonts w:hint="default" w:ascii="黑体" w:hAnsi="黑体" w:eastAsia="黑体" w:cs="黑体"/>
          <w:b w:val="0"/>
          <w:bCs w:val="0"/>
          <w:color w:val="auto"/>
          <w:lang w:val="en-US" w:eastAsia="zh-CN"/>
        </w:rPr>
        <w:t>深化生态环境目标评价考核</w:t>
      </w:r>
      <w:bookmarkEnd w:id="1814"/>
      <w:bookmarkEnd w:id="1815"/>
      <w:bookmarkEnd w:id="1816"/>
      <w:bookmarkEnd w:id="1817"/>
      <w:bookmarkEnd w:id="1818"/>
      <w:bookmarkEnd w:id="1819"/>
      <w:bookmarkEnd w:id="1820"/>
      <w:bookmarkEnd w:id="1821"/>
      <w:bookmarkEnd w:id="1822"/>
    </w:p>
    <w:p>
      <w:pPr>
        <w:pStyle w:val="27"/>
        <w:rPr>
          <w:rFonts w:hint="default" w:ascii="Times New Roman" w:hAnsi="Times New Roman" w:cs="Times New Roman"/>
          <w:color w:val="auto"/>
        </w:rPr>
      </w:pPr>
      <w:r>
        <w:rPr>
          <w:rFonts w:hint="eastAsia" w:ascii="仿宋_GB2312" w:hAnsi="仿宋_GB2312" w:eastAsia="仿宋_GB2312" w:cs="仿宋_GB2312"/>
          <w:snapToGrid w:val="0"/>
          <w:color w:val="auto"/>
          <w:kern w:val="0"/>
          <w:sz w:val="32"/>
          <w:szCs w:val="32"/>
          <w:lang w:val="en-US" w:eastAsia="zh-CN" w:bidi="ar-SA"/>
        </w:rPr>
        <w:t>完善生态环境保护责任考核体系，突出污染防治攻坚成效、生态环境质量改善考核，加强环境保护、节能减排降碳约束性指标管理。加强考核结果应用，将考核结果作为各级领导班子和领导干部任用和奖惩、专项资金划拨的重要依据。</w:t>
      </w:r>
    </w:p>
    <w:p>
      <w:pPr>
        <w:pStyle w:val="5"/>
        <w:spacing w:before="0" w:after="0"/>
        <w:ind w:firstLine="640" w:firstLineChars="200"/>
        <w:rPr>
          <w:rFonts w:hint="default" w:ascii="黑体" w:hAnsi="黑体" w:eastAsia="黑体" w:cs="黑体"/>
          <w:b w:val="0"/>
          <w:bCs w:val="0"/>
          <w:color w:val="auto"/>
          <w:lang w:val="en-US" w:eastAsia="zh-CN"/>
        </w:rPr>
      </w:pPr>
      <w:bookmarkStart w:id="1823" w:name="_Toc32763"/>
      <w:bookmarkStart w:id="1824" w:name="_Toc22363"/>
      <w:bookmarkStart w:id="1825" w:name="_Toc26848"/>
      <w:bookmarkStart w:id="1826" w:name="_Toc21524"/>
      <w:bookmarkStart w:id="1827" w:name="_Toc9579"/>
      <w:bookmarkStart w:id="1828" w:name="_Toc14131"/>
      <w:bookmarkStart w:id="1829" w:name="_Toc20415"/>
      <w:bookmarkStart w:id="1830" w:name="_Toc28773"/>
      <w:bookmarkStart w:id="1831" w:name="_Toc27459"/>
      <w:r>
        <w:rPr>
          <w:rFonts w:hint="eastAsia" w:ascii="黑体" w:hAnsi="黑体" w:eastAsia="黑体" w:cs="黑体"/>
          <w:b w:val="0"/>
          <w:bCs w:val="0"/>
          <w:color w:val="auto"/>
          <w:lang w:val="en-US" w:eastAsia="zh-CN"/>
        </w:rPr>
        <w:t>四、</w:t>
      </w:r>
      <w:r>
        <w:rPr>
          <w:rFonts w:hint="default" w:ascii="黑体" w:hAnsi="黑体" w:eastAsia="黑体" w:cs="黑体"/>
          <w:b w:val="0"/>
          <w:bCs w:val="0"/>
          <w:color w:val="auto"/>
          <w:lang w:val="en-US" w:eastAsia="zh-CN"/>
        </w:rPr>
        <w:t>完善生态环境保护督察制度</w:t>
      </w:r>
      <w:bookmarkEnd w:id="1823"/>
      <w:bookmarkEnd w:id="1824"/>
      <w:bookmarkEnd w:id="1825"/>
      <w:bookmarkEnd w:id="1826"/>
      <w:bookmarkEnd w:id="1827"/>
      <w:bookmarkEnd w:id="1828"/>
      <w:bookmarkEnd w:id="1829"/>
      <w:bookmarkEnd w:id="1830"/>
      <w:bookmarkEnd w:id="1831"/>
    </w:p>
    <w:p>
      <w:pPr>
        <w:pStyle w:val="27"/>
        <w:rPr>
          <w:rFonts w:hint="eastAsia" w:ascii="仿宋_GB2312" w:hAnsi="仿宋_GB2312" w:eastAsia="仿宋_GB2312" w:cs="仿宋_GB2312"/>
          <w:snapToGrid w:val="0"/>
          <w:color w:val="auto"/>
          <w:kern w:val="0"/>
          <w:sz w:val="32"/>
          <w:szCs w:val="32"/>
          <w:lang w:val="en-US" w:eastAsia="zh-CN" w:bidi="ar-SA"/>
        </w:rPr>
      </w:pPr>
      <w:r>
        <w:rPr>
          <w:rFonts w:hint="eastAsia" w:ascii="仿宋_GB2312" w:hAnsi="仿宋_GB2312" w:eastAsia="仿宋_GB2312" w:cs="仿宋_GB2312"/>
          <w:snapToGrid w:val="0"/>
          <w:color w:val="auto"/>
          <w:kern w:val="0"/>
          <w:sz w:val="32"/>
          <w:szCs w:val="32"/>
          <w:lang w:val="en-US" w:eastAsia="zh-CN" w:bidi="ar-SA"/>
        </w:rPr>
        <w:t>贯彻落实中央和省级生态环境保护督察制度，严格</w:t>
      </w:r>
      <w:r>
        <w:rPr>
          <w:rFonts w:hint="eastAsia" w:ascii="仿宋_GB2312" w:hAnsi="仿宋_GB2312" w:cs="仿宋_GB2312"/>
          <w:snapToGrid w:val="0"/>
          <w:color w:val="auto"/>
          <w:kern w:val="0"/>
          <w:sz w:val="32"/>
          <w:szCs w:val="32"/>
          <w:lang w:val="en-US" w:eastAsia="zh-CN" w:bidi="ar-SA"/>
        </w:rPr>
        <w:t>落实</w:t>
      </w:r>
      <w:r>
        <w:rPr>
          <w:rFonts w:hint="eastAsia" w:ascii="仿宋_GB2312" w:hAnsi="仿宋_GB2312" w:eastAsia="仿宋_GB2312" w:cs="仿宋_GB2312"/>
          <w:snapToGrid w:val="0"/>
          <w:color w:val="auto"/>
          <w:kern w:val="0"/>
          <w:sz w:val="32"/>
          <w:szCs w:val="32"/>
          <w:lang w:val="en-US" w:eastAsia="zh-CN" w:bidi="ar-SA"/>
        </w:rPr>
        <w:t>督察整改，加强整改全过程和信息化管理。构建完善生态环境保护监管督查体系，针对性开展专项督查或专项检查行动，加强对区域内自然资源开发利用活动、重要生态环境建设和生态保护修复等工作的监督管理。</w:t>
      </w:r>
    </w:p>
    <w:p>
      <w:pPr>
        <w:pStyle w:val="5"/>
        <w:spacing w:before="0" w:after="0"/>
        <w:ind w:firstLine="640" w:firstLineChars="200"/>
        <w:rPr>
          <w:rFonts w:hint="default" w:ascii="黑体" w:hAnsi="黑体" w:eastAsia="黑体" w:cs="黑体"/>
          <w:b w:val="0"/>
          <w:bCs w:val="0"/>
          <w:color w:val="auto"/>
          <w:lang w:val="en-US" w:eastAsia="zh-CN"/>
        </w:rPr>
      </w:pPr>
      <w:bookmarkStart w:id="1832" w:name="_Toc24514"/>
      <w:bookmarkStart w:id="1833" w:name="_Toc6015"/>
      <w:bookmarkStart w:id="1834" w:name="_Toc22304"/>
      <w:bookmarkStart w:id="1835" w:name="_Toc22834"/>
      <w:bookmarkStart w:id="1836" w:name="_Toc14875"/>
      <w:bookmarkStart w:id="1837" w:name="_Toc20550"/>
      <w:bookmarkStart w:id="1838" w:name="_Toc10526"/>
      <w:bookmarkStart w:id="1839" w:name="_Toc7650"/>
      <w:bookmarkStart w:id="1840" w:name="_Toc15348"/>
      <w:r>
        <w:rPr>
          <w:rFonts w:hint="eastAsia" w:ascii="黑体" w:hAnsi="黑体" w:eastAsia="黑体" w:cs="黑体"/>
          <w:b w:val="0"/>
          <w:bCs w:val="0"/>
          <w:color w:val="auto"/>
          <w:lang w:val="en-US" w:eastAsia="zh-CN"/>
        </w:rPr>
        <w:t>五、</w:t>
      </w:r>
      <w:r>
        <w:rPr>
          <w:rFonts w:hint="default" w:ascii="黑体" w:hAnsi="黑体" w:eastAsia="黑体" w:cs="黑体"/>
          <w:b w:val="0"/>
          <w:bCs w:val="0"/>
          <w:color w:val="auto"/>
          <w:lang w:val="en-US" w:eastAsia="zh-CN"/>
        </w:rPr>
        <w:t>深化生态环境领域</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放管服</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改革</w:t>
      </w:r>
      <w:bookmarkEnd w:id="1832"/>
      <w:bookmarkEnd w:id="1833"/>
      <w:bookmarkEnd w:id="1834"/>
      <w:bookmarkEnd w:id="1835"/>
      <w:bookmarkEnd w:id="1836"/>
      <w:bookmarkEnd w:id="1837"/>
      <w:bookmarkEnd w:id="1838"/>
      <w:bookmarkEnd w:id="1839"/>
      <w:bookmarkEnd w:id="1840"/>
    </w:p>
    <w:p>
      <w:pPr>
        <w:pStyle w:val="27"/>
        <w:rPr>
          <w:rFonts w:hint="default"/>
        </w:rPr>
      </w:pPr>
      <w:r>
        <w:rPr>
          <w:rFonts w:hint="eastAsia"/>
        </w:rPr>
        <w:t>推进监督执法正面清单制度化、规范化</w:t>
      </w:r>
      <w:r>
        <w:rPr>
          <w:rFonts w:hint="eastAsia"/>
          <w:lang w:eastAsia="zh-CN"/>
        </w:rPr>
        <w:t>。</w:t>
      </w:r>
      <w:r>
        <w:rPr>
          <w:rFonts w:hint="eastAsia"/>
        </w:rPr>
        <w:t>加强</w:t>
      </w:r>
      <w:r>
        <w:rPr>
          <w:rFonts w:hint="eastAsia"/>
          <w:lang w:eastAsia="zh-CN"/>
        </w:rPr>
        <w:t>“</w:t>
      </w:r>
      <w:r>
        <w:rPr>
          <w:rFonts w:hint="eastAsia"/>
        </w:rPr>
        <w:t>三线一单</w:t>
      </w:r>
      <w:r>
        <w:rPr>
          <w:rFonts w:hint="eastAsia"/>
          <w:lang w:eastAsia="zh-CN"/>
        </w:rPr>
        <w:t>”</w:t>
      </w:r>
      <w:r>
        <w:rPr>
          <w:rFonts w:hint="eastAsia"/>
        </w:rPr>
        <w:t>、区域规划环评宏观指导</w:t>
      </w:r>
      <w:r>
        <w:rPr>
          <w:rFonts w:hint="eastAsia"/>
          <w:lang w:eastAsia="zh-CN"/>
        </w:rPr>
        <w:t>。</w:t>
      </w:r>
      <w:r>
        <w:rPr>
          <w:rFonts w:hint="eastAsia"/>
        </w:rPr>
        <w:t>优化建设项目环评分级分类管理，对生态环境影响小、风险可控的试行环评豁免、告知承诺制等</w:t>
      </w:r>
      <w:r>
        <w:rPr>
          <w:rFonts w:hint="eastAsia"/>
          <w:lang w:eastAsia="zh-CN"/>
        </w:rPr>
        <w:t>；</w:t>
      </w:r>
      <w:r>
        <w:rPr>
          <w:rFonts w:hint="eastAsia"/>
        </w:rPr>
        <w:t>强化对重大基础设施、节能环保等战略性新兴产业、先进制造业等项目的环评服务，提升管理服务效能。持续完善生态环境技术帮扶机制，充分调动专家顾问等技术研判力量，加强对重点地区污染防治攻坚的定点帮扶和技术指导。深化行业企业污染防治技术服务交流对接，定期开展</w:t>
      </w:r>
      <w:r>
        <w:rPr>
          <w:rFonts w:hint="eastAsia"/>
          <w:lang w:eastAsia="zh-CN"/>
        </w:rPr>
        <w:t>服务企业接待日活动，主动</w:t>
      </w:r>
      <w:r>
        <w:rPr>
          <w:rFonts w:hint="eastAsia"/>
        </w:rPr>
        <w:t>上门送法规、送技术、送服务。</w:t>
      </w:r>
    </w:p>
    <w:p>
      <w:pPr>
        <w:pStyle w:val="5"/>
        <w:spacing w:before="0" w:after="0"/>
        <w:ind w:firstLine="640" w:firstLineChars="200"/>
        <w:rPr>
          <w:rFonts w:hint="default" w:ascii="黑体" w:hAnsi="黑体" w:eastAsia="黑体" w:cs="黑体"/>
          <w:b w:val="0"/>
          <w:bCs w:val="0"/>
          <w:color w:val="auto"/>
          <w:lang w:val="en-US" w:eastAsia="zh-CN"/>
        </w:rPr>
      </w:pPr>
      <w:bookmarkStart w:id="1841" w:name="_Toc13228"/>
      <w:bookmarkStart w:id="1842" w:name="_Toc14167"/>
      <w:bookmarkStart w:id="1843" w:name="_Toc30088"/>
      <w:bookmarkStart w:id="1844" w:name="_Toc18892"/>
      <w:bookmarkStart w:id="1845" w:name="_Toc20384"/>
      <w:bookmarkStart w:id="1846" w:name="_Toc19709"/>
      <w:bookmarkStart w:id="1847" w:name="_Toc4961"/>
      <w:bookmarkStart w:id="1848" w:name="_Toc24984"/>
      <w:bookmarkStart w:id="1849" w:name="_Toc16209"/>
      <w:r>
        <w:rPr>
          <w:rFonts w:hint="eastAsia" w:ascii="黑体" w:hAnsi="黑体" w:eastAsia="黑体" w:cs="黑体"/>
          <w:b w:val="0"/>
          <w:bCs w:val="0"/>
          <w:color w:val="auto"/>
          <w:lang w:val="en-US" w:eastAsia="zh-CN"/>
        </w:rPr>
        <w:t>六、</w:t>
      </w:r>
      <w:r>
        <w:rPr>
          <w:rFonts w:hint="default" w:ascii="黑体" w:hAnsi="黑体" w:eastAsia="黑体" w:cs="黑体"/>
          <w:b w:val="0"/>
          <w:bCs w:val="0"/>
          <w:color w:val="auto"/>
          <w:lang w:val="en-US" w:eastAsia="zh-CN"/>
        </w:rPr>
        <w:t>加强环境司法联动</w:t>
      </w:r>
      <w:bookmarkEnd w:id="1841"/>
      <w:bookmarkEnd w:id="1842"/>
      <w:bookmarkEnd w:id="1843"/>
      <w:bookmarkEnd w:id="1844"/>
      <w:bookmarkEnd w:id="1845"/>
      <w:bookmarkEnd w:id="1846"/>
      <w:bookmarkEnd w:id="1847"/>
      <w:bookmarkEnd w:id="1848"/>
      <w:bookmarkEnd w:id="1849"/>
    </w:p>
    <w:p>
      <w:pPr>
        <w:pStyle w:val="27"/>
        <w:rPr>
          <w:rFonts w:hint="default"/>
        </w:rPr>
      </w:pPr>
      <w:r>
        <w:rPr>
          <w:rFonts w:hint="default"/>
        </w:rPr>
        <w:t>强化刑事责任追究机制，健全综合行政执法机关、公安机关、检察机关、审判机关信息共享、案情通报、案件移送制度。在生态环境审判机构，探索设立刑事、民事、行政案件</w:t>
      </w:r>
      <w:r>
        <w:rPr>
          <w:rFonts w:hint="eastAsia"/>
          <w:lang w:eastAsia="zh-CN"/>
        </w:rPr>
        <w:t>“</w:t>
      </w:r>
      <w:r>
        <w:rPr>
          <w:rFonts w:hint="default"/>
        </w:rPr>
        <w:t>三合一</w:t>
      </w:r>
      <w:r>
        <w:rPr>
          <w:rFonts w:hint="eastAsia"/>
          <w:lang w:eastAsia="zh-CN"/>
        </w:rPr>
        <w:t>”</w:t>
      </w:r>
      <w:r>
        <w:rPr>
          <w:rFonts w:hint="default"/>
        </w:rPr>
        <w:t>归口审理模式，推进涉生态环境案件的识别和统计工作，完善生态环境案件的审理规则。进一步完善生态环境损害赔偿制度，加强案件筛选、索赔磋商和修复监督，建立损害赔偿司法衔接机制。严格贯彻落实财政部《生态环境损害赔偿资金管理办法（试行）》，明确生态环境修复主体责任，建立生态环境修复判决移送执行衔接机制，确保生态环境修复效果。健全环境公益诉讼制度，与行政处罚、刑事司法及生态环境损害赔偿等制度进行有效衔接，探索建立生态环境民事公益诉讼惩罚性赔偿制度。</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850" w:name="_Toc19901"/>
      <w:bookmarkStart w:id="1851" w:name="_Toc7932"/>
      <w:bookmarkStart w:id="1852" w:name="_Toc31888"/>
      <w:bookmarkStart w:id="1853" w:name="_Toc9379"/>
      <w:bookmarkStart w:id="1854" w:name="_Toc80280520"/>
      <w:bookmarkStart w:id="1855" w:name="_Toc932"/>
      <w:bookmarkStart w:id="1856" w:name="_Toc31862"/>
      <w:bookmarkStart w:id="1857" w:name="_Toc7143"/>
      <w:bookmarkStart w:id="1858" w:name="_Toc9159"/>
      <w:bookmarkStart w:id="1859" w:name="_Toc27009"/>
      <w:bookmarkStart w:id="1860" w:name="_Toc12720"/>
      <w:bookmarkStart w:id="1861" w:name="_Toc6509"/>
      <w:bookmarkStart w:id="1862" w:name="_Toc1412"/>
      <w:bookmarkStart w:id="1863" w:name="_Toc21347"/>
      <w:bookmarkStart w:id="1864" w:name="_Toc9637"/>
      <w:bookmarkStart w:id="1865" w:name="_Toc3887"/>
      <w:bookmarkStart w:id="1866" w:name="_Toc8249"/>
      <w:bookmarkStart w:id="1867" w:name="_Toc11591"/>
      <w:bookmarkStart w:id="1868" w:name="_Toc9779"/>
      <w:bookmarkStart w:id="1869" w:name="_Toc4958"/>
      <w:bookmarkStart w:id="1870" w:name="_Toc14801"/>
      <w:bookmarkStart w:id="1871" w:name="_Toc29967"/>
      <w:bookmarkStart w:id="1872" w:name="_Toc30961"/>
      <w:bookmarkStart w:id="1873" w:name="_Toc23594"/>
      <w:r>
        <w:rPr>
          <w:rFonts w:hint="eastAsia" w:ascii="黑体" w:hAnsi="黑体" w:eastAsia="黑体" w:cs="黑体"/>
          <w:b w:val="0"/>
          <w:bCs w:val="0"/>
          <w:color w:val="auto"/>
          <w:kern w:val="2"/>
          <w:sz w:val="32"/>
          <w:lang w:val="en-US" w:eastAsia="zh-CN"/>
        </w:rPr>
        <w:t>第二节　</w:t>
      </w:r>
      <w:r>
        <w:rPr>
          <w:rFonts w:hint="default" w:ascii="黑体" w:hAnsi="黑体" w:eastAsia="黑体" w:cs="黑体"/>
          <w:b w:val="0"/>
          <w:bCs w:val="0"/>
          <w:color w:val="auto"/>
          <w:kern w:val="2"/>
          <w:sz w:val="32"/>
        </w:rPr>
        <w:t>发挥市场机制激励引导作</w:t>
      </w:r>
      <w:bookmarkEnd w:id="1850"/>
      <w:r>
        <w:rPr>
          <w:rFonts w:hint="default" w:ascii="黑体" w:hAnsi="黑体" w:eastAsia="黑体" w:cs="黑体"/>
          <w:b w:val="0"/>
          <w:bCs w:val="0"/>
          <w:color w:val="auto"/>
          <w:kern w:val="2"/>
          <w:sz w:val="32"/>
        </w:rPr>
        <w:t>用</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pPr>
        <w:pStyle w:val="27"/>
        <w:rPr>
          <w:rFonts w:hint="default" w:ascii="Times New Roman" w:hAnsi="Times New Roman" w:cs="Times New Roman"/>
          <w:b w:val="0"/>
          <w:bCs w:val="0"/>
          <w:color w:val="auto"/>
        </w:rPr>
      </w:pPr>
      <w:r>
        <w:rPr>
          <w:rFonts w:hint="default" w:ascii="Times New Roman" w:hAnsi="Times New Roman" w:cs="Times New Roman"/>
          <w:b w:val="0"/>
          <w:bCs w:val="0"/>
          <w:color w:val="auto"/>
        </w:rPr>
        <w:t>强化市场经济政策对生态环境保护的调节激励作用，深化环境权益交易，加快形成有利于绿色低碳发展的财税、价格、金融等政策体系。</w:t>
      </w:r>
    </w:p>
    <w:p>
      <w:pPr>
        <w:pStyle w:val="5"/>
        <w:spacing w:before="0" w:after="0"/>
        <w:ind w:firstLine="640" w:firstLineChars="200"/>
        <w:rPr>
          <w:rFonts w:hint="eastAsia" w:ascii="黑体" w:hAnsi="黑体" w:eastAsia="黑体" w:cs="黑体"/>
          <w:b w:val="0"/>
          <w:bCs w:val="0"/>
          <w:color w:val="auto"/>
          <w:lang w:val="en-US" w:eastAsia="zh-CN"/>
        </w:rPr>
      </w:pPr>
      <w:bookmarkStart w:id="1874" w:name="_Toc1503"/>
      <w:bookmarkStart w:id="1875" w:name="_Toc22895"/>
      <w:bookmarkStart w:id="1876" w:name="_Toc32092"/>
      <w:bookmarkStart w:id="1877" w:name="_Toc15262"/>
      <w:bookmarkStart w:id="1878" w:name="_Toc23114"/>
      <w:bookmarkStart w:id="1879" w:name="_Toc31868"/>
      <w:bookmarkStart w:id="1880" w:name="_Toc9252"/>
      <w:bookmarkStart w:id="1881" w:name="_Toc26450"/>
      <w:bookmarkStart w:id="1882" w:name="_Toc316"/>
      <w:r>
        <w:rPr>
          <w:rFonts w:hint="eastAsia" w:ascii="黑体" w:hAnsi="黑体" w:eastAsia="黑体" w:cs="黑体"/>
          <w:b w:val="0"/>
          <w:bCs w:val="0"/>
          <w:color w:val="auto"/>
          <w:lang w:val="en-US" w:eastAsia="zh-CN"/>
        </w:rPr>
        <w:t>一、推行市场化环境治理模式</w:t>
      </w:r>
      <w:bookmarkEnd w:id="1874"/>
      <w:bookmarkEnd w:id="1875"/>
      <w:bookmarkEnd w:id="1876"/>
      <w:bookmarkEnd w:id="1877"/>
      <w:bookmarkEnd w:id="1878"/>
      <w:bookmarkEnd w:id="1879"/>
      <w:bookmarkEnd w:id="1880"/>
      <w:bookmarkEnd w:id="1881"/>
      <w:bookmarkEnd w:id="1882"/>
    </w:p>
    <w:p>
      <w:pPr>
        <w:pStyle w:val="27"/>
        <w:rPr>
          <w:rFonts w:hint="default"/>
        </w:rPr>
      </w:pPr>
      <w:r>
        <w:rPr>
          <w:rFonts w:hint="default"/>
        </w:rPr>
        <w:t>推广第三方治理示范经验，在工业园区和重点行业推行统一规划、统一监测、统一治理的模式。鼓励</w:t>
      </w:r>
      <w:r>
        <w:rPr>
          <w:rFonts w:hint="eastAsia"/>
          <w:lang w:eastAsia="zh-CN"/>
        </w:rPr>
        <w:t>第三方治理</w:t>
      </w:r>
      <w:r>
        <w:rPr>
          <w:rFonts w:hint="default"/>
        </w:rPr>
        <w:t>企业为流域、城镇、园区、大型企业等提供定制化的综合性整体解决方案，推广</w:t>
      </w:r>
      <w:r>
        <w:rPr>
          <w:rFonts w:hint="eastAsia"/>
          <w:lang w:eastAsia="zh-CN"/>
        </w:rPr>
        <w:t>“</w:t>
      </w:r>
      <w:r>
        <w:rPr>
          <w:rFonts w:hint="default"/>
        </w:rPr>
        <w:t>环保管家</w:t>
      </w:r>
      <w:r>
        <w:rPr>
          <w:rFonts w:hint="eastAsia"/>
          <w:lang w:eastAsia="zh-CN"/>
        </w:rPr>
        <w:t>”“</w:t>
      </w:r>
      <w:r>
        <w:rPr>
          <w:rFonts w:hint="default"/>
        </w:rPr>
        <w:t>环境医院</w:t>
      </w:r>
      <w:r>
        <w:rPr>
          <w:rFonts w:hint="eastAsia"/>
          <w:lang w:eastAsia="zh-CN"/>
        </w:rPr>
        <w:t>”</w:t>
      </w:r>
      <w:r>
        <w:rPr>
          <w:rFonts w:hint="default"/>
        </w:rPr>
        <w:t>等综合服务模式。</w:t>
      </w:r>
      <w:r>
        <w:rPr>
          <w:rFonts w:hint="eastAsia"/>
        </w:rPr>
        <w:t>推动政府由过去购买单一治理项目服务向购买整体环境质量改善服务方式转变。健全第三方治理服务标准规范及治理效果评估机制，合理划分排污单位与第三方治理企业责任。</w:t>
      </w:r>
    </w:p>
    <w:p>
      <w:pPr>
        <w:pStyle w:val="5"/>
        <w:spacing w:before="0" w:after="0"/>
        <w:ind w:firstLine="640" w:firstLineChars="200"/>
        <w:rPr>
          <w:rFonts w:hint="eastAsia" w:ascii="黑体" w:hAnsi="黑体" w:eastAsia="黑体" w:cs="黑体"/>
          <w:b w:val="0"/>
          <w:bCs w:val="0"/>
          <w:color w:val="auto"/>
          <w:lang w:val="en-US" w:eastAsia="zh-CN"/>
        </w:rPr>
      </w:pPr>
      <w:bookmarkStart w:id="1883" w:name="_Toc32385"/>
      <w:bookmarkStart w:id="1884" w:name="_Toc29630"/>
      <w:bookmarkStart w:id="1885" w:name="_Toc24650"/>
      <w:bookmarkStart w:id="1886" w:name="_Toc4702"/>
      <w:bookmarkStart w:id="1887" w:name="_Toc15923"/>
      <w:bookmarkStart w:id="1888" w:name="_Toc13175"/>
      <w:bookmarkStart w:id="1889" w:name="_Toc27676"/>
      <w:bookmarkStart w:id="1890" w:name="_Toc21419"/>
      <w:bookmarkStart w:id="1891" w:name="_Toc16444"/>
      <w:r>
        <w:rPr>
          <w:rFonts w:hint="eastAsia" w:ascii="黑体" w:hAnsi="黑体" w:eastAsia="黑体" w:cs="黑体"/>
          <w:b w:val="0"/>
          <w:bCs w:val="0"/>
          <w:color w:val="auto"/>
          <w:lang w:val="en-US" w:eastAsia="zh-CN"/>
        </w:rPr>
        <w:t>二、健全环境权益交易机制</w:t>
      </w:r>
      <w:bookmarkEnd w:id="1883"/>
      <w:bookmarkEnd w:id="1884"/>
      <w:bookmarkEnd w:id="1885"/>
      <w:bookmarkEnd w:id="1886"/>
      <w:bookmarkEnd w:id="1887"/>
      <w:bookmarkEnd w:id="1888"/>
      <w:bookmarkEnd w:id="1889"/>
      <w:bookmarkEnd w:id="1890"/>
      <w:bookmarkEnd w:id="1891"/>
    </w:p>
    <w:p>
      <w:pPr>
        <w:pStyle w:val="27"/>
        <w:rPr>
          <w:rFonts w:hint="default" w:ascii="Times New Roman" w:hAnsi="Times New Roman" w:cs="Times New Roman"/>
          <w:color w:val="auto"/>
        </w:rPr>
      </w:pPr>
      <w:r>
        <w:rPr>
          <w:rFonts w:hint="default" w:ascii="Times New Roman" w:hAnsi="Times New Roman" w:cs="Times New Roman"/>
          <w:color w:val="auto"/>
        </w:rPr>
        <w:t>发挥政府主导和市场化机制作用，积极探索生态产品价值实现路径，探索推进特许经营权、水权、排污权、用能权、碳汇权等资源环境权益交易。</w:t>
      </w:r>
    </w:p>
    <w:p>
      <w:pPr>
        <w:pStyle w:val="5"/>
        <w:spacing w:before="0" w:after="0"/>
        <w:ind w:firstLine="640" w:firstLineChars="200"/>
        <w:rPr>
          <w:rFonts w:hint="eastAsia" w:ascii="黑体" w:hAnsi="黑体" w:eastAsia="黑体" w:cs="黑体"/>
          <w:b w:val="0"/>
          <w:bCs w:val="0"/>
          <w:color w:val="auto"/>
          <w:lang w:val="en-US" w:eastAsia="zh-CN"/>
        </w:rPr>
      </w:pPr>
      <w:bookmarkStart w:id="1892" w:name="_Toc24330"/>
      <w:bookmarkStart w:id="1893" w:name="_Toc8483"/>
      <w:bookmarkStart w:id="1894" w:name="_Toc7756"/>
      <w:bookmarkStart w:id="1895" w:name="_Toc3027"/>
      <w:bookmarkStart w:id="1896" w:name="_Toc2824"/>
      <w:bookmarkStart w:id="1897" w:name="_Toc9459"/>
      <w:bookmarkStart w:id="1898" w:name="_Toc3062"/>
      <w:bookmarkStart w:id="1899" w:name="_Toc25545"/>
      <w:bookmarkStart w:id="1900" w:name="_Toc15478"/>
      <w:r>
        <w:rPr>
          <w:rFonts w:hint="eastAsia" w:ascii="黑体" w:hAnsi="黑体" w:eastAsia="黑体" w:cs="黑体"/>
          <w:b w:val="0"/>
          <w:bCs w:val="0"/>
          <w:color w:val="auto"/>
          <w:lang w:val="en-US" w:eastAsia="zh-CN"/>
        </w:rPr>
        <w:t>三、深化绿色税费价格机制</w:t>
      </w:r>
      <w:bookmarkEnd w:id="1892"/>
      <w:bookmarkEnd w:id="1893"/>
      <w:bookmarkEnd w:id="1894"/>
      <w:bookmarkEnd w:id="1895"/>
      <w:bookmarkEnd w:id="1896"/>
      <w:bookmarkEnd w:id="1897"/>
      <w:bookmarkEnd w:id="1898"/>
      <w:bookmarkEnd w:id="1899"/>
      <w:bookmarkEnd w:id="1900"/>
    </w:p>
    <w:p>
      <w:pPr>
        <w:pStyle w:val="27"/>
        <w:rPr>
          <w:rFonts w:hint="default" w:ascii="Times New Roman" w:hAnsi="Times New Roman" w:cs="Times New Roman"/>
          <w:color w:val="auto"/>
        </w:rPr>
      </w:pPr>
      <w:r>
        <w:rPr>
          <w:rFonts w:hint="default" w:ascii="Times New Roman" w:hAnsi="Times New Roman" w:cs="Times New Roman"/>
          <w:color w:val="auto"/>
        </w:rPr>
        <w:t>健全污水处理收费机制，探索纳入管网运营费、污泥处置费等成本，鼓励具备污水集中处理条件的建制镇全面开征污水处理费。鼓励建立农村生活污水垃圾治理收费制度。探索制定再生水收费价格。</w:t>
      </w:r>
    </w:p>
    <w:p>
      <w:pPr>
        <w:pStyle w:val="5"/>
        <w:spacing w:before="0" w:after="0"/>
        <w:ind w:firstLine="640" w:firstLineChars="200"/>
        <w:rPr>
          <w:rFonts w:hint="default" w:ascii="黑体" w:hAnsi="黑体" w:eastAsia="黑体" w:cs="黑体"/>
          <w:b w:val="0"/>
          <w:bCs w:val="0"/>
          <w:color w:val="auto"/>
          <w:lang w:val="en-US" w:eastAsia="zh-CN"/>
        </w:rPr>
      </w:pPr>
      <w:bookmarkStart w:id="1901" w:name="_Toc23633"/>
      <w:bookmarkStart w:id="1902" w:name="_Toc19318"/>
      <w:bookmarkStart w:id="1903" w:name="_Toc24888"/>
      <w:bookmarkStart w:id="1904" w:name="_Toc23595"/>
      <w:bookmarkStart w:id="1905" w:name="_Toc12810"/>
      <w:bookmarkStart w:id="1906" w:name="_Toc1563"/>
      <w:bookmarkStart w:id="1907" w:name="_Toc25612"/>
      <w:bookmarkStart w:id="1908" w:name="_Toc16831"/>
      <w:bookmarkStart w:id="1909" w:name="_Toc28585"/>
      <w:r>
        <w:rPr>
          <w:rFonts w:hint="eastAsia" w:ascii="黑体" w:hAnsi="黑体" w:eastAsia="黑体" w:cs="黑体"/>
          <w:b w:val="0"/>
          <w:bCs w:val="0"/>
          <w:color w:val="auto"/>
          <w:lang w:val="en-US" w:eastAsia="zh-CN"/>
        </w:rPr>
        <w:t>四、持续完善绿色金融体系</w:t>
      </w:r>
      <w:bookmarkEnd w:id="1901"/>
      <w:bookmarkEnd w:id="1902"/>
      <w:bookmarkEnd w:id="1903"/>
      <w:bookmarkEnd w:id="1904"/>
      <w:bookmarkEnd w:id="1905"/>
      <w:bookmarkEnd w:id="1906"/>
      <w:bookmarkEnd w:id="1907"/>
      <w:bookmarkEnd w:id="1908"/>
      <w:bookmarkEnd w:id="1909"/>
    </w:p>
    <w:p>
      <w:pPr>
        <w:pStyle w:val="27"/>
        <w:rPr>
          <w:rFonts w:hint="default" w:ascii="Times New Roman" w:hAnsi="Times New Roman" w:cs="Times New Roman"/>
          <w:color w:val="auto"/>
        </w:rPr>
      </w:pPr>
      <w:r>
        <w:rPr>
          <w:rFonts w:hint="default" w:ascii="Times New Roman" w:hAnsi="Times New Roman" w:cs="Times New Roman"/>
          <w:color w:val="auto"/>
        </w:rPr>
        <w:t>稳妥推进排污权、碳排放权等环境权益抵质押业务，鼓励发展重大环保装备融资租赁。鼓励企业、金融机构发行绿色债券。大力发展碳金融，有序发展碳远期、碳基金、碳期权等产品。</w:t>
      </w:r>
    </w:p>
    <w:p>
      <w:pPr>
        <w:pStyle w:val="5"/>
        <w:spacing w:before="0" w:after="0"/>
        <w:ind w:firstLine="640" w:firstLineChars="200"/>
        <w:rPr>
          <w:rFonts w:hint="default" w:ascii="黑体" w:hAnsi="黑体" w:eastAsia="黑体" w:cs="黑体"/>
          <w:b w:val="0"/>
          <w:bCs w:val="0"/>
          <w:color w:val="auto"/>
          <w:lang w:val="en-US" w:eastAsia="zh-CN"/>
        </w:rPr>
      </w:pPr>
      <w:bookmarkStart w:id="1910" w:name="_Toc28956"/>
      <w:bookmarkStart w:id="1911" w:name="_Toc7382"/>
      <w:bookmarkStart w:id="1912" w:name="_Toc4939"/>
      <w:bookmarkStart w:id="1913" w:name="_Toc31772"/>
      <w:bookmarkStart w:id="1914" w:name="_Toc5173"/>
      <w:bookmarkStart w:id="1915" w:name="_Toc2606"/>
      <w:bookmarkStart w:id="1916" w:name="_Toc26274"/>
      <w:bookmarkStart w:id="1917" w:name="_Toc11726"/>
      <w:bookmarkStart w:id="1918" w:name="_Toc22900"/>
      <w:r>
        <w:rPr>
          <w:rFonts w:hint="eastAsia" w:ascii="黑体" w:hAnsi="黑体" w:eastAsia="黑体" w:cs="黑体"/>
          <w:b w:val="0"/>
          <w:bCs w:val="0"/>
          <w:color w:val="auto"/>
          <w:lang w:val="en-US" w:eastAsia="zh-CN"/>
        </w:rPr>
        <w:t>五、健全多元化生态补偿机制</w:t>
      </w:r>
      <w:bookmarkEnd w:id="1910"/>
      <w:bookmarkEnd w:id="1911"/>
      <w:bookmarkEnd w:id="1912"/>
      <w:bookmarkEnd w:id="1913"/>
      <w:bookmarkEnd w:id="1914"/>
      <w:bookmarkEnd w:id="1915"/>
      <w:bookmarkEnd w:id="1916"/>
      <w:bookmarkEnd w:id="1917"/>
      <w:bookmarkEnd w:id="1918"/>
    </w:p>
    <w:p>
      <w:pPr>
        <w:pStyle w:val="27"/>
        <w:rPr>
          <w:rFonts w:hint="default" w:ascii="Times New Roman" w:hAnsi="Times New Roman" w:cs="Times New Roman"/>
          <w:color w:val="auto"/>
        </w:rPr>
      </w:pPr>
      <w:r>
        <w:rPr>
          <w:rFonts w:hint="default" w:ascii="Times New Roman" w:hAnsi="Times New Roman" w:cs="Times New Roman"/>
          <w:color w:val="auto"/>
        </w:rPr>
        <w:t>积极</w:t>
      </w:r>
      <w:r>
        <w:rPr>
          <w:rFonts w:hint="eastAsia" w:ascii="Times New Roman" w:hAnsi="Times New Roman" w:cs="Times New Roman"/>
          <w:color w:val="auto"/>
          <w:lang w:eastAsia="zh-CN"/>
        </w:rPr>
        <w:t>争取</w:t>
      </w:r>
      <w:r>
        <w:rPr>
          <w:rFonts w:hint="default" w:ascii="Times New Roman" w:hAnsi="Times New Roman" w:cs="Times New Roman"/>
          <w:color w:val="auto"/>
        </w:rPr>
        <w:t>水资源流域下游受益地区与保护生态地区、流域上游通过资金补偿、购买生态产品和服务、对口协作、产业转移、共建园区等多元化方式建立横向补偿机制，争取</w:t>
      </w:r>
      <w:r>
        <w:rPr>
          <w:rFonts w:hint="default" w:ascii="Times New Roman" w:hAnsi="Times New Roman" w:cs="Times New Roman"/>
          <w:color w:val="auto"/>
          <w:lang w:val="en-US" w:eastAsia="zh-CN"/>
        </w:rPr>
        <w:t>省</w:t>
      </w:r>
      <w:r>
        <w:rPr>
          <w:rFonts w:hint="default" w:ascii="Times New Roman" w:hAnsi="Times New Roman" w:cs="Times New Roman"/>
          <w:color w:val="auto"/>
        </w:rPr>
        <w:t>开展水资源贡献率生态补偿试点</w:t>
      </w:r>
      <w:r>
        <w:rPr>
          <w:rFonts w:hint="eastAsia" w:ascii="Times New Roman" w:hAnsi="Times New Roman" w:cs="Times New Roman"/>
          <w:color w:val="auto"/>
          <w:lang w:eastAsia="zh-CN"/>
        </w:rPr>
        <w:t>，</w:t>
      </w:r>
      <w:r>
        <w:rPr>
          <w:rFonts w:hint="default" w:ascii="Times New Roman" w:hAnsi="Times New Roman" w:cs="Times New Roman"/>
          <w:color w:val="auto"/>
        </w:rPr>
        <w:t>增加对重点生态功能区转移支付，完善生态保护成效与资金分配挂钩的激励约束机制。</w:t>
      </w:r>
    </w:p>
    <w:p>
      <w:pPr>
        <w:pStyle w:val="5"/>
        <w:spacing w:before="0" w:after="0"/>
        <w:ind w:firstLine="640" w:firstLineChars="200"/>
        <w:rPr>
          <w:rFonts w:hint="default" w:ascii="黑体" w:hAnsi="黑体" w:eastAsia="黑体" w:cs="黑体"/>
          <w:b w:val="0"/>
          <w:bCs w:val="0"/>
          <w:color w:val="auto"/>
          <w:lang w:val="en-US" w:eastAsia="zh-CN"/>
        </w:rPr>
      </w:pPr>
      <w:bookmarkStart w:id="1919" w:name="_Toc14854"/>
      <w:bookmarkStart w:id="1920" w:name="_Toc5962"/>
      <w:bookmarkStart w:id="1921" w:name="_Toc3655"/>
      <w:bookmarkStart w:id="1922" w:name="_Toc27058"/>
      <w:bookmarkStart w:id="1923" w:name="_Toc20137"/>
      <w:bookmarkStart w:id="1924" w:name="_Toc3334"/>
      <w:bookmarkStart w:id="1925" w:name="_Toc19212"/>
      <w:bookmarkStart w:id="1926" w:name="_Toc22966"/>
      <w:bookmarkStart w:id="1927" w:name="_Toc1295"/>
      <w:r>
        <w:rPr>
          <w:rFonts w:hint="eastAsia" w:ascii="黑体" w:hAnsi="黑体" w:eastAsia="黑体" w:cs="黑体"/>
          <w:b w:val="0"/>
          <w:bCs w:val="0"/>
          <w:color w:val="auto"/>
          <w:lang w:val="en-US" w:eastAsia="zh-CN"/>
        </w:rPr>
        <w:t>六、健全环境治理信用体系</w:t>
      </w:r>
      <w:bookmarkEnd w:id="1919"/>
      <w:bookmarkEnd w:id="1920"/>
      <w:bookmarkEnd w:id="1921"/>
      <w:bookmarkEnd w:id="1922"/>
      <w:bookmarkEnd w:id="1923"/>
      <w:bookmarkEnd w:id="1924"/>
      <w:bookmarkEnd w:id="1925"/>
      <w:bookmarkEnd w:id="1926"/>
      <w:bookmarkEnd w:id="1927"/>
    </w:p>
    <w:p>
      <w:pPr>
        <w:pStyle w:val="27"/>
        <w:rPr>
          <w:rFonts w:hint="default" w:ascii="Times New Roman" w:hAnsi="Times New Roman" w:cs="Times New Roman"/>
          <w:color w:val="auto"/>
        </w:rPr>
      </w:pPr>
      <w:r>
        <w:rPr>
          <w:rFonts w:hint="default" w:ascii="Times New Roman" w:hAnsi="Times New Roman" w:cs="Times New Roman"/>
          <w:color w:val="auto"/>
        </w:rPr>
        <w:t>健全企业环保信用评价制度</w:t>
      </w:r>
      <w:r>
        <w:rPr>
          <w:rFonts w:hint="eastAsia" w:cs="Times New Roman"/>
          <w:color w:val="auto"/>
          <w:lang w:eastAsia="zh-CN"/>
        </w:rPr>
        <w:t>。</w:t>
      </w:r>
      <w:r>
        <w:rPr>
          <w:rFonts w:hint="default" w:ascii="Times New Roman" w:hAnsi="Times New Roman" w:cs="Times New Roman"/>
          <w:color w:val="auto"/>
        </w:rPr>
        <w:t>落实国家、省</w:t>
      </w:r>
      <w:r>
        <w:rPr>
          <w:rFonts w:hint="eastAsia" w:cs="Times New Roman"/>
          <w:color w:val="auto"/>
          <w:lang w:eastAsia="zh-CN"/>
        </w:rPr>
        <w:t>关于</w:t>
      </w:r>
      <w:r>
        <w:rPr>
          <w:rFonts w:hint="default" w:ascii="Times New Roman" w:hAnsi="Times New Roman" w:cs="Times New Roman"/>
          <w:color w:val="auto"/>
        </w:rPr>
        <w:t>排污企业黑名单制度</w:t>
      </w:r>
      <w:r>
        <w:rPr>
          <w:rFonts w:hint="eastAsia" w:cs="Times New Roman"/>
          <w:color w:val="auto"/>
          <w:lang w:eastAsia="zh-CN"/>
        </w:rPr>
        <w:t>要求</w:t>
      </w:r>
      <w:r>
        <w:rPr>
          <w:rFonts w:hint="default" w:ascii="Times New Roman" w:hAnsi="Times New Roman" w:cs="Times New Roman"/>
          <w:color w:val="auto"/>
        </w:rPr>
        <w:t>，坚持守信激励和失信惩戒相结合，不断扩大参评企业覆盖面，推动信用数据动态评价</w:t>
      </w:r>
      <w:r>
        <w:rPr>
          <w:rFonts w:hint="default" w:ascii="Times New Roman" w:hAnsi="Times New Roman" w:cs="Times New Roman"/>
          <w:color w:val="auto"/>
          <w:lang w:eastAsia="zh-CN"/>
        </w:rPr>
        <w:t>，</w:t>
      </w:r>
      <w:r>
        <w:rPr>
          <w:rFonts w:hint="default" w:ascii="Times New Roman" w:hAnsi="Times New Roman" w:cs="Times New Roman"/>
          <w:color w:val="auto"/>
        </w:rPr>
        <w:t>将环境严重违法对象依法依规纳入失信联合惩戒名单，实行信用约束管理。加强企业环境治理责任制度建设，构建分层级的企业环境管理责任体系。建立环境政务失信记录机制，将各级党政机关工作人员在环境保护工作中因违法违规、失信违约被司法判决、行政处罚、纪律处分、问责处理等信息纳入政务失信记录。通过</w:t>
      </w:r>
      <w:r>
        <w:rPr>
          <w:rFonts w:hint="eastAsia" w:cs="Times New Roman"/>
          <w:color w:val="auto"/>
          <w:lang w:eastAsia="zh-CN"/>
        </w:rPr>
        <w:t>“</w:t>
      </w:r>
      <w:r>
        <w:rPr>
          <w:rFonts w:hint="default" w:ascii="Times New Roman" w:hAnsi="Times New Roman" w:cs="Times New Roman"/>
          <w:color w:val="auto"/>
        </w:rPr>
        <w:t>信用韶关</w:t>
      </w:r>
      <w:r>
        <w:rPr>
          <w:rFonts w:hint="eastAsia" w:cs="Times New Roman"/>
          <w:color w:val="auto"/>
          <w:lang w:eastAsia="zh-CN"/>
        </w:rPr>
        <w:t>”</w:t>
      </w:r>
      <w:r>
        <w:rPr>
          <w:rFonts w:hint="default" w:ascii="Times New Roman" w:hAnsi="Times New Roman" w:cs="Times New Roman"/>
          <w:color w:val="auto"/>
        </w:rPr>
        <w:t>网站，依法依规公开有关人员失信记录。</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928" w:name="_Toc18784"/>
      <w:bookmarkStart w:id="1929" w:name="_Toc22605"/>
      <w:bookmarkStart w:id="1930" w:name="_Toc28958"/>
      <w:bookmarkStart w:id="1931" w:name="_Toc3743"/>
      <w:bookmarkStart w:id="1932" w:name="_Toc7837"/>
      <w:bookmarkStart w:id="1933" w:name="_Toc3777"/>
      <w:bookmarkStart w:id="1934" w:name="_Toc3161"/>
      <w:bookmarkStart w:id="1935" w:name="_Toc1023"/>
      <w:bookmarkStart w:id="1936" w:name="_Toc2446"/>
      <w:bookmarkStart w:id="1937" w:name="_Toc8090"/>
      <w:bookmarkStart w:id="1938" w:name="_Toc25840"/>
      <w:bookmarkStart w:id="1939" w:name="_Toc30083"/>
      <w:bookmarkStart w:id="1940" w:name="_Toc28529"/>
      <w:bookmarkStart w:id="1941" w:name="_Toc23989"/>
      <w:bookmarkStart w:id="1942" w:name="_Toc6831"/>
      <w:bookmarkStart w:id="1943" w:name="_Toc18372"/>
      <w:r>
        <w:rPr>
          <w:rFonts w:hint="default" w:ascii="黑体" w:hAnsi="黑体" w:eastAsia="黑体" w:cs="黑体"/>
          <w:b w:val="0"/>
          <w:bCs w:val="0"/>
          <w:color w:val="auto"/>
          <w:kern w:val="2"/>
          <w:sz w:val="32"/>
        </w:rPr>
        <w:t>第</w:t>
      </w:r>
      <w:r>
        <w:rPr>
          <w:rFonts w:hint="eastAsia" w:ascii="黑体" w:hAnsi="黑体" w:eastAsia="黑体" w:cs="黑体"/>
          <w:b w:val="0"/>
          <w:bCs w:val="0"/>
          <w:color w:val="auto"/>
          <w:kern w:val="2"/>
          <w:sz w:val="32"/>
          <w:lang w:val="en-US" w:eastAsia="zh-CN"/>
        </w:rPr>
        <w:t>三</w:t>
      </w:r>
      <w:r>
        <w:rPr>
          <w:rFonts w:hint="default" w:ascii="黑体" w:hAnsi="黑体" w:eastAsia="黑体" w:cs="黑体"/>
          <w:b w:val="0"/>
          <w:bCs w:val="0"/>
          <w:color w:val="auto"/>
          <w:kern w:val="2"/>
          <w:sz w:val="32"/>
        </w:rPr>
        <w:t>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探索生态产品价值实现路</w:t>
      </w:r>
      <w:bookmarkEnd w:id="1928"/>
      <w:r>
        <w:rPr>
          <w:rFonts w:hint="default" w:ascii="黑体" w:hAnsi="黑体" w:eastAsia="黑体" w:cs="黑体"/>
          <w:b w:val="0"/>
          <w:bCs w:val="0"/>
          <w:color w:val="auto"/>
          <w:kern w:val="2"/>
          <w:sz w:val="32"/>
        </w:rPr>
        <w:t>径</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pPr>
        <w:pStyle w:val="27"/>
        <w:spacing w:before="0" w:after="0"/>
        <w:ind w:firstLine="640" w:firstLineChars="200"/>
        <w:rPr>
          <w:rFonts w:hint="default"/>
        </w:rPr>
      </w:pPr>
      <w:r>
        <w:rPr>
          <w:rFonts w:hint="eastAsia"/>
        </w:rPr>
        <w:t>完善生态产品价值实现的制度框架，加快形成保护生态环境的政策导向机制，</w:t>
      </w:r>
      <w:r>
        <w:rPr>
          <w:rFonts w:hint="default"/>
        </w:rPr>
        <w:t>推动生态产业化，</w:t>
      </w:r>
      <w:r>
        <w:rPr>
          <w:rFonts w:hint="eastAsia"/>
        </w:rPr>
        <w:t>增强生态优势转化为经济优势的能力。</w:t>
      </w:r>
    </w:p>
    <w:p>
      <w:pPr>
        <w:pStyle w:val="5"/>
        <w:spacing w:before="0" w:after="0"/>
        <w:ind w:firstLine="640" w:firstLineChars="200"/>
        <w:rPr>
          <w:rFonts w:hint="default" w:ascii="黑体" w:hAnsi="黑体" w:eastAsia="黑体" w:cs="黑体"/>
          <w:b w:val="0"/>
          <w:bCs w:val="0"/>
          <w:color w:val="auto"/>
          <w:lang w:val="en-US" w:eastAsia="zh-CN"/>
        </w:rPr>
      </w:pPr>
      <w:bookmarkStart w:id="1944" w:name="_Toc3735"/>
      <w:bookmarkStart w:id="1945" w:name="_Toc19012"/>
      <w:bookmarkStart w:id="1946" w:name="_Toc26677"/>
      <w:bookmarkStart w:id="1947" w:name="_Toc3013"/>
      <w:bookmarkStart w:id="1948" w:name="_Toc15711"/>
      <w:bookmarkStart w:id="1949" w:name="_Toc5878"/>
      <w:bookmarkStart w:id="1950" w:name="_Toc4284"/>
      <w:bookmarkStart w:id="1951" w:name="_Toc28389"/>
      <w:bookmarkStart w:id="1952" w:name="_Toc79"/>
      <w:r>
        <w:rPr>
          <w:rFonts w:hint="default" w:ascii="黑体" w:hAnsi="黑体" w:eastAsia="黑体" w:cs="黑体"/>
          <w:b w:val="0"/>
          <w:bCs w:val="0"/>
          <w:color w:val="auto"/>
          <w:lang w:val="en-US" w:eastAsia="zh-CN"/>
        </w:rPr>
        <w:t>一、强化生态产品价值实现的政策支持</w:t>
      </w:r>
      <w:bookmarkEnd w:id="1944"/>
      <w:bookmarkEnd w:id="1945"/>
      <w:bookmarkEnd w:id="1946"/>
      <w:bookmarkEnd w:id="1947"/>
      <w:bookmarkEnd w:id="1948"/>
      <w:bookmarkEnd w:id="1949"/>
      <w:bookmarkEnd w:id="1950"/>
      <w:bookmarkEnd w:id="1951"/>
      <w:bookmarkEnd w:id="1952"/>
    </w:p>
    <w:p>
      <w:pPr>
        <w:pStyle w:val="27"/>
        <w:rPr>
          <w:rFonts w:hint="default"/>
        </w:rPr>
      </w:pPr>
      <w:r>
        <w:rPr>
          <w:rFonts w:hint="eastAsia"/>
        </w:rPr>
        <w:t>建立健全生态系统生产总值（</w:t>
      </w:r>
      <w:r>
        <w:t>GEP</w:t>
      </w:r>
      <w:r>
        <w:rPr>
          <w:rFonts w:hint="eastAsia"/>
        </w:rPr>
        <w:t>）核算体系，在重点生态功能区探索开展</w:t>
      </w:r>
      <w:r>
        <w:t>GEP</w:t>
      </w:r>
      <w:r>
        <w:rPr>
          <w:rFonts w:hint="eastAsia"/>
        </w:rPr>
        <w:t>核算</w:t>
      </w:r>
      <w:r>
        <w:rPr>
          <w:rFonts w:hint="eastAsia"/>
          <w:lang w:eastAsia="zh-CN"/>
        </w:rPr>
        <w:t>，</w:t>
      </w:r>
      <w:r>
        <w:rPr>
          <w:rFonts w:hint="default"/>
        </w:rPr>
        <w:t>探索构建不同的生态产品总值和生态产品价值评价体系。探索森林资源、湿地资源、水资源等生态资源及生态产品简便易行的价值理论与可复制可推广的核算方法体系。探索将生态产品价值核算纳入考核体系和领导干部自然资源资产离任审计。健全生态产品市场交易机制，探索建设交易平台，配合省做好碳排放权交易和碳普惠制相关工作，开展多种形式的岸线、流域、矿产、湿地等碳汇项目开发，研究探索碳汇参与碳市场抵消和碳中和补偿机制</w:t>
      </w:r>
      <w:r>
        <w:rPr>
          <w:rFonts w:hint="default"/>
          <w:lang w:eastAsia="zh-CN"/>
        </w:rPr>
        <w:t>。</w:t>
      </w:r>
      <w:r>
        <w:rPr>
          <w:rFonts w:hint="default"/>
        </w:rPr>
        <w:t>完善促进生态产品价值实现的金融体系，加大对重点项目的支持力度，推动设立专项基金，鼓励企业发行绿色债券融资等。健全财政奖补机制，探索制定生态产品政府采购目录及推进政府采购试点。</w:t>
      </w:r>
    </w:p>
    <w:p>
      <w:pPr>
        <w:pStyle w:val="5"/>
        <w:spacing w:before="0" w:after="0"/>
        <w:ind w:firstLine="640" w:firstLineChars="200"/>
        <w:rPr>
          <w:rFonts w:hint="default" w:ascii="黑体" w:hAnsi="黑体" w:eastAsia="黑体" w:cs="黑体"/>
          <w:b w:val="0"/>
          <w:bCs w:val="0"/>
          <w:color w:val="auto"/>
          <w:lang w:val="en-US" w:eastAsia="zh-CN"/>
        </w:rPr>
      </w:pPr>
      <w:bookmarkStart w:id="1953" w:name="_Toc32591"/>
      <w:bookmarkStart w:id="1954" w:name="_Toc13339"/>
      <w:bookmarkStart w:id="1955" w:name="_Toc10191"/>
      <w:bookmarkStart w:id="1956" w:name="_Toc2016"/>
      <w:bookmarkStart w:id="1957" w:name="_Toc6172"/>
      <w:bookmarkStart w:id="1958" w:name="_Toc27336"/>
      <w:bookmarkStart w:id="1959" w:name="_Toc18351"/>
      <w:bookmarkStart w:id="1960" w:name="_Toc29676"/>
      <w:bookmarkStart w:id="1961" w:name="_Toc3926"/>
      <w:r>
        <w:rPr>
          <w:rFonts w:hint="default" w:ascii="黑体" w:hAnsi="黑体" w:eastAsia="黑体" w:cs="黑体"/>
          <w:b w:val="0"/>
          <w:bCs w:val="0"/>
          <w:color w:val="auto"/>
          <w:lang w:val="en-US" w:eastAsia="zh-CN"/>
        </w:rPr>
        <w:t>二、探索创新</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两山</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转化特色模式</w:t>
      </w:r>
      <w:bookmarkEnd w:id="1953"/>
      <w:bookmarkEnd w:id="1954"/>
      <w:bookmarkEnd w:id="1955"/>
      <w:bookmarkEnd w:id="1956"/>
      <w:bookmarkEnd w:id="1957"/>
      <w:bookmarkEnd w:id="1958"/>
      <w:bookmarkEnd w:id="1959"/>
      <w:bookmarkEnd w:id="1960"/>
      <w:bookmarkEnd w:id="1961"/>
    </w:p>
    <w:p>
      <w:pPr>
        <w:pStyle w:val="27"/>
        <w:rPr>
          <w:rFonts w:hint="default"/>
        </w:rPr>
      </w:pPr>
      <w:r>
        <w:rPr>
          <w:rFonts w:hint="default"/>
        </w:rPr>
        <w:t>依托生态资源优势，推动生态产业化，增强自我造血功能和发展能力，提供更多优质生态产品，加快探索绿水青山转化为金山银山的实现路径。以各类风景名胜区、国家森林公园等为重点，统筹谋划生态旅游资源，创新发展生态旅游、红色旅游、乡村旅游以及户外运动、健康养生等幸福导向型产业，促进旅游、文化、体育产业融合发展。以打造现代农业产业园区为依托，重点发展生态绿色农产品、林下经济、药材种植、畜禽生态养殖等，大力发展生态农业、智慧农业，培育农产品加工和冷链物流企业，持续推进</w:t>
      </w:r>
      <w:r>
        <w:rPr>
          <w:rFonts w:hint="eastAsia"/>
          <w:lang w:eastAsia="zh-CN"/>
        </w:rPr>
        <w:t>“</w:t>
      </w:r>
      <w:r>
        <w:rPr>
          <w:rFonts w:hint="default"/>
        </w:rPr>
        <w:t>三品一标</w:t>
      </w:r>
      <w:r>
        <w:rPr>
          <w:rFonts w:hint="eastAsia"/>
          <w:lang w:eastAsia="zh-CN"/>
        </w:rPr>
        <w:t>”</w:t>
      </w:r>
      <w:r>
        <w:rPr>
          <w:rFonts w:hint="default"/>
        </w:rPr>
        <w:t>等农产品品牌建设，推动一二三产业融合发展。加快构建医药制造、医疗服务、健康休闲旅游、健康运动、健康农业（食品）等大健康全产业链，打造健康养生目的地。</w:t>
      </w:r>
    </w:p>
    <w:p>
      <w:pPr>
        <w:ind w:firstLine="640" w:firstLineChars="200"/>
        <w:rPr>
          <w:rFonts w:hint="default" w:ascii="Times New Roman" w:hAnsi="Times New Roman" w:eastAsia="仿宋_GB2312" w:cs="Times New Roman"/>
          <w:color w:val="auto"/>
          <w:sz w:val="32"/>
          <w:szCs w:val="32"/>
        </w:rPr>
      </w:pPr>
    </w:p>
    <w:bookmarkEnd w:id="34"/>
    <w:bookmarkEnd w:id="35"/>
    <w:bookmarkEnd w:id="1770"/>
    <w:bookmarkEnd w:id="1771"/>
    <w:p>
      <w:pPr>
        <w:pStyle w:val="28"/>
        <w:ind w:firstLine="643"/>
        <w:rPr>
          <w:rFonts w:hint="default" w:ascii="Times New Roman" w:hAnsi="Times New Roman" w:eastAsia="仿宋_GB2312" w:cs="Times New Roman"/>
          <w:b/>
          <w:color w:val="auto"/>
          <w:sz w:val="32"/>
          <w:szCs w:val="32"/>
        </w:rPr>
        <w:sectPr>
          <w:pgSz w:w="11906" w:h="16838"/>
          <w:pgMar w:top="2098" w:right="1474" w:bottom="1984" w:left="1587" w:header="851" w:footer="851" w:gutter="0"/>
          <w:pgNumType w:fmt="numberInDash"/>
          <w:cols w:space="720" w:num="1"/>
          <w:docGrid w:type="linesAndChars" w:linePitch="312" w:charSpace="0"/>
        </w:sectPr>
      </w:pPr>
      <w:bookmarkStart w:id="1962" w:name="_Toc1576"/>
    </w:p>
    <w:bookmarkEnd w:id="1962"/>
    <w:p>
      <w:pPr>
        <w:pStyle w:val="3"/>
        <w:rPr>
          <w:rFonts w:hint="eastAsia" w:ascii="方正小标宋简体" w:hAnsi="方正小标宋简体" w:eastAsia="方正小标宋简体" w:cs="方正小标宋简体"/>
          <w:color w:val="auto"/>
          <w:sz w:val="36"/>
          <w:szCs w:val="36"/>
        </w:rPr>
      </w:pPr>
      <w:bookmarkStart w:id="1963" w:name="_Toc16112"/>
      <w:bookmarkStart w:id="1964" w:name="_Toc20810"/>
      <w:bookmarkStart w:id="1965" w:name="_Toc18634"/>
      <w:bookmarkStart w:id="1966" w:name="_Toc7587"/>
      <w:bookmarkStart w:id="1967" w:name="_Toc18065"/>
      <w:bookmarkStart w:id="1968" w:name="_Toc22879"/>
      <w:bookmarkStart w:id="1969" w:name="_Toc13754"/>
      <w:bookmarkStart w:id="1970" w:name="_Toc3158"/>
      <w:bookmarkStart w:id="1971" w:name="_Toc61001271"/>
      <w:bookmarkStart w:id="1972" w:name="_Toc31295"/>
      <w:bookmarkStart w:id="1973" w:name="_Toc14517"/>
      <w:bookmarkStart w:id="1974" w:name="_Toc6801"/>
      <w:bookmarkStart w:id="1975" w:name="_Toc26665"/>
      <w:bookmarkStart w:id="1976" w:name="_Toc3701"/>
      <w:bookmarkStart w:id="1977" w:name="_Toc11396"/>
      <w:bookmarkStart w:id="1978" w:name="_Toc12920"/>
      <w:bookmarkStart w:id="1979" w:name="_Toc8128"/>
      <w:bookmarkStart w:id="1980" w:name="_Toc21027"/>
      <w:bookmarkStart w:id="1981" w:name="_Toc24265"/>
      <w:bookmarkStart w:id="1982" w:name="_Toc31968"/>
      <w:bookmarkStart w:id="1983" w:name="_Toc16455"/>
      <w:bookmarkStart w:id="1984" w:name="_Toc18681"/>
      <w:bookmarkStart w:id="1985" w:name="_Toc22173"/>
      <w:bookmarkStart w:id="1986" w:name="_Toc5982"/>
      <w:bookmarkStart w:id="1987" w:name="_Toc4245"/>
      <w:bookmarkStart w:id="1988" w:name="_Toc57663228"/>
      <w:bookmarkStart w:id="1989" w:name="_Toc17842"/>
      <w:r>
        <w:rPr>
          <w:rFonts w:hint="eastAsia" w:ascii="方正小标宋简体" w:hAnsi="方正小标宋简体" w:eastAsia="方正小标宋简体" w:cs="方正小标宋简体"/>
          <w:color w:val="auto"/>
          <w:sz w:val="36"/>
          <w:szCs w:val="36"/>
        </w:rPr>
        <w:t>第十二章</w:t>
      </w:r>
      <w:r>
        <w:rPr>
          <w:rStyle w:val="36"/>
          <w:rFonts w:hint="eastAsia" w:ascii="方正小标宋简体" w:hAnsi="方正小标宋简体" w:eastAsia="方正小标宋简体" w:cs="方正小标宋简体"/>
          <w:bCs w:val="0"/>
          <w:color w:val="auto"/>
          <w:sz w:val="36"/>
          <w:szCs w:val="36"/>
          <w:lang w:eastAsia="zh-CN"/>
        </w:rPr>
        <w:t>　</w:t>
      </w:r>
      <w:r>
        <w:rPr>
          <w:rFonts w:hint="eastAsia" w:ascii="方正小标宋简体" w:hAnsi="方正小标宋简体" w:eastAsia="方正小标宋简体" w:cs="方正小标宋简体"/>
          <w:color w:val="auto"/>
          <w:sz w:val="36"/>
          <w:szCs w:val="36"/>
        </w:rPr>
        <w:t>强化能力建设，夯实生态环境保护基础支</w:t>
      </w:r>
      <w:bookmarkEnd w:id="1963"/>
      <w:r>
        <w:rPr>
          <w:rFonts w:hint="eastAsia" w:ascii="方正小标宋简体" w:hAnsi="方正小标宋简体" w:eastAsia="方正小标宋简体" w:cs="方正小标宋简体"/>
          <w:color w:val="auto"/>
          <w:sz w:val="36"/>
          <w:szCs w:val="36"/>
        </w:rPr>
        <w:t>撑</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bookmarkEnd w:id="1988"/>
    <w:bookmarkEnd w:id="1989"/>
    <w:p>
      <w:pPr>
        <w:pStyle w:val="27"/>
        <w:rPr>
          <w:rFonts w:hint="default" w:ascii="Times New Roman" w:hAnsi="Times New Roman" w:cs="Times New Roman"/>
          <w:color w:val="auto"/>
        </w:rPr>
      </w:pPr>
    </w:p>
    <w:p>
      <w:pPr>
        <w:pStyle w:val="27"/>
        <w:rPr>
          <w:rFonts w:hint="default"/>
        </w:rPr>
      </w:pPr>
      <w:r>
        <w:rPr>
          <w:rFonts w:hint="default"/>
          <w:lang w:val="en-US"/>
        </w:rPr>
        <w:t>对标</w:t>
      </w:r>
      <w:r>
        <w:rPr>
          <w:rFonts w:hint="default"/>
        </w:rPr>
        <w:t>新</w:t>
      </w:r>
      <w:r>
        <w:rPr>
          <w:rFonts w:hint="eastAsia"/>
          <w:lang w:val="en-US" w:eastAsia="zh-CN"/>
        </w:rPr>
        <w:t>发展</w:t>
      </w:r>
      <w:r>
        <w:rPr>
          <w:rFonts w:hint="default"/>
        </w:rPr>
        <w:t>阶段生态环境保护治理能力</w:t>
      </w:r>
      <w:r>
        <w:rPr>
          <w:rFonts w:hint="eastAsia"/>
          <w:lang w:val="en-US" w:eastAsia="zh-CN"/>
        </w:rPr>
        <w:t>新目标新</w:t>
      </w:r>
      <w:r>
        <w:rPr>
          <w:rFonts w:hint="default"/>
        </w:rPr>
        <w:t>要求，全方位加强生态环境监测预警、信息感知、执法监管、管控调度、环境应急、科技支撑能力建设，为生态环境保护统一监督管理提供有力支撑和有效手段，全面提升生态环境治理效能。</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1990" w:name="_Toc32707"/>
      <w:bookmarkStart w:id="1991" w:name="_Toc22163"/>
      <w:bookmarkStart w:id="1992" w:name="_Toc6818"/>
      <w:bookmarkStart w:id="1993" w:name="_Toc7572"/>
      <w:bookmarkStart w:id="1994" w:name="_Toc61001272"/>
      <w:bookmarkStart w:id="1995" w:name="_Toc17158"/>
      <w:bookmarkStart w:id="1996" w:name="_Toc16245"/>
      <w:bookmarkStart w:id="1997" w:name="_Toc13576"/>
      <w:bookmarkStart w:id="1998" w:name="_Toc29205"/>
      <w:bookmarkStart w:id="1999" w:name="_Toc25482"/>
      <w:bookmarkStart w:id="2000" w:name="_Toc31510"/>
      <w:bookmarkStart w:id="2001" w:name="_Toc3754"/>
      <w:bookmarkStart w:id="2002" w:name="_Toc26289"/>
      <w:bookmarkStart w:id="2003" w:name="_Toc18814"/>
      <w:bookmarkStart w:id="2004" w:name="_Toc25581"/>
      <w:bookmarkStart w:id="2005" w:name="_Toc28440"/>
      <w:bookmarkStart w:id="2006" w:name="_Toc15852"/>
      <w:bookmarkStart w:id="2007" w:name="_Toc11869"/>
      <w:bookmarkStart w:id="2008" w:name="_Toc29235"/>
      <w:bookmarkStart w:id="2009" w:name="_Toc28762"/>
      <w:bookmarkStart w:id="2010" w:name="_Toc9265"/>
      <w:bookmarkStart w:id="2011" w:name="_Toc2447"/>
      <w:bookmarkStart w:id="2012" w:name="_Toc892"/>
      <w:bookmarkStart w:id="2013" w:name="_Toc13828"/>
      <w:bookmarkStart w:id="2014" w:name="_Toc31280"/>
      <w:r>
        <w:rPr>
          <w:rFonts w:hint="default" w:ascii="黑体" w:hAnsi="黑体" w:eastAsia="黑体" w:cs="黑体"/>
          <w:b w:val="0"/>
          <w:bCs w:val="0"/>
          <w:color w:val="auto"/>
          <w:kern w:val="2"/>
          <w:sz w:val="32"/>
        </w:rPr>
        <w:t>第一节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构建科学先进的监测预警体</w:t>
      </w:r>
      <w:bookmarkEnd w:id="1990"/>
      <w:r>
        <w:rPr>
          <w:rFonts w:hint="default" w:ascii="黑体" w:hAnsi="黑体" w:eastAsia="黑体" w:cs="黑体"/>
          <w:b w:val="0"/>
          <w:bCs w:val="0"/>
          <w:color w:val="auto"/>
          <w:kern w:val="2"/>
          <w:sz w:val="32"/>
        </w:rPr>
        <w:t>系</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pPr>
        <w:pStyle w:val="27"/>
        <w:rPr>
          <w:rFonts w:hint="default"/>
        </w:rPr>
      </w:pPr>
      <w:bookmarkStart w:id="2015" w:name="_Toc15759"/>
      <w:bookmarkStart w:id="2016" w:name="_Toc30497"/>
      <w:bookmarkStart w:id="2017" w:name="_Toc4776"/>
      <w:bookmarkStart w:id="2018" w:name="_Toc32180"/>
      <w:bookmarkStart w:id="2019" w:name="_Toc25946"/>
      <w:r>
        <w:rPr>
          <w:rFonts w:hint="default"/>
        </w:rPr>
        <w:t>以生态环境监测体系改革为抓手，明晰生态环境监测事权，健全</w:t>
      </w:r>
      <w:r>
        <w:rPr>
          <w:rFonts w:hint="eastAsia"/>
          <w:lang w:val="en-US" w:eastAsia="zh-CN"/>
        </w:rPr>
        <w:t>完善</w:t>
      </w:r>
      <w:r>
        <w:rPr>
          <w:rFonts w:hint="default"/>
        </w:rPr>
        <w:t>生态环境监测</w:t>
      </w:r>
      <w:r>
        <w:rPr>
          <w:rFonts w:hint="eastAsia"/>
          <w:lang w:val="en-US" w:eastAsia="zh-CN"/>
        </w:rPr>
        <w:t>预警</w:t>
      </w:r>
      <w:r>
        <w:rPr>
          <w:rFonts w:hint="default"/>
        </w:rPr>
        <w:t>网络，提升生态环境追根溯源能力。</w:t>
      </w:r>
    </w:p>
    <w:p>
      <w:pPr>
        <w:pStyle w:val="5"/>
        <w:spacing w:before="0" w:after="0"/>
        <w:ind w:firstLine="640" w:firstLineChars="200"/>
        <w:rPr>
          <w:rFonts w:hint="default" w:ascii="黑体" w:hAnsi="黑体" w:eastAsia="黑体" w:cs="黑体"/>
          <w:b w:val="0"/>
          <w:bCs w:val="0"/>
          <w:color w:val="auto"/>
          <w:lang w:val="en-US" w:eastAsia="zh-CN"/>
        </w:rPr>
      </w:pPr>
      <w:bookmarkStart w:id="2020" w:name="_Toc23626"/>
      <w:bookmarkStart w:id="2021" w:name="_Toc3482"/>
      <w:bookmarkStart w:id="2022" w:name="_Toc24441"/>
      <w:bookmarkStart w:id="2023" w:name="_Toc13277"/>
      <w:bookmarkStart w:id="2024" w:name="_Toc30064"/>
      <w:bookmarkStart w:id="2025" w:name="_Toc6727"/>
      <w:bookmarkStart w:id="2026" w:name="_Toc7208"/>
      <w:bookmarkStart w:id="2027" w:name="_Toc534"/>
      <w:bookmarkStart w:id="2028" w:name="_Toc4405"/>
      <w:bookmarkStart w:id="2029" w:name="_Toc11890"/>
      <w:r>
        <w:rPr>
          <w:rFonts w:hint="default" w:ascii="黑体" w:hAnsi="黑体" w:eastAsia="黑体" w:cs="黑体"/>
          <w:b w:val="0"/>
          <w:bCs w:val="0"/>
          <w:color w:val="auto"/>
          <w:lang w:val="en-US" w:eastAsia="zh-CN"/>
        </w:rPr>
        <w:t>一、优化生态环境监测体系</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pPr>
        <w:pStyle w:val="27"/>
        <w:rPr>
          <w:rFonts w:hint="default"/>
        </w:rPr>
      </w:pPr>
      <w:r>
        <w:rPr>
          <w:rFonts w:hint="default"/>
        </w:rPr>
        <w:t>深化全市生态环境监测管理体制改革，全面加强生态环境监测能力建设，不断完善生态环境监测技术体系，全面提高监测自动化、标准化、信息化水平，推动实现环境质量预报预警，确保监测数据</w:t>
      </w:r>
      <w:r>
        <w:rPr>
          <w:rFonts w:hint="eastAsia"/>
          <w:lang w:eastAsia="zh-CN"/>
        </w:rPr>
        <w:t>“</w:t>
      </w:r>
      <w:r>
        <w:rPr>
          <w:rFonts w:hint="default"/>
        </w:rPr>
        <w:t>真、准、全</w:t>
      </w:r>
      <w:r>
        <w:rPr>
          <w:rFonts w:hint="eastAsia"/>
          <w:lang w:eastAsia="zh-CN"/>
        </w:rPr>
        <w:t>”</w:t>
      </w:r>
      <w:r>
        <w:rPr>
          <w:rFonts w:hint="default"/>
        </w:rPr>
        <w:t>。进一步优化和加强县</w:t>
      </w:r>
      <w:r>
        <w:rPr>
          <w:rFonts w:hint="eastAsia"/>
          <w:lang w:eastAsia="zh-CN"/>
        </w:rPr>
        <w:t>（</w:t>
      </w:r>
      <w:r>
        <w:rPr>
          <w:rFonts w:hint="default"/>
        </w:rPr>
        <w:t>市、区</w:t>
      </w:r>
      <w:r>
        <w:rPr>
          <w:rFonts w:hint="eastAsia"/>
          <w:lang w:eastAsia="zh-CN"/>
        </w:rPr>
        <w:t>）</w:t>
      </w:r>
      <w:r>
        <w:rPr>
          <w:rFonts w:hint="default"/>
        </w:rPr>
        <w:t>生态环境监测机构执法监测、污染源监测和突发生态环境事件应急监测能力，建立健全生态环境监测与生态环境执法联动体制机制。加强县</w:t>
      </w:r>
      <w:r>
        <w:rPr>
          <w:rFonts w:hint="eastAsia"/>
          <w:lang w:eastAsia="zh-CN"/>
        </w:rPr>
        <w:t>（</w:t>
      </w:r>
      <w:r>
        <w:rPr>
          <w:rFonts w:hint="default"/>
        </w:rPr>
        <w:t>市、区</w:t>
      </w:r>
      <w:r>
        <w:rPr>
          <w:rFonts w:hint="eastAsia"/>
          <w:lang w:eastAsia="zh-CN"/>
        </w:rPr>
        <w:t>）</w:t>
      </w:r>
      <w:r>
        <w:rPr>
          <w:rFonts w:hint="default"/>
        </w:rPr>
        <w:t>之间的协同监测能力。深化生态环境监测质量管理，落实数据质量责任，保障监测数据的准确性。结合辖区内的产业布局和企业产污特征，积极开展相关特征污染物的监测。强化重点排污单位自行监测主体责任，加强自行监测的监督检查。</w:t>
      </w:r>
      <w:r>
        <w:rPr>
          <w:rFonts w:hint="eastAsia"/>
        </w:rPr>
        <w:t>推进监测信用评价，严厉打击监测数据弄虚作假。</w:t>
      </w:r>
    </w:p>
    <w:p>
      <w:pPr>
        <w:pStyle w:val="5"/>
        <w:spacing w:before="0" w:after="0"/>
        <w:ind w:firstLine="640" w:firstLineChars="200"/>
        <w:rPr>
          <w:rFonts w:hint="default" w:ascii="黑体" w:hAnsi="黑体" w:eastAsia="黑体" w:cs="黑体"/>
          <w:b w:val="0"/>
          <w:bCs w:val="0"/>
          <w:color w:val="auto"/>
          <w:lang w:val="en-US" w:eastAsia="zh-CN"/>
        </w:rPr>
      </w:pPr>
      <w:bookmarkStart w:id="2030" w:name="_Toc6648"/>
      <w:bookmarkStart w:id="2031" w:name="_Toc8432"/>
      <w:bookmarkStart w:id="2032" w:name="_Toc8106"/>
      <w:bookmarkStart w:id="2033" w:name="_Toc26033"/>
      <w:bookmarkStart w:id="2034" w:name="_Toc3935"/>
      <w:bookmarkStart w:id="2035" w:name="_Toc6335"/>
      <w:bookmarkStart w:id="2036" w:name="_Toc12501"/>
      <w:bookmarkStart w:id="2037" w:name="_Toc17627"/>
      <w:bookmarkStart w:id="2038" w:name="_Toc4137"/>
      <w:bookmarkStart w:id="2039" w:name="_Toc8576"/>
      <w:bookmarkStart w:id="2040" w:name="_Toc25857"/>
      <w:bookmarkStart w:id="2041" w:name="_Toc1847"/>
      <w:bookmarkStart w:id="2042" w:name="_Toc14243"/>
      <w:bookmarkStart w:id="2043" w:name="_Toc11187"/>
      <w:bookmarkStart w:id="2044" w:name="_Toc19162"/>
      <w:r>
        <w:rPr>
          <w:rFonts w:hint="default" w:ascii="黑体" w:hAnsi="黑体" w:eastAsia="黑体" w:cs="黑体"/>
          <w:b w:val="0"/>
          <w:bCs w:val="0"/>
          <w:color w:val="auto"/>
          <w:lang w:val="en-US" w:eastAsia="zh-CN"/>
        </w:rPr>
        <w:t>二、完善生态环境监测预警网络</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pPr>
        <w:pStyle w:val="27"/>
        <w:rPr>
          <w:rFonts w:hint="default"/>
        </w:rPr>
      </w:pPr>
      <w:r>
        <w:rPr>
          <w:rFonts w:hint="default"/>
        </w:rPr>
        <w:t>加快构建天地一体、上下协同、信息共享的生态环境监测预警网络</w:t>
      </w:r>
      <w:r>
        <w:rPr>
          <w:rFonts w:hint="eastAsia"/>
          <w:lang w:eastAsia="zh-CN"/>
        </w:rPr>
        <w:t>。</w:t>
      </w:r>
      <w:r>
        <w:rPr>
          <w:rFonts w:hint="default"/>
        </w:rPr>
        <w:t>以流域区域生态环境质量状况及其变化、重点污染源和污染物排放情况为基础，构建生态环境监测预警机制。加强追因溯源监测，推动大气环境监测从质量浓度监测转向机理成因监测，依托颗粒物组分网和VOCs成分谱监测网实现大气污染动态追因溯源常态化，开展重点工业园区VOCs走航监测。依托土壤污染数据，开展土壤风险评估预警。</w:t>
      </w:r>
    </w:p>
    <w:p>
      <w:pPr>
        <w:pStyle w:val="5"/>
        <w:spacing w:before="0" w:after="0"/>
        <w:ind w:firstLine="640" w:firstLineChars="200"/>
        <w:rPr>
          <w:rFonts w:hint="default" w:ascii="黑体" w:hAnsi="黑体" w:eastAsia="黑体" w:cs="黑体"/>
          <w:b w:val="0"/>
          <w:bCs w:val="0"/>
          <w:color w:val="auto"/>
          <w:lang w:val="en-US" w:eastAsia="zh-CN"/>
        </w:rPr>
      </w:pPr>
      <w:bookmarkStart w:id="2045" w:name="_Toc23234"/>
      <w:bookmarkStart w:id="2046" w:name="_Toc14532"/>
      <w:bookmarkStart w:id="2047" w:name="_Toc14479"/>
      <w:bookmarkStart w:id="2048" w:name="_Toc18989"/>
      <w:bookmarkStart w:id="2049" w:name="_Toc24091"/>
      <w:bookmarkStart w:id="2050" w:name="_Toc10289"/>
      <w:bookmarkStart w:id="2051" w:name="_Toc31679"/>
      <w:bookmarkStart w:id="2052" w:name="_Toc5065"/>
      <w:bookmarkStart w:id="2053" w:name="_Toc4341"/>
      <w:bookmarkStart w:id="2054" w:name="_Toc5363"/>
      <w:bookmarkStart w:id="2055" w:name="_Toc20986"/>
      <w:bookmarkStart w:id="2056" w:name="_Toc2799"/>
      <w:bookmarkStart w:id="2057" w:name="_Toc32612"/>
      <w:bookmarkStart w:id="2058" w:name="_Toc13988"/>
      <w:bookmarkStart w:id="2059" w:name="_Toc22386"/>
      <w:r>
        <w:rPr>
          <w:rFonts w:hint="default" w:ascii="黑体" w:hAnsi="黑体" w:eastAsia="黑体" w:cs="黑体"/>
          <w:b w:val="0"/>
          <w:bCs w:val="0"/>
          <w:color w:val="auto"/>
          <w:lang w:val="en-US" w:eastAsia="zh-CN"/>
        </w:rPr>
        <w:t>三、全力提升预报预警与环境风险防范能力</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pPr>
        <w:pStyle w:val="27"/>
        <w:widowControl w:val="0"/>
        <w:wordWrap/>
        <w:adjustRightInd/>
        <w:snapToGrid/>
        <w:textAlignment w:val="auto"/>
        <w:outlineLvl w:val="9"/>
        <w:rPr>
          <w:rFonts w:hint="default" w:ascii="Times New Roman" w:hAnsi="Times New Roman" w:cs="Times New Roman"/>
          <w:color w:val="auto"/>
        </w:rPr>
      </w:pPr>
      <w:r>
        <w:rPr>
          <w:rFonts w:hint="default"/>
        </w:rPr>
        <w:t>进一步完善全市生态环境质量预报预警机制，建立和实施环境空气质量和水环境质量自动监测系统体系，实施对管控区域和重点监管对象的大气、水、土壤等生态环境风险的监测、评估与预警。积极推进环境空气质量预报预警平台建设，完善与气象等部门联合会商机制，加强监测信息汇聚共享与技术协作，提高预警信息可信度和反应速度。按照污染源管理下移的原则，以属地为主，加强重点污染源监督监测，增强工业园区环境风险防控，完善重点污染源在线监测数据异常预警机制，提高污染物超标排放、在线监测设备运行异常等信息报警与处置能力。建立监测监管联动快速响应机制，加大对生态环境监测数据异常区域的监测与执法频次，根据异常监测数据和自动站报警信息，及时开展同步监管执法。建立和实施生态环境应急监测体系，加强全市应急监测快速反应队伍建设，充分发挥快速反应队伍应急尖刀作用，充实应急物质储备，提升生态环境突发事件应急监测能力。</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2060" w:name="_Toc2035"/>
      <w:bookmarkStart w:id="2061" w:name="_Toc1220"/>
      <w:bookmarkStart w:id="2062" w:name="_Toc7969"/>
      <w:bookmarkStart w:id="2063" w:name="_Toc29804"/>
      <w:bookmarkStart w:id="2064" w:name="_Toc13172"/>
      <w:bookmarkStart w:id="2065" w:name="_Toc1464"/>
      <w:bookmarkStart w:id="2066" w:name="_Toc13756"/>
      <w:bookmarkStart w:id="2067" w:name="_Toc11014"/>
      <w:bookmarkStart w:id="2068" w:name="_Toc16706"/>
      <w:bookmarkStart w:id="2069" w:name="_Toc20880"/>
      <w:bookmarkStart w:id="2070" w:name="_Toc61001274"/>
      <w:bookmarkStart w:id="2071" w:name="_Toc13555"/>
      <w:bookmarkStart w:id="2072" w:name="_Toc26996"/>
      <w:bookmarkStart w:id="2073" w:name="_Toc28766"/>
      <w:bookmarkStart w:id="2074" w:name="_Toc27879"/>
      <w:bookmarkStart w:id="2075" w:name="_Toc20097"/>
      <w:bookmarkStart w:id="2076" w:name="_Toc26982"/>
      <w:bookmarkStart w:id="2077" w:name="_Toc3257"/>
      <w:bookmarkStart w:id="2078" w:name="_Toc20195"/>
      <w:bookmarkStart w:id="2079" w:name="_Toc17245"/>
      <w:bookmarkStart w:id="2080" w:name="_Toc3123"/>
      <w:bookmarkStart w:id="2081" w:name="_Toc25765"/>
      <w:bookmarkStart w:id="2082" w:name="_Toc21460"/>
      <w:bookmarkStart w:id="2083" w:name="_Toc2260"/>
      <w:bookmarkStart w:id="2084" w:name="_Toc25188"/>
      <w:r>
        <w:rPr>
          <w:rFonts w:hint="default" w:ascii="黑体" w:hAnsi="黑体" w:eastAsia="黑体" w:cs="黑体"/>
          <w:b w:val="0"/>
          <w:bCs w:val="0"/>
          <w:color w:val="auto"/>
          <w:kern w:val="2"/>
          <w:sz w:val="32"/>
        </w:rPr>
        <w:t>第二节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构建统一规范的执法监管体</w:t>
      </w:r>
      <w:bookmarkEnd w:id="2060"/>
      <w:r>
        <w:rPr>
          <w:rFonts w:hint="default" w:ascii="黑体" w:hAnsi="黑体" w:eastAsia="黑体" w:cs="黑体"/>
          <w:b w:val="0"/>
          <w:bCs w:val="0"/>
          <w:color w:val="auto"/>
          <w:kern w:val="2"/>
          <w:sz w:val="32"/>
        </w:rPr>
        <w:t>系</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pPr>
        <w:pStyle w:val="27"/>
        <w:rPr>
          <w:rFonts w:hint="default"/>
        </w:rPr>
      </w:pPr>
      <w:bookmarkStart w:id="2085" w:name="_Toc21264"/>
      <w:bookmarkStart w:id="2086" w:name="_Toc18564"/>
      <w:bookmarkStart w:id="2087" w:name="_Toc32461"/>
      <w:bookmarkStart w:id="2088" w:name="_Toc31928"/>
      <w:bookmarkStart w:id="2089" w:name="_Toc27840"/>
      <w:r>
        <w:rPr>
          <w:rFonts w:hint="default"/>
        </w:rPr>
        <w:t>以夯实基层执法力量为重点，健全生态环境综合执法体系，提升生态环境监管标准化、规范化建设水平，增强生态环境监管统一性、权威性和有效性。</w:t>
      </w:r>
    </w:p>
    <w:p>
      <w:pPr>
        <w:pStyle w:val="5"/>
        <w:spacing w:before="0" w:after="0"/>
        <w:ind w:firstLine="640" w:firstLineChars="200"/>
        <w:rPr>
          <w:rFonts w:hint="default" w:ascii="黑体" w:hAnsi="黑体" w:eastAsia="黑体" w:cs="黑体"/>
          <w:b w:val="0"/>
          <w:bCs w:val="0"/>
          <w:color w:val="auto"/>
          <w:lang w:val="en-US" w:eastAsia="zh-CN"/>
        </w:rPr>
      </w:pPr>
      <w:bookmarkStart w:id="2090" w:name="_Toc5993"/>
      <w:bookmarkStart w:id="2091" w:name="_Toc17449"/>
      <w:bookmarkStart w:id="2092" w:name="_Toc16425"/>
      <w:bookmarkStart w:id="2093" w:name="_Toc17573"/>
      <w:bookmarkStart w:id="2094" w:name="_Toc8965"/>
      <w:bookmarkStart w:id="2095" w:name="_Toc13365"/>
      <w:bookmarkStart w:id="2096" w:name="_Toc2919"/>
      <w:bookmarkStart w:id="2097" w:name="_Toc23933"/>
      <w:bookmarkStart w:id="2098" w:name="_Toc1850"/>
      <w:bookmarkStart w:id="2099" w:name="_Toc25978"/>
      <w:r>
        <w:rPr>
          <w:rFonts w:hint="default" w:ascii="黑体" w:hAnsi="黑体" w:eastAsia="黑体" w:cs="黑体"/>
          <w:b w:val="0"/>
          <w:bCs w:val="0"/>
          <w:color w:val="auto"/>
          <w:lang w:val="en-US" w:eastAsia="zh-CN"/>
        </w:rPr>
        <w:t>一、健全生态环境综合执法体系</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pPr>
        <w:pStyle w:val="27"/>
        <w:rPr>
          <w:rFonts w:hint="default"/>
        </w:rPr>
      </w:pPr>
      <w:r>
        <w:rPr>
          <w:rFonts w:hint="default"/>
        </w:rPr>
        <w:t>扎实推进生态环境保护综合行政执法改革，加快补齐应对气候变化、生态监管等领域执法能力短板。继续推进生态环境执法重心向基层下移，强化属地生态环境执法。充分把握生态环境机构监测监察执法垂直管理契机，建立健全人员培训制度</w:t>
      </w:r>
      <w:r>
        <w:rPr>
          <w:rFonts w:hint="eastAsia"/>
          <w:lang w:eastAsia="zh-CN"/>
        </w:rPr>
        <w:t>，</w:t>
      </w:r>
      <w:r>
        <w:rPr>
          <w:rFonts w:hint="default"/>
        </w:rPr>
        <w:t>加强基层生态环境执法力量和队伍建设。</w:t>
      </w:r>
    </w:p>
    <w:p>
      <w:pPr>
        <w:pStyle w:val="5"/>
        <w:spacing w:before="0" w:after="0"/>
        <w:ind w:firstLine="640" w:firstLineChars="200"/>
        <w:rPr>
          <w:rFonts w:hint="default" w:ascii="黑体" w:hAnsi="黑体" w:eastAsia="黑体" w:cs="黑体"/>
          <w:b w:val="0"/>
          <w:bCs w:val="0"/>
          <w:color w:val="auto"/>
          <w:lang w:val="en-US" w:eastAsia="zh-CN"/>
        </w:rPr>
      </w:pPr>
      <w:bookmarkStart w:id="2100" w:name="_Toc12402"/>
      <w:bookmarkStart w:id="2101" w:name="_Toc18152"/>
      <w:bookmarkStart w:id="2102" w:name="_Toc22823"/>
      <w:bookmarkStart w:id="2103" w:name="_Toc498"/>
      <w:bookmarkStart w:id="2104" w:name="_Toc22902"/>
      <w:bookmarkStart w:id="2105" w:name="_Toc18990"/>
      <w:bookmarkStart w:id="2106" w:name="_Toc24193"/>
      <w:bookmarkStart w:id="2107" w:name="_Toc7458"/>
      <w:bookmarkStart w:id="2108" w:name="_Toc30641"/>
      <w:bookmarkStart w:id="2109" w:name="_Toc5386"/>
      <w:bookmarkStart w:id="2110" w:name="_Toc21031"/>
      <w:bookmarkStart w:id="2111" w:name="_Toc30253"/>
      <w:bookmarkStart w:id="2112" w:name="_Toc23302"/>
      <w:bookmarkStart w:id="2113" w:name="_Toc1360"/>
      <w:bookmarkStart w:id="2114" w:name="_Toc16888"/>
      <w:r>
        <w:rPr>
          <w:rFonts w:hint="default" w:ascii="黑体" w:hAnsi="黑体" w:eastAsia="黑体" w:cs="黑体"/>
          <w:b w:val="0"/>
          <w:bCs w:val="0"/>
          <w:color w:val="auto"/>
          <w:lang w:val="en-US" w:eastAsia="zh-CN"/>
        </w:rPr>
        <w:t>二、创新生态环境执法监管模式</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pPr>
        <w:pStyle w:val="27"/>
        <w:rPr>
          <w:rFonts w:hint="default"/>
        </w:rPr>
      </w:pPr>
      <w:r>
        <w:rPr>
          <w:rFonts w:hint="default"/>
        </w:rPr>
        <w:t>健全以</w:t>
      </w:r>
      <w:r>
        <w:rPr>
          <w:rFonts w:hint="eastAsia"/>
          <w:lang w:eastAsia="zh-CN"/>
        </w:rPr>
        <w:t>“</w:t>
      </w:r>
      <w:r>
        <w:rPr>
          <w:rFonts w:hint="default"/>
        </w:rPr>
        <w:t>双随机、一公开</w:t>
      </w:r>
      <w:r>
        <w:rPr>
          <w:rFonts w:hint="eastAsia"/>
          <w:lang w:eastAsia="zh-CN"/>
        </w:rPr>
        <w:t>”</w:t>
      </w:r>
      <w:r>
        <w:rPr>
          <w:rFonts w:hint="default"/>
        </w:rPr>
        <w:t>监管为基本手段、以重点监管为补充、以信用监管为基础的监管机制。创新执法方式，充分运用在线监控、卫星遥感、无人机等科技手段，大力推进非现场执法。完善生态环境监督执法正面清单常态化工作机制，对正面清单内的企业落实现场检查减免政策，进一步强化非现场监管模式。</w:t>
      </w:r>
      <w:r>
        <w:rPr>
          <w:rFonts w:hint="eastAsia"/>
        </w:rPr>
        <w:t>探索相邻县</w:t>
      </w:r>
      <w:r>
        <w:rPr>
          <w:rFonts w:hint="eastAsia"/>
          <w:lang w:eastAsia="zh-CN"/>
        </w:rPr>
        <w:t>（</w:t>
      </w:r>
      <w:r>
        <w:rPr>
          <w:rFonts w:hint="eastAsia"/>
          <w:lang w:val="en-US" w:eastAsia="zh-CN"/>
        </w:rPr>
        <w:t>市、</w:t>
      </w:r>
      <w:r>
        <w:rPr>
          <w:rFonts w:hint="eastAsia"/>
        </w:rPr>
        <w:t>区</w:t>
      </w:r>
      <w:r>
        <w:rPr>
          <w:rFonts w:hint="eastAsia"/>
          <w:lang w:eastAsia="zh-CN"/>
        </w:rPr>
        <w:t>）</w:t>
      </w:r>
      <w:r>
        <w:rPr>
          <w:rFonts w:hint="eastAsia"/>
        </w:rPr>
        <w:t>环境监测站协同应急监测机制</w:t>
      </w:r>
      <w:r>
        <w:rPr>
          <w:rFonts w:hint="default"/>
        </w:rPr>
        <w:t>。</w:t>
      </w:r>
    </w:p>
    <w:p>
      <w:pPr>
        <w:pStyle w:val="5"/>
        <w:spacing w:before="0" w:after="0"/>
        <w:ind w:firstLine="640" w:firstLineChars="200"/>
        <w:rPr>
          <w:rFonts w:hint="default" w:ascii="黑体" w:hAnsi="黑体" w:eastAsia="黑体" w:cs="黑体"/>
          <w:b w:val="0"/>
          <w:bCs w:val="0"/>
          <w:color w:val="auto"/>
          <w:lang w:val="en-US" w:eastAsia="zh-CN"/>
        </w:rPr>
      </w:pPr>
      <w:bookmarkStart w:id="2115" w:name="_Toc30050"/>
      <w:bookmarkStart w:id="2116" w:name="_Toc21982"/>
      <w:bookmarkStart w:id="2117" w:name="_Toc6372"/>
      <w:bookmarkStart w:id="2118" w:name="_Toc24655"/>
      <w:bookmarkStart w:id="2119" w:name="_Toc21639"/>
      <w:bookmarkStart w:id="2120" w:name="_Toc8854"/>
      <w:bookmarkStart w:id="2121" w:name="_Toc23274"/>
      <w:bookmarkStart w:id="2122" w:name="_Toc20093"/>
      <w:bookmarkStart w:id="2123" w:name="_Toc5421"/>
      <w:bookmarkStart w:id="2124" w:name="_Toc12421"/>
      <w:bookmarkStart w:id="2125" w:name="_Toc12415"/>
      <w:bookmarkStart w:id="2126" w:name="_Toc16266"/>
      <w:bookmarkStart w:id="2127" w:name="_Toc12927"/>
      <w:bookmarkStart w:id="2128" w:name="_Toc25654"/>
      <w:bookmarkStart w:id="2129" w:name="_Toc18404"/>
      <w:r>
        <w:rPr>
          <w:rFonts w:hint="default" w:ascii="黑体" w:hAnsi="黑体" w:eastAsia="黑体" w:cs="黑体"/>
          <w:b w:val="0"/>
          <w:bCs w:val="0"/>
          <w:color w:val="auto"/>
          <w:lang w:val="en-US" w:eastAsia="zh-CN"/>
        </w:rPr>
        <w:t>三、规范生态环境执法行为</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pPr>
        <w:pStyle w:val="27"/>
        <w:rPr>
          <w:rFonts w:hint="default"/>
        </w:rPr>
      </w:pPr>
      <w:r>
        <w:rPr>
          <w:rFonts w:hint="default"/>
        </w:rPr>
        <w:t>建立健全生态环境保护综合行政执法事项清单制度，明晰执法权责，规范执法行为，破解执法不规范和执法不透明等问题。健全执法责任制，规范行政执法自由裁量</w:t>
      </w:r>
      <w:r>
        <w:rPr>
          <w:rFonts w:hint="eastAsia"/>
          <w:lang w:val="en-US" w:eastAsia="zh-CN"/>
        </w:rPr>
        <w:t>行为</w:t>
      </w:r>
      <w:r>
        <w:rPr>
          <w:rFonts w:hint="default"/>
        </w:rPr>
        <w:t>，强化对监管执法行为的约束，坚决纠正不作为、乱作为问题，依法保障各类主体的环境权益，严禁</w:t>
      </w:r>
      <w:r>
        <w:rPr>
          <w:rFonts w:hint="eastAsia"/>
          <w:lang w:eastAsia="zh-CN"/>
        </w:rPr>
        <w:t>“</w:t>
      </w:r>
      <w:r>
        <w:rPr>
          <w:rFonts w:hint="default"/>
        </w:rPr>
        <w:t>一刀切</w:t>
      </w:r>
      <w:r>
        <w:rPr>
          <w:rFonts w:hint="eastAsia"/>
          <w:lang w:eastAsia="zh-CN"/>
        </w:rPr>
        <w:t>”</w:t>
      </w:r>
      <w:r>
        <w:rPr>
          <w:rFonts w:hint="default"/>
        </w:rPr>
        <w:t>。全面</w:t>
      </w:r>
      <w:r>
        <w:rPr>
          <w:rFonts w:hint="default"/>
          <w:lang w:val="en-US" w:eastAsia="zh-CN"/>
        </w:rPr>
        <w:t>落实</w:t>
      </w:r>
      <w:r>
        <w:rPr>
          <w:rFonts w:hint="default"/>
        </w:rPr>
        <w:t>行政执法公示、执法全过程记录、重大执法决定法制审核等制度，推进环境执法公开透明、规范有序、公平高效。注重</w:t>
      </w:r>
      <w:r>
        <w:rPr>
          <w:rFonts w:hint="eastAsia"/>
          <w:lang w:eastAsia="zh-CN"/>
        </w:rPr>
        <w:t>“</w:t>
      </w:r>
      <w:r>
        <w:rPr>
          <w:rFonts w:hint="default"/>
        </w:rPr>
        <w:t>柔性执法</w:t>
      </w:r>
      <w:r>
        <w:rPr>
          <w:rFonts w:hint="eastAsia"/>
          <w:lang w:eastAsia="zh-CN"/>
        </w:rPr>
        <w:t>”</w:t>
      </w:r>
      <w:r>
        <w:rPr>
          <w:rFonts w:hint="default"/>
        </w:rPr>
        <w:t>，</w:t>
      </w:r>
      <w:r>
        <w:rPr>
          <w:rFonts w:hint="default"/>
          <w:lang w:val="en-US" w:eastAsia="zh-CN"/>
        </w:rPr>
        <w:t>完善</w:t>
      </w:r>
      <w:r>
        <w:rPr>
          <w:rFonts w:hint="default"/>
        </w:rPr>
        <w:t>生态环境轻微违法违规行为免罚清单，探索包容审慎监督执法，完善环境违法容错纠错机制。</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2130" w:name="_Toc16855"/>
      <w:bookmarkStart w:id="2131" w:name="_Toc14999"/>
      <w:bookmarkStart w:id="2132" w:name="_Toc31059"/>
      <w:bookmarkStart w:id="2133" w:name="_Toc29568"/>
      <w:bookmarkStart w:id="2134" w:name="_Toc14325"/>
      <w:bookmarkStart w:id="2135" w:name="_Toc28870"/>
      <w:bookmarkStart w:id="2136" w:name="_Toc1913"/>
      <w:bookmarkStart w:id="2137" w:name="_Toc10574"/>
      <w:bookmarkStart w:id="2138" w:name="_Toc15516"/>
      <w:bookmarkStart w:id="2139" w:name="_Toc6062"/>
      <w:bookmarkStart w:id="2140" w:name="_Toc3965"/>
      <w:bookmarkStart w:id="2141" w:name="_Toc1791"/>
      <w:bookmarkStart w:id="2142" w:name="_Toc7464"/>
      <w:bookmarkStart w:id="2143" w:name="_Toc1639"/>
      <w:bookmarkStart w:id="2144" w:name="_Toc61001275"/>
      <w:bookmarkStart w:id="2145" w:name="_Toc32245"/>
      <w:bookmarkStart w:id="2146" w:name="_Toc9853"/>
      <w:bookmarkStart w:id="2147" w:name="_Toc23406"/>
      <w:bookmarkStart w:id="2148" w:name="_Toc7452"/>
      <w:bookmarkStart w:id="2149" w:name="_Toc23379"/>
      <w:bookmarkStart w:id="2150" w:name="_Toc19991"/>
      <w:bookmarkStart w:id="2151" w:name="_Toc28218"/>
      <w:bookmarkStart w:id="2152" w:name="_Toc23532"/>
      <w:bookmarkStart w:id="2153" w:name="_Toc24229"/>
      <w:bookmarkStart w:id="2154" w:name="_Toc29543"/>
      <w:r>
        <w:rPr>
          <w:rFonts w:hint="default" w:ascii="黑体" w:hAnsi="黑体" w:eastAsia="黑体" w:cs="黑体"/>
          <w:b w:val="0"/>
          <w:bCs w:val="0"/>
          <w:color w:val="auto"/>
          <w:kern w:val="2"/>
          <w:sz w:val="32"/>
        </w:rPr>
        <w:t>第</w:t>
      </w:r>
      <w:r>
        <w:rPr>
          <w:rFonts w:hint="default" w:ascii="黑体" w:hAnsi="黑体" w:eastAsia="黑体" w:cs="黑体"/>
          <w:b w:val="0"/>
          <w:bCs w:val="0"/>
          <w:color w:val="auto"/>
          <w:kern w:val="2"/>
          <w:sz w:val="32"/>
          <w:lang w:eastAsia="zh-CN"/>
        </w:rPr>
        <w:t>三</w:t>
      </w:r>
      <w:r>
        <w:rPr>
          <w:rFonts w:hint="default" w:ascii="黑体" w:hAnsi="黑体" w:eastAsia="黑体" w:cs="黑体"/>
          <w:b w:val="0"/>
          <w:bCs w:val="0"/>
          <w:color w:val="auto"/>
          <w:kern w:val="2"/>
          <w:sz w:val="32"/>
        </w:rPr>
        <w:t>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构建智慧共享的管控调度体</w:t>
      </w:r>
      <w:bookmarkEnd w:id="2130"/>
      <w:r>
        <w:rPr>
          <w:rFonts w:hint="default" w:ascii="黑体" w:hAnsi="黑体" w:eastAsia="黑体" w:cs="黑体"/>
          <w:b w:val="0"/>
          <w:bCs w:val="0"/>
          <w:color w:val="auto"/>
          <w:kern w:val="2"/>
          <w:sz w:val="32"/>
        </w:rPr>
        <w:t>系</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pPr>
        <w:pStyle w:val="27"/>
        <w:rPr>
          <w:rFonts w:hint="default"/>
        </w:rPr>
      </w:pPr>
      <w:bookmarkStart w:id="2155" w:name="_Toc12469"/>
      <w:bookmarkStart w:id="2156" w:name="_Toc3132"/>
      <w:bookmarkStart w:id="2157" w:name="_Toc21343"/>
      <w:bookmarkStart w:id="2158" w:name="_Toc13768"/>
      <w:bookmarkStart w:id="2159" w:name="_Toc19802"/>
      <w:r>
        <w:rPr>
          <w:rFonts w:hint="default"/>
        </w:rPr>
        <w:t>全面深化生态环境信息化建设，推动生态环境</w:t>
      </w:r>
      <w:r>
        <w:rPr>
          <w:rFonts w:hint="eastAsia"/>
          <w:lang w:eastAsia="zh-CN"/>
        </w:rPr>
        <w:t>“</w:t>
      </w:r>
      <w:r>
        <w:rPr>
          <w:rFonts w:hint="default"/>
        </w:rPr>
        <w:t>一网统管</w:t>
      </w:r>
      <w:r>
        <w:rPr>
          <w:rFonts w:hint="eastAsia"/>
          <w:lang w:eastAsia="zh-CN"/>
        </w:rPr>
        <w:t>”</w:t>
      </w:r>
      <w:r>
        <w:rPr>
          <w:rFonts w:hint="default"/>
        </w:rPr>
        <w:t>，构建完善生态环境智</w:t>
      </w:r>
      <w:r>
        <w:rPr>
          <w:rFonts w:hint="eastAsia"/>
          <w:lang w:val="en-US" w:eastAsia="zh-CN"/>
        </w:rPr>
        <w:t>信息化</w:t>
      </w:r>
      <w:r>
        <w:rPr>
          <w:rFonts w:hint="default"/>
        </w:rPr>
        <w:t>平台，夯实信息化基础支撑能力。</w:t>
      </w:r>
    </w:p>
    <w:p>
      <w:pPr>
        <w:pStyle w:val="5"/>
        <w:spacing w:before="0" w:after="0"/>
        <w:ind w:firstLine="640" w:firstLineChars="200"/>
        <w:rPr>
          <w:rFonts w:hint="default" w:ascii="黑体" w:hAnsi="黑体" w:eastAsia="黑体" w:cs="黑体"/>
          <w:b w:val="0"/>
          <w:bCs w:val="0"/>
          <w:color w:val="auto"/>
          <w:lang w:val="en-US" w:eastAsia="zh-CN"/>
        </w:rPr>
      </w:pPr>
      <w:bookmarkStart w:id="2160" w:name="_Toc18567"/>
      <w:bookmarkStart w:id="2161" w:name="_Toc11087"/>
      <w:bookmarkStart w:id="2162" w:name="_Toc18496"/>
      <w:bookmarkStart w:id="2163" w:name="_Toc29067"/>
      <w:bookmarkStart w:id="2164" w:name="_Toc8134"/>
      <w:bookmarkStart w:id="2165" w:name="_Toc19100"/>
      <w:bookmarkStart w:id="2166" w:name="_Toc2941"/>
      <w:bookmarkStart w:id="2167" w:name="_Toc26154"/>
      <w:bookmarkStart w:id="2168" w:name="_Toc9331"/>
      <w:bookmarkStart w:id="2169" w:name="_Toc19661"/>
      <w:r>
        <w:rPr>
          <w:rFonts w:hint="default" w:ascii="黑体" w:hAnsi="黑体" w:eastAsia="黑体" w:cs="黑体"/>
          <w:b w:val="0"/>
          <w:bCs w:val="0"/>
          <w:color w:val="auto"/>
          <w:lang w:val="en-US" w:eastAsia="zh-CN"/>
        </w:rPr>
        <w:t>一、加快推进生态环境</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一网统管</w:t>
      </w:r>
      <w:r>
        <w:rPr>
          <w:rFonts w:hint="eastAsia" w:ascii="黑体" w:hAnsi="黑体" w:eastAsia="黑体" w:cs="黑体"/>
          <w:b w:val="0"/>
          <w:bCs w:val="0"/>
          <w:color w:val="auto"/>
          <w:lang w:val="en-US" w:eastAsia="zh-CN"/>
        </w:rPr>
        <w:t>”</w:t>
      </w:r>
      <w:r>
        <w:rPr>
          <w:rFonts w:hint="default" w:ascii="黑体" w:hAnsi="黑体" w:eastAsia="黑体" w:cs="黑体"/>
          <w:b w:val="0"/>
          <w:bCs w:val="0"/>
          <w:color w:val="auto"/>
          <w:lang w:val="en-US" w:eastAsia="zh-CN"/>
        </w:rPr>
        <w:t>建设</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pPr>
        <w:pStyle w:val="27"/>
        <w:rPr>
          <w:rFonts w:hint="default"/>
        </w:rPr>
      </w:pPr>
      <w:r>
        <w:rPr>
          <w:rFonts w:hint="default"/>
        </w:rPr>
        <w:t>按照</w:t>
      </w:r>
      <w:r>
        <w:rPr>
          <w:rFonts w:hint="eastAsia"/>
          <w:lang w:eastAsia="zh-CN"/>
        </w:rPr>
        <w:t>国家</w:t>
      </w:r>
      <w:r>
        <w:rPr>
          <w:rFonts w:hint="default"/>
        </w:rPr>
        <w:t>和省有关要求，坚持</w:t>
      </w:r>
      <w:r>
        <w:rPr>
          <w:rFonts w:hint="eastAsia"/>
          <w:lang w:eastAsia="zh-CN"/>
        </w:rPr>
        <w:t>“</w:t>
      </w:r>
      <w:r>
        <w:rPr>
          <w:rFonts w:hint="default"/>
        </w:rPr>
        <w:t>全市一盘棋</w:t>
      </w:r>
      <w:r>
        <w:rPr>
          <w:rFonts w:hint="eastAsia"/>
          <w:lang w:eastAsia="zh-CN"/>
        </w:rPr>
        <w:t>”</w:t>
      </w:r>
      <w:r>
        <w:rPr>
          <w:rFonts w:hint="default"/>
        </w:rPr>
        <w:t>工作思路，按照</w:t>
      </w:r>
      <w:r>
        <w:rPr>
          <w:rFonts w:hint="eastAsia"/>
          <w:lang w:eastAsia="zh-CN"/>
        </w:rPr>
        <w:t>“</w:t>
      </w:r>
      <w:r>
        <w:rPr>
          <w:rFonts w:hint="default"/>
        </w:rPr>
        <w:t>大数据、大系统、大平台</w:t>
      </w:r>
      <w:r>
        <w:rPr>
          <w:rFonts w:hint="eastAsia"/>
          <w:lang w:eastAsia="zh-CN"/>
        </w:rPr>
        <w:t>”</w:t>
      </w:r>
      <w:r>
        <w:rPr>
          <w:rFonts w:hint="default"/>
        </w:rPr>
        <w:t>集约化建设模式，全力推进集数据采集、分析、监管、指挥、决策于一体的智慧生态云平台建设，着力打造一张网</w:t>
      </w:r>
      <w:r>
        <w:rPr>
          <w:rFonts w:hint="eastAsia"/>
          <w:lang w:eastAsia="zh-CN"/>
        </w:rPr>
        <w:t>（</w:t>
      </w:r>
      <w:r>
        <w:rPr>
          <w:rFonts w:hint="default"/>
        </w:rPr>
        <w:t>天空地一体化生态环境感知网</w:t>
      </w:r>
      <w:r>
        <w:rPr>
          <w:rFonts w:hint="eastAsia"/>
          <w:lang w:eastAsia="zh-CN"/>
        </w:rPr>
        <w:t>）</w:t>
      </w:r>
      <w:r>
        <w:rPr>
          <w:rFonts w:hint="default"/>
        </w:rPr>
        <w:t>、一中心</w:t>
      </w:r>
      <w:r>
        <w:rPr>
          <w:rFonts w:hint="eastAsia"/>
          <w:lang w:eastAsia="zh-CN"/>
        </w:rPr>
        <w:t>（</w:t>
      </w:r>
      <w:r>
        <w:rPr>
          <w:rFonts w:hint="default"/>
        </w:rPr>
        <w:t>生态环境大数据中心</w:t>
      </w:r>
      <w:r>
        <w:rPr>
          <w:rFonts w:hint="eastAsia"/>
          <w:lang w:eastAsia="zh-CN"/>
        </w:rPr>
        <w:t>）</w:t>
      </w:r>
      <w:r>
        <w:rPr>
          <w:rFonts w:hint="default"/>
        </w:rPr>
        <w:t>、一平台</w:t>
      </w:r>
      <w:r>
        <w:rPr>
          <w:rFonts w:hint="eastAsia"/>
          <w:lang w:eastAsia="zh-CN"/>
        </w:rPr>
        <w:t>（</w:t>
      </w:r>
      <w:r>
        <w:rPr>
          <w:rFonts w:hint="default"/>
        </w:rPr>
        <w:t>涵盖智慧监测、智慧监管、智慧政务、综合决策四大应用体系</w:t>
      </w:r>
      <w:r>
        <w:rPr>
          <w:rFonts w:hint="eastAsia"/>
          <w:lang w:eastAsia="zh-CN"/>
        </w:rPr>
        <w:t>）</w:t>
      </w:r>
      <w:r>
        <w:rPr>
          <w:rFonts w:hint="default"/>
        </w:rPr>
        <w:t>，进一步夯实生态环境系统数字政府基础能力，强化对污染防治攻坚战和生态文明建设持久战的保障支撑，全面提升</w:t>
      </w:r>
      <w:r>
        <w:rPr>
          <w:rFonts w:hint="eastAsia"/>
          <w:lang w:val="en-US" w:eastAsia="zh-CN"/>
        </w:rPr>
        <w:t>韶关市</w:t>
      </w:r>
      <w:r>
        <w:rPr>
          <w:rFonts w:hint="default"/>
        </w:rPr>
        <w:t>生态环境治理能力和治理水平。</w:t>
      </w:r>
    </w:p>
    <w:p>
      <w:pPr>
        <w:pStyle w:val="5"/>
        <w:spacing w:before="0" w:after="0"/>
        <w:ind w:firstLine="640" w:firstLineChars="200"/>
        <w:rPr>
          <w:rFonts w:hint="default" w:ascii="黑体" w:hAnsi="黑体" w:eastAsia="黑体" w:cs="黑体"/>
          <w:b w:val="0"/>
          <w:bCs w:val="0"/>
          <w:color w:val="auto"/>
          <w:lang w:val="en-US" w:eastAsia="zh-CN"/>
        </w:rPr>
      </w:pPr>
      <w:bookmarkStart w:id="2170" w:name="_Toc32460"/>
      <w:bookmarkStart w:id="2171" w:name="_Toc14423"/>
      <w:bookmarkStart w:id="2172" w:name="_Toc24758"/>
      <w:bookmarkStart w:id="2173" w:name="_Toc24421"/>
      <w:bookmarkStart w:id="2174" w:name="_Toc3676"/>
      <w:bookmarkStart w:id="2175" w:name="_Toc26815"/>
      <w:bookmarkStart w:id="2176" w:name="_Toc1523"/>
      <w:bookmarkStart w:id="2177" w:name="_Toc7206"/>
      <w:bookmarkStart w:id="2178" w:name="_Toc20355"/>
      <w:bookmarkStart w:id="2179" w:name="_Toc14851"/>
      <w:bookmarkStart w:id="2180" w:name="_Toc13184"/>
      <w:bookmarkStart w:id="2181" w:name="_Toc22739"/>
      <w:bookmarkStart w:id="2182" w:name="_Toc25895"/>
      <w:bookmarkStart w:id="2183" w:name="_Toc7828"/>
      <w:bookmarkStart w:id="2184" w:name="_Toc13734"/>
      <w:r>
        <w:rPr>
          <w:rFonts w:hint="default" w:ascii="黑体" w:hAnsi="黑体" w:eastAsia="黑体" w:cs="黑体"/>
          <w:b w:val="0"/>
          <w:bCs w:val="0"/>
          <w:color w:val="auto"/>
          <w:lang w:val="en-US" w:eastAsia="zh-CN"/>
        </w:rPr>
        <w:t>二、持续推进生态环境</w:t>
      </w:r>
      <w:r>
        <w:rPr>
          <w:rFonts w:hint="eastAsia" w:ascii="黑体" w:hAnsi="黑体" w:eastAsia="黑体" w:cs="黑体"/>
          <w:b w:val="0"/>
          <w:bCs w:val="0"/>
          <w:color w:val="auto"/>
          <w:lang w:val="en-US" w:eastAsia="zh-CN"/>
        </w:rPr>
        <w:t>信息化</w:t>
      </w:r>
      <w:r>
        <w:rPr>
          <w:rFonts w:hint="default" w:ascii="黑体" w:hAnsi="黑体" w:eastAsia="黑体" w:cs="黑体"/>
          <w:b w:val="0"/>
          <w:bCs w:val="0"/>
          <w:color w:val="auto"/>
          <w:lang w:val="en-US" w:eastAsia="zh-CN"/>
        </w:rPr>
        <w:t>平台建设</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pPr>
        <w:pStyle w:val="27"/>
        <w:rPr>
          <w:rFonts w:hint="default"/>
        </w:rPr>
      </w:pPr>
      <w:r>
        <w:rPr>
          <w:rFonts w:hint="default"/>
        </w:rPr>
        <w:t>搭建智慧环保体系架构，构建完善智慧环保物联网感知和传输系统，探索建设数据资源中心工程、业务应用平台工程、环境决策支持系统工程。在省数字政府大数据支撑平台基础上，构建数据治理平台、共享开放平台、环境智库平台以及大数据驾驶舱等大数据基础应用，重点在生态环境质量、污染源、污染物等数据的关联分析，建立多部门污染源协同管理和污染物减排决策支持。</w:t>
      </w:r>
    </w:p>
    <w:p>
      <w:pPr>
        <w:pStyle w:val="5"/>
        <w:spacing w:before="0" w:after="0"/>
        <w:ind w:firstLine="640" w:firstLineChars="200"/>
        <w:rPr>
          <w:rFonts w:hint="default" w:ascii="黑体" w:hAnsi="黑体" w:eastAsia="黑体" w:cs="黑体"/>
          <w:b w:val="0"/>
          <w:bCs w:val="0"/>
          <w:color w:val="auto"/>
          <w:lang w:val="en-US" w:eastAsia="zh-CN"/>
        </w:rPr>
      </w:pPr>
      <w:bookmarkStart w:id="2185" w:name="_Toc31938"/>
      <w:bookmarkStart w:id="2186" w:name="_Toc19677"/>
      <w:bookmarkStart w:id="2187" w:name="_Toc1335"/>
      <w:bookmarkStart w:id="2188" w:name="_Toc15876"/>
      <w:bookmarkStart w:id="2189" w:name="_Toc1443"/>
      <w:bookmarkStart w:id="2190" w:name="_Toc24034"/>
      <w:bookmarkStart w:id="2191" w:name="_Toc18963"/>
      <w:bookmarkStart w:id="2192" w:name="_Toc24060"/>
      <w:bookmarkStart w:id="2193" w:name="_Toc26234"/>
      <w:bookmarkStart w:id="2194" w:name="_Toc12731"/>
      <w:bookmarkStart w:id="2195" w:name="_Toc30896"/>
      <w:bookmarkStart w:id="2196" w:name="_Toc17970"/>
      <w:bookmarkStart w:id="2197" w:name="_Toc15532"/>
      <w:bookmarkStart w:id="2198" w:name="_Toc32447"/>
      <w:bookmarkStart w:id="2199" w:name="_Toc9088"/>
      <w:r>
        <w:rPr>
          <w:rFonts w:hint="default" w:ascii="黑体" w:hAnsi="黑体" w:eastAsia="黑体" w:cs="黑体"/>
          <w:b w:val="0"/>
          <w:bCs w:val="0"/>
          <w:color w:val="auto"/>
          <w:lang w:val="en-US" w:eastAsia="zh-CN"/>
        </w:rPr>
        <w:t>三、持续提升生态环境政务服务能力</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pPr>
        <w:pStyle w:val="27"/>
        <w:rPr>
          <w:rFonts w:hint="default"/>
        </w:rPr>
      </w:pPr>
      <w:r>
        <w:rPr>
          <w:rFonts w:hint="default"/>
        </w:rPr>
        <w:t>加强数字政府建设，在持续优化政务服务的同时，进一步发挥数字政府提升政府监管能力的作用，不断将</w:t>
      </w:r>
      <w:r>
        <w:rPr>
          <w:rFonts w:hint="eastAsia"/>
          <w:lang w:eastAsia="zh-CN"/>
        </w:rPr>
        <w:t>“</w:t>
      </w:r>
      <w:r>
        <w:rPr>
          <w:rFonts w:hint="default"/>
        </w:rPr>
        <w:t>放管服</w:t>
      </w:r>
      <w:r>
        <w:rPr>
          <w:rFonts w:hint="eastAsia"/>
          <w:lang w:eastAsia="zh-CN"/>
        </w:rPr>
        <w:t>”</w:t>
      </w:r>
      <w:r>
        <w:rPr>
          <w:rFonts w:hint="default"/>
        </w:rPr>
        <w:t>改革推向深入。进一步优化审批操作流程，提高办事效率、行政效能和服务效率，持续提升</w:t>
      </w:r>
      <w:r>
        <w:rPr>
          <w:rFonts w:hint="eastAsia"/>
          <w:lang w:eastAsia="zh-CN"/>
        </w:rPr>
        <w:t>“</w:t>
      </w:r>
      <w:r>
        <w:rPr>
          <w:rFonts w:hint="default"/>
        </w:rPr>
        <w:t>一网通办</w:t>
      </w:r>
      <w:r>
        <w:rPr>
          <w:rFonts w:hint="eastAsia"/>
          <w:lang w:eastAsia="zh-CN"/>
        </w:rPr>
        <w:t>”</w:t>
      </w:r>
      <w:r>
        <w:rPr>
          <w:rFonts w:hint="default"/>
        </w:rPr>
        <w:t>服务能力。系统梳理生态环境领域服务事项，完善服务事项要素。</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2200" w:name="_Toc17794"/>
      <w:bookmarkStart w:id="2201" w:name="_Toc15897"/>
      <w:bookmarkStart w:id="2202" w:name="_Toc14596"/>
      <w:bookmarkStart w:id="2203" w:name="_Toc11876"/>
      <w:bookmarkStart w:id="2204" w:name="_Toc13621"/>
      <w:bookmarkStart w:id="2205" w:name="_Toc12387"/>
      <w:bookmarkStart w:id="2206" w:name="_Toc15745"/>
      <w:bookmarkStart w:id="2207" w:name="_Toc29908"/>
      <w:bookmarkStart w:id="2208" w:name="_Toc20280"/>
      <w:bookmarkStart w:id="2209" w:name="_Toc18718"/>
      <w:bookmarkStart w:id="2210" w:name="_Toc61001276"/>
      <w:bookmarkStart w:id="2211" w:name="_Toc5114"/>
      <w:bookmarkStart w:id="2212" w:name="_Toc22411"/>
      <w:bookmarkStart w:id="2213" w:name="_Toc19892"/>
      <w:bookmarkStart w:id="2214" w:name="_Toc20455"/>
      <w:bookmarkStart w:id="2215" w:name="_Toc19696"/>
      <w:bookmarkStart w:id="2216" w:name="_Toc18629"/>
      <w:bookmarkStart w:id="2217" w:name="_Toc16682"/>
      <w:bookmarkStart w:id="2218" w:name="_Toc31681"/>
      <w:bookmarkStart w:id="2219" w:name="_Toc5623"/>
      <w:bookmarkStart w:id="2220" w:name="_Toc9518"/>
      <w:bookmarkStart w:id="2221" w:name="_Toc30701"/>
      <w:bookmarkStart w:id="2222" w:name="_Toc2491"/>
      <w:bookmarkStart w:id="2223" w:name="_Toc8555"/>
      <w:bookmarkStart w:id="2224" w:name="_Toc1601"/>
      <w:r>
        <w:rPr>
          <w:rFonts w:hint="default" w:ascii="黑体" w:hAnsi="黑体" w:eastAsia="黑体" w:cs="黑体"/>
          <w:b w:val="0"/>
          <w:bCs w:val="0"/>
          <w:color w:val="auto"/>
          <w:kern w:val="2"/>
          <w:sz w:val="32"/>
        </w:rPr>
        <w:t>第</w:t>
      </w:r>
      <w:r>
        <w:rPr>
          <w:rFonts w:hint="default" w:ascii="黑体" w:hAnsi="黑体" w:eastAsia="黑体" w:cs="黑体"/>
          <w:b w:val="0"/>
          <w:bCs w:val="0"/>
          <w:color w:val="auto"/>
          <w:kern w:val="2"/>
          <w:sz w:val="32"/>
          <w:lang w:eastAsia="zh-CN"/>
        </w:rPr>
        <w:t>四</w:t>
      </w:r>
      <w:r>
        <w:rPr>
          <w:rFonts w:hint="default" w:ascii="黑体" w:hAnsi="黑体" w:eastAsia="黑体" w:cs="黑体"/>
          <w:b w:val="0"/>
          <w:bCs w:val="0"/>
          <w:color w:val="auto"/>
          <w:kern w:val="2"/>
          <w:sz w:val="32"/>
        </w:rPr>
        <w:t>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构建快速响应的环境应急体</w:t>
      </w:r>
      <w:bookmarkEnd w:id="2200"/>
      <w:r>
        <w:rPr>
          <w:rFonts w:hint="default" w:ascii="黑体" w:hAnsi="黑体" w:eastAsia="黑体" w:cs="黑体"/>
          <w:b w:val="0"/>
          <w:bCs w:val="0"/>
          <w:color w:val="auto"/>
          <w:kern w:val="2"/>
          <w:sz w:val="32"/>
        </w:rPr>
        <w:t>系</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pPr>
        <w:pStyle w:val="27"/>
        <w:spacing w:before="0" w:after="0"/>
        <w:ind w:firstLine="640" w:firstLineChars="200"/>
        <w:rPr>
          <w:rFonts w:hint="default"/>
        </w:rPr>
      </w:pPr>
      <w:bookmarkStart w:id="2225" w:name="_Toc105"/>
      <w:bookmarkStart w:id="2226" w:name="_Toc23738"/>
      <w:bookmarkStart w:id="2227" w:name="_Toc6750"/>
      <w:bookmarkStart w:id="2228" w:name="_Toc24209"/>
      <w:bookmarkStart w:id="2229" w:name="_Toc14425"/>
      <w:r>
        <w:rPr>
          <w:rFonts w:hint="default"/>
        </w:rPr>
        <w:t>健全全过程、多层</w:t>
      </w:r>
      <w:r>
        <w:rPr>
          <w:rFonts w:hint="eastAsia"/>
          <w:lang w:val="en-US" w:eastAsia="zh-CN"/>
        </w:rPr>
        <w:t>次的</w:t>
      </w:r>
      <w:r>
        <w:rPr>
          <w:rFonts w:hint="default"/>
        </w:rPr>
        <w:t>环境风险防控体系，加强应急平台、应急队伍、应急物</w:t>
      </w:r>
      <w:r>
        <w:t>资</w:t>
      </w:r>
      <w:r>
        <w:rPr>
          <w:rFonts w:hint="default"/>
        </w:rPr>
        <w:t>等基础能力建设，提升环境风险防控和应急管理水平。</w:t>
      </w:r>
    </w:p>
    <w:p>
      <w:pPr>
        <w:pStyle w:val="5"/>
        <w:spacing w:before="0" w:after="0"/>
        <w:ind w:firstLine="640" w:firstLineChars="200"/>
        <w:rPr>
          <w:rFonts w:hint="default" w:ascii="黑体" w:hAnsi="黑体" w:eastAsia="黑体" w:cs="黑体"/>
          <w:b w:val="0"/>
          <w:bCs w:val="0"/>
          <w:color w:val="auto"/>
          <w:lang w:val="en-US" w:eastAsia="zh-CN"/>
        </w:rPr>
      </w:pPr>
      <w:bookmarkStart w:id="2230" w:name="_Toc25823"/>
      <w:bookmarkStart w:id="2231" w:name="_Toc19184"/>
      <w:bookmarkStart w:id="2232" w:name="_Toc26094"/>
      <w:bookmarkStart w:id="2233" w:name="_Toc13091"/>
      <w:bookmarkStart w:id="2234" w:name="_Toc24471"/>
      <w:bookmarkStart w:id="2235" w:name="_Toc29829"/>
      <w:bookmarkStart w:id="2236" w:name="_Toc17834"/>
      <w:bookmarkStart w:id="2237" w:name="_Toc19963"/>
      <w:bookmarkStart w:id="2238" w:name="_Toc24007"/>
      <w:bookmarkStart w:id="2239" w:name="_Toc7866"/>
      <w:r>
        <w:rPr>
          <w:rFonts w:hint="default" w:ascii="黑体" w:hAnsi="黑体" w:eastAsia="黑体" w:cs="黑体"/>
          <w:b w:val="0"/>
          <w:bCs w:val="0"/>
          <w:color w:val="auto"/>
          <w:lang w:val="en-US" w:eastAsia="zh-CN"/>
        </w:rPr>
        <w:t>一、建立健全环境应急管理体系</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pPr>
        <w:pStyle w:val="27"/>
        <w:rPr>
          <w:rFonts w:hint="default"/>
        </w:rPr>
      </w:pPr>
      <w:r>
        <w:rPr>
          <w:rFonts w:hint="default"/>
        </w:rPr>
        <w:t>逐步建立环境风险分级分类管理体系，完善突发环境事件应急管理多层次预案体系，健全生态环境风险动态评价和管控机制。完善环境安全例会和例检，定期开展企事业环境风险隐患排查专项整治。实施企业环境应急预案电子化备案，实现涉危涉重企业电子化备案全覆盖，加强对政府、</w:t>
      </w:r>
      <w:r>
        <w:rPr>
          <w:rFonts w:hint="eastAsia"/>
          <w:lang w:eastAsia="zh-CN"/>
        </w:rPr>
        <w:t>园区、</w:t>
      </w:r>
      <w:r>
        <w:rPr>
          <w:rFonts w:hint="default"/>
        </w:rPr>
        <w:t>企业预案的动态管理，规范定期开展各级应急演练和培训制度。建立健全环境应急物资保障制度及应急物资调度工作体制。完善环境应急响应体系，规范环境应急响应流程，加强环境风险监控和污染控制，及时科学处置突发环境事件。</w:t>
      </w:r>
    </w:p>
    <w:p>
      <w:pPr>
        <w:pStyle w:val="27"/>
        <w:widowControl w:val="0"/>
        <w:wordWrap/>
        <w:adjustRightInd/>
        <w:snapToGrid/>
        <w:textAlignment w:val="auto"/>
        <w:outlineLvl w:val="9"/>
        <w:rPr>
          <w:rFonts w:hint="default"/>
        </w:rPr>
      </w:pPr>
      <w:r>
        <w:rPr>
          <w:rFonts w:hint="default"/>
          <w:lang w:val="zh-CN"/>
        </w:rPr>
        <w:t>稳步</w:t>
      </w:r>
      <w:r>
        <w:rPr>
          <w:rFonts w:hint="default"/>
        </w:rPr>
        <w:t>推进应用</w:t>
      </w:r>
      <w:r>
        <w:rPr>
          <w:rFonts w:hint="eastAsia"/>
          <w:lang w:eastAsia="zh-CN"/>
        </w:rPr>
        <w:t>“</w:t>
      </w:r>
      <w:r>
        <w:rPr>
          <w:rFonts w:hint="default"/>
        </w:rPr>
        <w:t>南阳实践</w:t>
      </w:r>
      <w:r>
        <w:rPr>
          <w:rFonts w:hint="eastAsia"/>
          <w:lang w:eastAsia="zh-CN"/>
        </w:rPr>
        <w:t>”</w:t>
      </w:r>
      <w:r>
        <w:rPr>
          <w:rFonts w:hint="default"/>
        </w:rPr>
        <w:t>经验，切实提升韶关市突发水环境事件应急处置能力</w:t>
      </w:r>
      <w:r>
        <w:rPr>
          <w:rFonts w:hint="eastAsia"/>
          <w:lang w:val="en-US" w:eastAsia="zh-CN"/>
        </w:rPr>
        <w:t>。</w:t>
      </w:r>
      <w:r>
        <w:rPr>
          <w:rFonts w:hint="default"/>
        </w:rPr>
        <w:t>根据本市区域水环境风险现状，从集中式</w:t>
      </w:r>
      <w:r>
        <w:rPr>
          <w:rFonts w:hint="eastAsia"/>
          <w:lang w:eastAsia="zh-CN"/>
        </w:rPr>
        <w:t>饮用水</w:t>
      </w:r>
      <w:r>
        <w:rPr>
          <w:rFonts w:hint="default"/>
        </w:rPr>
        <w:t>水源地河流、跨界河流等重要敏感受体入手，深入贯彻</w:t>
      </w:r>
      <w:r>
        <w:rPr>
          <w:rFonts w:hint="eastAsia"/>
          <w:lang w:eastAsia="zh-CN"/>
        </w:rPr>
        <w:t>“</w:t>
      </w:r>
      <w:r>
        <w:rPr>
          <w:rFonts w:hint="default"/>
        </w:rPr>
        <w:t>以空间换时间</w:t>
      </w:r>
      <w:r>
        <w:rPr>
          <w:rFonts w:hint="eastAsia"/>
          <w:lang w:eastAsia="zh-CN"/>
        </w:rPr>
        <w:t>”</w:t>
      </w:r>
      <w:r>
        <w:rPr>
          <w:rFonts w:hint="default"/>
        </w:rPr>
        <w:t>的原则，</w:t>
      </w:r>
      <w:r>
        <w:rPr>
          <w:rFonts w:hint="eastAsia"/>
          <w:lang w:eastAsia="zh-CN"/>
        </w:rPr>
        <w:t>完善</w:t>
      </w:r>
      <w:r>
        <w:rPr>
          <w:rFonts w:hint="default"/>
        </w:rPr>
        <w:t>突发水环境事件应急响应和现场处置</w:t>
      </w:r>
      <w:r>
        <w:rPr>
          <w:rFonts w:hint="eastAsia"/>
          <w:lang w:eastAsia="zh-CN"/>
        </w:rPr>
        <w:t>机制</w:t>
      </w:r>
      <w:r>
        <w:rPr>
          <w:rFonts w:hint="default"/>
        </w:rPr>
        <w:t>，切实筑牢韶关市</w:t>
      </w:r>
      <w:r>
        <w:rPr>
          <w:rFonts w:hint="eastAsia"/>
          <w:lang w:val="en-US" w:eastAsia="zh-CN"/>
        </w:rPr>
        <w:t>水</w:t>
      </w:r>
      <w:r>
        <w:rPr>
          <w:rFonts w:hint="default"/>
        </w:rPr>
        <w:t>生态环境安全屏障。推进《韶关市环境应急</w:t>
      </w:r>
      <w:r>
        <w:rPr>
          <w:rFonts w:hint="eastAsia"/>
          <w:lang w:eastAsia="zh-CN"/>
        </w:rPr>
        <w:t>“</w:t>
      </w:r>
      <w:r>
        <w:rPr>
          <w:rFonts w:hint="default"/>
        </w:rPr>
        <w:t>南阳实践</w:t>
      </w:r>
      <w:r>
        <w:rPr>
          <w:rFonts w:hint="eastAsia"/>
          <w:lang w:eastAsia="zh-CN"/>
        </w:rPr>
        <w:t>”</w:t>
      </w:r>
      <w:r>
        <w:rPr>
          <w:rFonts w:hint="default"/>
        </w:rPr>
        <w:t>工作方案（2021—2025年）》落实，2022年底前完成本行政区域河流清单中全部河流的</w:t>
      </w:r>
      <w:r>
        <w:rPr>
          <w:rFonts w:hint="eastAsia"/>
          <w:lang w:eastAsia="zh-CN"/>
        </w:rPr>
        <w:t>“</w:t>
      </w:r>
      <w:r>
        <w:rPr>
          <w:rFonts w:hint="default"/>
        </w:rPr>
        <w:t>南阳实践</w:t>
      </w:r>
      <w:r>
        <w:rPr>
          <w:rFonts w:hint="eastAsia"/>
          <w:lang w:eastAsia="zh-CN"/>
        </w:rPr>
        <w:t>”</w:t>
      </w:r>
      <w:r>
        <w:rPr>
          <w:rFonts w:hint="default"/>
        </w:rPr>
        <w:t>实施。</w:t>
      </w:r>
    </w:p>
    <w:p>
      <w:pPr>
        <w:pStyle w:val="27"/>
        <w:widowControl w:val="0"/>
        <w:wordWrap/>
        <w:adjustRightInd/>
        <w:snapToGrid/>
        <w:textAlignment w:val="auto"/>
        <w:outlineLvl w:val="9"/>
        <w:rPr>
          <w:rFonts w:hint="default"/>
        </w:rPr>
      </w:pPr>
      <w:r>
        <w:rPr>
          <w:rFonts w:hint="default"/>
        </w:rPr>
        <w:t>建立健全跨省流域上下游突发水污染事件联防联控机制</w:t>
      </w:r>
      <w:r>
        <w:rPr>
          <w:rFonts w:hint="eastAsia"/>
          <w:lang w:eastAsia="zh-CN"/>
        </w:rPr>
        <w:t>，</w:t>
      </w:r>
      <w:r>
        <w:rPr>
          <w:rFonts w:hint="default"/>
        </w:rPr>
        <w:t>有效预防和应对跨省流域突发水污染事件</w:t>
      </w:r>
      <w:r>
        <w:rPr>
          <w:rFonts w:hint="eastAsia"/>
          <w:lang w:eastAsia="zh-CN"/>
        </w:rPr>
        <w:t>。</w:t>
      </w:r>
      <w:r>
        <w:rPr>
          <w:rFonts w:hint="default"/>
        </w:rPr>
        <w:t>持续推进与江西赣州、湖南郴州两市生态环境保护联防联控细化协议签订工作，适时开展联合会商，分析研判生态环境风险，及时发布预警信息</w:t>
      </w:r>
      <w:r>
        <w:rPr>
          <w:rFonts w:hint="eastAsia"/>
          <w:lang w:eastAsia="zh-CN"/>
        </w:rPr>
        <w:t>；</w:t>
      </w:r>
      <w:r>
        <w:rPr>
          <w:rFonts w:hint="default"/>
        </w:rPr>
        <w:t>通过联合开展桌面推演、实战演练、事件处置等检验机制实效并及时完善。</w:t>
      </w:r>
    </w:p>
    <w:p>
      <w:pPr>
        <w:pStyle w:val="5"/>
        <w:spacing w:before="0" w:after="0"/>
        <w:ind w:firstLine="640" w:firstLineChars="200"/>
        <w:rPr>
          <w:rFonts w:hint="default" w:ascii="黑体" w:hAnsi="黑体" w:eastAsia="黑体" w:cs="黑体"/>
          <w:b w:val="0"/>
          <w:bCs w:val="0"/>
          <w:color w:val="auto"/>
          <w:lang w:val="en-US" w:eastAsia="zh-CN"/>
        </w:rPr>
      </w:pPr>
      <w:bookmarkStart w:id="2240" w:name="_Toc5419"/>
      <w:bookmarkStart w:id="2241" w:name="_Toc11686"/>
      <w:bookmarkStart w:id="2242" w:name="_Toc9800"/>
      <w:bookmarkStart w:id="2243" w:name="_Toc2172"/>
      <w:bookmarkStart w:id="2244" w:name="_Toc6685"/>
      <w:bookmarkStart w:id="2245" w:name="_Toc29708"/>
      <w:bookmarkStart w:id="2246" w:name="_Toc17803"/>
      <w:bookmarkStart w:id="2247" w:name="_Toc31763"/>
      <w:bookmarkStart w:id="2248" w:name="_Toc14377"/>
      <w:bookmarkStart w:id="2249" w:name="_Toc16177"/>
      <w:bookmarkStart w:id="2250" w:name="_Toc15727"/>
      <w:bookmarkStart w:id="2251" w:name="_Toc13628"/>
      <w:bookmarkStart w:id="2252" w:name="_Toc24866"/>
      <w:bookmarkStart w:id="2253" w:name="_Toc32326"/>
      <w:bookmarkStart w:id="2254" w:name="_Toc8654"/>
      <w:r>
        <w:rPr>
          <w:rFonts w:hint="default" w:ascii="黑体" w:hAnsi="黑体" w:eastAsia="黑体" w:cs="黑体"/>
          <w:b w:val="0"/>
          <w:bCs w:val="0"/>
          <w:color w:val="auto"/>
          <w:lang w:val="en-US" w:eastAsia="zh-CN"/>
        </w:rPr>
        <w:t>二、加强环境应急能力建设</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pPr>
        <w:pStyle w:val="27"/>
        <w:rPr>
          <w:rFonts w:hint="default"/>
        </w:rPr>
      </w:pPr>
      <w:r>
        <w:rPr>
          <w:rFonts w:hint="default"/>
        </w:rPr>
        <w:t>以化工企业及化工园区、全市危险化学品运输道路为重点，强化环境风险评估</w:t>
      </w:r>
      <w:r>
        <w:rPr>
          <w:rFonts w:hint="eastAsia"/>
          <w:lang w:eastAsia="zh-CN"/>
        </w:rPr>
        <w:t>，</w:t>
      </w:r>
      <w:r>
        <w:rPr>
          <w:rFonts w:hint="default"/>
        </w:rPr>
        <w:t>完善环境风险防范措施。建立尾矿库分级分类环境管理制度，加强尾矿库环境风险隐患排查治理。推动全市环境应急物资储备库建设，探索开展应急能力标准化建设、应急演练评估等研究，强化应急处置与监测等技术集成示范。</w:t>
      </w:r>
    </w:p>
    <w:p>
      <w:pPr>
        <w:pStyle w:val="27"/>
        <w:widowControl w:val="0"/>
        <w:wordWrap/>
        <w:adjustRightInd/>
        <w:snapToGrid/>
        <w:ind w:firstLine="640" w:firstLineChars="200"/>
        <w:textAlignment w:val="auto"/>
        <w:outlineLvl w:val="9"/>
        <w:rPr>
          <w:rFonts w:hint="default"/>
        </w:rPr>
      </w:pPr>
      <w:r>
        <w:rPr>
          <w:rFonts w:hint="default"/>
        </w:rPr>
        <w:t>推进各级环境应急管理队伍、应急救援队伍、应急专家库建设</w:t>
      </w:r>
      <w:r>
        <w:rPr>
          <w:rFonts w:hint="eastAsia"/>
          <w:lang w:eastAsia="zh-CN"/>
        </w:rPr>
        <w:t>。</w:t>
      </w:r>
      <w:r>
        <w:rPr>
          <w:rFonts w:hint="default"/>
        </w:rPr>
        <w:t>加强应急专家管理，完善市级应急专家库和专家组，开展环境应急技术和工程措施研究，</w:t>
      </w:r>
      <w:r>
        <w:rPr>
          <w:rFonts w:hint="eastAsia"/>
          <w:lang w:val="en-US" w:eastAsia="zh-CN"/>
        </w:rPr>
        <w:t>提升</w:t>
      </w:r>
      <w:r>
        <w:rPr>
          <w:rFonts w:hint="default"/>
        </w:rPr>
        <w:t>环境应急处置技术支撑能力。建立应急处置资源清单，推进无人机（船）、走航车等先进设备或技术在环境应急事件的使用，提升环境应急工作效能。</w:t>
      </w:r>
    </w:p>
    <w:p>
      <w:pPr>
        <w:pStyle w:val="27"/>
        <w:widowControl w:val="0"/>
        <w:wordWrap/>
        <w:adjustRightInd/>
        <w:snapToGrid/>
        <w:textAlignment w:val="auto"/>
        <w:outlineLvl w:val="9"/>
        <w:rPr>
          <w:rFonts w:hint="default"/>
        </w:rPr>
      </w:pPr>
      <w:r>
        <w:rPr>
          <w:rFonts w:hint="default"/>
        </w:rPr>
        <w:t>鼓励和支持建设社会化环境应急救援队伍。探索建立多渠道环境应急物资保障体系，加强与应急管理、物资储备等部门以及专业应急救援单位企业的合作，实现共建共享应急物资。持续加强县（市、区）环境应急监测能力建设，强化应急监测统筹协调；以翁源华彩工业园区与乳源氯碱化工园区为试点，建设应急救援队伍和应急物资储备库，加强第三方应急救援队伍和物资保障工作的指导和管理。</w:t>
      </w:r>
    </w:p>
    <w:p>
      <w:pPr>
        <w:pStyle w:val="27"/>
        <w:widowControl w:val="0"/>
        <w:wordWrap/>
        <w:adjustRightInd/>
        <w:snapToGrid/>
        <w:textAlignment w:val="auto"/>
        <w:outlineLvl w:val="9"/>
        <w:rPr>
          <w:rFonts w:hint="default"/>
        </w:rPr>
      </w:pPr>
      <w:r>
        <w:rPr>
          <w:rFonts w:hint="default"/>
          <w:lang w:val="zh-TW"/>
        </w:rPr>
        <w:t>持续推进化工园区有毒有害气体环境风险预警体系建设。</w:t>
      </w:r>
      <w:r>
        <w:rPr>
          <w:rFonts w:hint="default"/>
        </w:rPr>
        <w:t>2025年前完成韶关市南雄产业转移工业园化工园区、乳源氯碱化工园区有毒有害气体预警体系建设</w:t>
      </w:r>
      <w:r>
        <w:rPr>
          <w:rFonts w:hint="eastAsia"/>
          <w:lang w:eastAsia="zh-CN"/>
        </w:rPr>
        <w:t>，</w:t>
      </w:r>
      <w:r>
        <w:rPr>
          <w:rFonts w:hint="default"/>
          <w:lang w:val="zh-TW"/>
        </w:rPr>
        <w:t>鼓励其它重大风险化工园区积极申报开展</w:t>
      </w:r>
      <w:r>
        <w:rPr>
          <w:rFonts w:hint="default"/>
        </w:rPr>
        <w:t>预警体系建设。</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2255" w:name="_Toc27752"/>
      <w:bookmarkStart w:id="2256" w:name="_Toc20073"/>
      <w:bookmarkStart w:id="2257" w:name="_Toc22512"/>
      <w:bookmarkStart w:id="2258" w:name="_Toc6388"/>
      <w:bookmarkStart w:id="2259" w:name="_Toc5722"/>
      <w:bookmarkStart w:id="2260" w:name="_Toc26363"/>
      <w:bookmarkStart w:id="2261" w:name="_Toc1587"/>
      <w:bookmarkStart w:id="2262" w:name="_Toc6792"/>
      <w:bookmarkStart w:id="2263" w:name="_Toc21729"/>
      <w:bookmarkStart w:id="2264" w:name="_Toc17143"/>
      <w:bookmarkStart w:id="2265" w:name="_Toc14069"/>
      <w:bookmarkStart w:id="2266" w:name="_Toc14071"/>
      <w:bookmarkStart w:id="2267" w:name="_Toc25904"/>
      <w:bookmarkStart w:id="2268" w:name="_Toc20403"/>
      <w:bookmarkStart w:id="2269" w:name="_Toc4838"/>
      <w:bookmarkStart w:id="2270" w:name="_Toc8514"/>
      <w:bookmarkStart w:id="2271" w:name="_Toc27644"/>
      <w:bookmarkStart w:id="2272" w:name="_Toc27902"/>
      <w:bookmarkStart w:id="2273" w:name="_Toc6438"/>
      <w:bookmarkStart w:id="2274" w:name="_Toc27899"/>
      <w:bookmarkStart w:id="2275" w:name="_Toc15469"/>
      <w:bookmarkStart w:id="2276" w:name="_Toc17121"/>
      <w:bookmarkStart w:id="2277" w:name="_Toc23075"/>
      <w:bookmarkStart w:id="2278" w:name="_Toc4615"/>
      <w:bookmarkStart w:id="2279" w:name="_Toc61001278"/>
      <w:r>
        <w:rPr>
          <w:rFonts w:hint="default" w:ascii="黑体" w:hAnsi="黑体" w:eastAsia="黑体" w:cs="黑体"/>
          <w:b w:val="0"/>
          <w:bCs w:val="0"/>
          <w:color w:val="auto"/>
          <w:kern w:val="2"/>
          <w:sz w:val="32"/>
        </w:rPr>
        <w:t>第</w:t>
      </w:r>
      <w:r>
        <w:rPr>
          <w:rFonts w:hint="default" w:ascii="黑体" w:hAnsi="黑体" w:eastAsia="黑体" w:cs="黑体"/>
          <w:b w:val="0"/>
          <w:bCs w:val="0"/>
          <w:color w:val="auto"/>
          <w:kern w:val="2"/>
          <w:sz w:val="32"/>
          <w:lang w:eastAsia="zh-CN"/>
        </w:rPr>
        <w:t>五</w:t>
      </w:r>
      <w:r>
        <w:rPr>
          <w:rFonts w:hint="default" w:ascii="黑体" w:hAnsi="黑体" w:eastAsia="黑体" w:cs="黑体"/>
          <w:b w:val="0"/>
          <w:bCs w:val="0"/>
          <w:color w:val="auto"/>
          <w:kern w:val="2"/>
          <w:sz w:val="32"/>
        </w:rPr>
        <w:t>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构建创新引领的科技支撑体</w:t>
      </w:r>
      <w:bookmarkEnd w:id="2255"/>
      <w:r>
        <w:rPr>
          <w:rFonts w:hint="default" w:ascii="黑体" w:hAnsi="黑体" w:eastAsia="黑体" w:cs="黑体"/>
          <w:b w:val="0"/>
          <w:bCs w:val="0"/>
          <w:color w:val="auto"/>
          <w:kern w:val="2"/>
          <w:sz w:val="32"/>
        </w:rPr>
        <w:t>系</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pPr>
        <w:pStyle w:val="27"/>
        <w:widowControl w:val="0"/>
        <w:wordWrap/>
        <w:adjustRightInd/>
        <w:snapToGrid/>
        <w:textAlignment w:val="auto"/>
        <w:outlineLvl w:val="9"/>
        <w:rPr>
          <w:rFonts w:hint="default"/>
        </w:rPr>
      </w:pPr>
      <w:r>
        <w:rPr>
          <w:rFonts w:hint="default"/>
        </w:rPr>
        <w:t>强化生态环境科技创新支撑。聚焦气候变化、大气、水、核与辐射、监测等领域重点环境问题深入开展科技集成与示范，加强与高校和科研院所合作对接</w:t>
      </w:r>
      <w:r>
        <w:rPr>
          <w:rFonts w:hint="eastAsia"/>
          <w:lang w:eastAsia="zh-CN"/>
        </w:rPr>
        <w:t>，</w:t>
      </w:r>
      <w:r>
        <w:rPr>
          <w:rFonts w:hint="default"/>
        </w:rPr>
        <w:t>强化生态环境保护与修复技术供给，加强先进适用技术成果转化推广和产业化。实施高水平生态环保科技人才引进计划，强化科技资源开放共享和利用。</w:t>
      </w:r>
    </w:p>
    <w:p>
      <w:pPr>
        <w:ind w:firstLine="640" w:firstLineChars="200"/>
        <w:rPr>
          <w:rFonts w:hint="default" w:ascii="Times New Roman" w:hAnsi="Times New Roman" w:eastAsia="仿宋_GB2312" w:cs="Times New Roman"/>
          <w:color w:val="auto"/>
          <w:sz w:val="32"/>
          <w:szCs w:val="32"/>
        </w:rPr>
      </w:pPr>
    </w:p>
    <w:p>
      <w:pPr>
        <w:keepNext/>
        <w:keepLines/>
        <w:spacing w:beforeLines="50" w:afterLines="50"/>
        <w:jc w:val="center"/>
        <w:outlineLvl w:val="0"/>
        <w:rPr>
          <w:rFonts w:hint="default" w:ascii="Times New Roman" w:hAnsi="Times New Roman" w:eastAsia="黑体" w:cs="Times New Roman"/>
          <w:color w:val="auto"/>
          <w:kern w:val="44"/>
          <w:sz w:val="36"/>
          <w:szCs w:val="36"/>
        </w:rPr>
        <w:sectPr>
          <w:pgSz w:w="11906" w:h="16838"/>
          <w:pgMar w:top="2098" w:right="1474" w:bottom="1984" w:left="1587" w:header="851" w:footer="851" w:gutter="0"/>
          <w:pgNumType w:fmt="numberInDash"/>
          <w:cols w:space="720" w:num="1"/>
          <w:docGrid w:type="linesAndChars" w:linePitch="312" w:charSpace="0"/>
        </w:sectPr>
      </w:pPr>
    </w:p>
    <w:p>
      <w:pPr>
        <w:pStyle w:val="3"/>
        <w:rPr>
          <w:rFonts w:hint="eastAsia" w:ascii="方正小标宋简体" w:hAnsi="方正小标宋简体" w:eastAsia="方正小标宋简体" w:cs="方正小标宋简体"/>
          <w:color w:val="auto"/>
          <w:kern w:val="44"/>
          <w:sz w:val="36"/>
          <w:szCs w:val="36"/>
        </w:rPr>
      </w:pPr>
      <w:bookmarkStart w:id="2280" w:name="_Toc20534"/>
      <w:bookmarkStart w:id="2281" w:name="_Toc811"/>
      <w:bookmarkStart w:id="2282" w:name="_Toc28992"/>
      <w:bookmarkStart w:id="2283" w:name="_Toc6158"/>
      <w:bookmarkStart w:id="2284" w:name="_Toc30005"/>
      <w:bookmarkStart w:id="2285" w:name="_Toc345"/>
      <w:bookmarkStart w:id="2286" w:name="_Toc15828"/>
      <w:bookmarkStart w:id="2287" w:name="_Toc23103"/>
      <w:bookmarkStart w:id="2288" w:name="_Toc14313"/>
      <w:bookmarkStart w:id="2289" w:name="_Toc18591"/>
      <w:bookmarkStart w:id="2290" w:name="_Toc29709"/>
      <w:bookmarkStart w:id="2291" w:name="_Toc27125"/>
      <w:bookmarkStart w:id="2292" w:name="_Toc17392"/>
      <w:bookmarkStart w:id="2293" w:name="_Toc23760"/>
      <w:bookmarkStart w:id="2294" w:name="_Toc24019"/>
      <w:bookmarkStart w:id="2295" w:name="_Toc21149"/>
      <w:bookmarkStart w:id="2296" w:name="_Toc20048"/>
      <w:bookmarkStart w:id="2297" w:name="_Toc1338"/>
      <w:bookmarkStart w:id="2298" w:name="_Toc19245"/>
      <w:bookmarkStart w:id="2299" w:name="_Toc28315"/>
      <w:bookmarkStart w:id="2300" w:name="_Toc15593"/>
      <w:bookmarkStart w:id="2301" w:name="_Toc24380"/>
      <w:bookmarkStart w:id="2302" w:name="_Toc17200"/>
      <w:bookmarkStart w:id="2303" w:name="_Toc4601"/>
      <w:r>
        <w:rPr>
          <w:rFonts w:hint="eastAsia" w:ascii="方正小标宋简体" w:hAnsi="方正小标宋简体" w:eastAsia="方正小标宋简体" w:cs="方正小标宋简体"/>
          <w:color w:val="auto"/>
          <w:sz w:val="36"/>
          <w:szCs w:val="44"/>
        </w:rPr>
        <w:t>第十三章</w:t>
      </w:r>
      <w:r>
        <w:rPr>
          <w:rStyle w:val="36"/>
          <w:rFonts w:hint="eastAsia" w:ascii="方正小标宋简体" w:hAnsi="方正小标宋简体" w:eastAsia="方正小标宋简体" w:cs="方正小标宋简体"/>
          <w:bCs w:val="0"/>
          <w:color w:val="auto"/>
          <w:sz w:val="36"/>
          <w:szCs w:val="44"/>
          <w:lang w:eastAsia="zh-CN"/>
        </w:rPr>
        <w:t>　</w:t>
      </w:r>
      <w:r>
        <w:rPr>
          <w:rFonts w:hint="eastAsia" w:ascii="方正小标宋简体" w:hAnsi="方正小标宋简体" w:eastAsia="方正小标宋简体" w:cs="方正小标宋简体"/>
          <w:color w:val="auto"/>
          <w:sz w:val="36"/>
          <w:szCs w:val="44"/>
        </w:rPr>
        <w:t>开展全民行动，积极践行绿色生活方</w:t>
      </w:r>
      <w:bookmarkEnd w:id="2280"/>
      <w:r>
        <w:rPr>
          <w:rFonts w:hint="eastAsia" w:ascii="方正小标宋简体" w:hAnsi="方正小标宋简体" w:eastAsia="方正小标宋简体" w:cs="方正小标宋简体"/>
          <w:color w:val="auto"/>
          <w:sz w:val="36"/>
          <w:szCs w:val="44"/>
        </w:rPr>
        <w:t>式</w:t>
      </w:r>
      <w:bookmarkEnd w:id="2279"/>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pPr>
        <w:pStyle w:val="27"/>
        <w:rPr>
          <w:rFonts w:hint="default" w:ascii="Times New Roman" w:hAnsi="Times New Roman" w:cs="Times New Roman"/>
          <w:color w:val="auto"/>
        </w:rPr>
      </w:pPr>
    </w:p>
    <w:p>
      <w:pPr>
        <w:pStyle w:val="27"/>
        <w:rPr>
          <w:rFonts w:hint="default"/>
        </w:rPr>
      </w:pPr>
      <w:r>
        <w:rPr>
          <w:rFonts w:hint="default"/>
        </w:rPr>
        <w:t>加强生态文明宣传教育，增强生态环保意识，倡导绿色低碳生活方式，加快构建全民行动体系，广泛动员全社会参与生态文明建设，推动形成人人关心、支持、参与生态环境保护的社会氛围。</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2304" w:name="_Toc4287"/>
      <w:bookmarkStart w:id="2305" w:name="_Toc32618"/>
      <w:bookmarkStart w:id="2306" w:name="_Toc15733"/>
      <w:bookmarkStart w:id="2307" w:name="_Toc9885"/>
      <w:bookmarkStart w:id="2308" w:name="_Toc20292"/>
      <w:bookmarkStart w:id="2309" w:name="_Toc15355"/>
      <w:bookmarkStart w:id="2310" w:name="_Toc9438"/>
      <w:bookmarkStart w:id="2311" w:name="_Toc11036"/>
      <w:bookmarkStart w:id="2312" w:name="_Toc32733"/>
      <w:bookmarkStart w:id="2313" w:name="_Toc21577"/>
      <w:bookmarkStart w:id="2314" w:name="_Toc8710"/>
      <w:bookmarkStart w:id="2315" w:name="_Toc27807"/>
      <w:bookmarkStart w:id="2316" w:name="_Toc2679"/>
      <w:bookmarkStart w:id="2317" w:name="_Toc27815"/>
      <w:bookmarkStart w:id="2318" w:name="_Toc6517"/>
      <w:bookmarkStart w:id="2319" w:name="_Toc24793"/>
      <w:bookmarkStart w:id="2320" w:name="_Toc11676"/>
      <w:bookmarkStart w:id="2321" w:name="_Toc8177"/>
      <w:bookmarkStart w:id="2322" w:name="_Toc29981"/>
      <w:bookmarkStart w:id="2323" w:name="_Toc12466"/>
      <w:bookmarkStart w:id="2324" w:name="_Toc61001279"/>
      <w:bookmarkStart w:id="2325" w:name="_Toc24311"/>
      <w:bookmarkStart w:id="2326" w:name="_Toc31275"/>
      <w:bookmarkStart w:id="2327" w:name="_Toc19468"/>
      <w:bookmarkStart w:id="2328" w:name="_Toc24433"/>
      <w:r>
        <w:rPr>
          <w:rFonts w:hint="default" w:ascii="黑体" w:hAnsi="黑体" w:eastAsia="黑体" w:cs="黑体"/>
          <w:b w:val="0"/>
          <w:bCs w:val="0"/>
          <w:color w:val="auto"/>
          <w:kern w:val="2"/>
          <w:sz w:val="32"/>
        </w:rPr>
        <w:t>第一节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增强全</w:t>
      </w:r>
      <w:r>
        <w:rPr>
          <w:rFonts w:hint="eastAsia" w:ascii="黑体" w:hAnsi="黑体" w:eastAsia="黑体" w:cs="黑体"/>
          <w:b w:val="0"/>
          <w:bCs w:val="0"/>
          <w:color w:val="auto"/>
          <w:kern w:val="2"/>
          <w:sz w:val="32"/>
          <w:lang w:eastAsia="zh-CN"/>
        </w:rPr>
        <w:t>民</w:t>
      </w:r>
      <w:r>
        <w:rPr>
          <w:rFonts w:hint="default" w:ascii="黑体" w:hAnsi="黑体" w:eastAsia="黑体" w:cs="黑体"/>
          <w:b w:val="0"/>
          <w:bCs w:val="0"/>
          <w:color w:val="auto"/>
          <w:kern w:val="2"/>
          <w:sz w:val="32"/>
        </w:rPr>
        <w:t>生态环保意</w:t>
      </w:r>
      <w:bookmarkEnd w:id="2304"/>
      <w:r>
        <w:rPr>
          <w:rFonts w:hint="default" w:ascii="黑体" w:hAnsi="黑体" w:eastAsia="黑体" w:cs="黑体"/>
          <w:b w:val="0"/>
          <w:bCs w:val="0"/>
          <w:color w:val="auto"/>
          <w:kern w:val="2"/>
          <w:sz w:val="32"/>
        </w:rPr>
        <w:t>识</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pPr>
        <w:pStyle w:val="27"/>
        <w:rPr>
          <w:rFonts w:hint="default" w:ascii="Times New Roman" w:hAnsi="Times New Roman" w:eastAsia="仿宋_GB2312" w:cs="Times New Roman"/>
          <w:b w:val="0"/>
          <w:bCs w:val="0"/>
          <w:color w:val="auto"/>
        </w:rPr>
      </w:pPr>
      <w:bookmarkStart w:id="2329" w:name="_Toc3298"/>
      <w:bookmarkStart w:id="2330" w:name="_Toc4793"/>
      <w:bookmarkStart w:id="2331" w:name="_Toc861"/>
      <w:bookmarkStart w:id="2332" w:name="_Toc22704"/>
      <w:bookmarkStart w:id="2333" w:name="_Toc15148"/>
      <w:r>
        <w:rPr>
          <w:rFonts w:hint="default" w:ascii="Times New Roman" w:hAnsi="Times New Roman" w:cs="Times New Roman"/>
          <w:b w:val="0"/>
          <w:bCs w:val="0"/>
          <w:color w:val="auto"/>
          <w:sz w:val="32"/>
        </w:rPr>
        <w:t>创新生态文明宣传教育方式，加强全民生态环境保护知识普及、教育和动员，提高全社会生态环保意识。</w:t>
      </w:r>
    </w:p>
    <w:p>
      <w:pPr>
        <w:pStyle w:val="5"/>
        <w:spacing w:before="0" w:after="0"/>
        <w:ind w:firstLine="640" w:firstLineChars="200"/>
        <w:rPr>
          <w:rFonts w:hint="default" w:ascii="黑体" w:hAnsi="黑体" w:eastAsia="黑体" w:cs="黑体"/>
          <w:b w:val="0"/>
          <w:bCs w:val="0"/>
          <w:color w:val="auto"/>
          <w:lang w:val="en-US" w:eastAsia="zh-CN"/>
        </w:rPr>
      </w:pPr>
      <w:bookmarkStart w:id="2334" w:name="_Toc10842"/>
      <w:bookmarkStart w:id="2335" w:name="_Toc21234"/>
      <w:bookmarkStart w:id="2336" w:name="_Toc23120"/>
      <w:bookmarkStart w:id="2337" w:name="_Toc22807"/>
      <w:bookmarkStart w:id="2338" w:name="_Toc994"/>
      <w:bookmarkStart w:id="2339" w:name="_Toc31728"/>
      <w:bookmarkStart w:id="2340" w:name="_Toc27640"/>
      <w:bookmarkStart w:id="2341" w:name="_Toc16422"/>
      <w:bookmarkStart w:id="2342" w:name="_Toc32552"/>
      <w:bookmarkStart w:id="2343" w:name="_Toc11794"/>
      <w:r>
        <w:rPr>
          <w:rFonts w:hint="default" w:ascii="黑体" w:hAnsi="黑体" w:eastAsia="黑体" w:cs="黑体"/>
          <w:b w:val="0"/>
          <w:bCs w:val="0"/>
          <w:color w:val="auto"/>
          <w:lang w:val="en-US" w:eastAsia="zh-CN"/>
        </w:rPr>
        <w:t>一、加强生态环保宣传教育</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pPr>
        <w:pStyle w:val="27"/>
        <w:widowControl w:val="0"/>
        <w:wordWrap/>
        <w:adjustRightInd/>
        <w:snapToGrid/>
        <w:textAlignment w:val="auto"/>
        <w:outlineLvl w:val="9"/>
        <w:rPr>
          <w:rFonts w:hint="default" w:ascii="Times New Roman" w:hAnsi="Times New Roman" w:cs="Times New Roman"/>
          <w:color w:val="auto"/>
        </w:rPr>
      </w:pPr>
      <w:r>
        <w:rPr>
          <w:rFonts w:hint="default"/>
        </w:rPr>
        <w:t>将学习宣传习近平生态文明思想作为核心任务，多渠道多形式开展宣传，充分调动高等院校、科研院所等力量开展课题研究、理论宣讲。把生态文明纳入国民教育体系和党政领导干部培训体系，推</w:t>
      </w:r>
      <w:r>
        <w:rPr>
          <w:rFonts w:hint="eastAsia"/>
          <w:lang w:eastAsia="zh-CN"/>
        </w:rPr>
        <w:t>动</w:t>
      </w:r>
      <w:r>
        <w:rPr>
          <w:rFonts w:hint="default"/>
        </w:rPr>
        <w:t>市县等各级党政领导干部定期</w:t>
      </w:r>
      <w:r>
        <w:rPr>
          <w:rFonts w:hint="eastAsia"/>
          <w:lang w:eastAsia="zh-CN"/>
        </w:rPr>
        <w:t>参加</w:t>
      </w:r>
      <w:r>
        <w:rPr>
          <w:rFonts w:hint="default"/>
        </w:rPr>
        <w:t>生态文明培训，加强资源环境国情和生态价值观教育，坚持理论学习和现实问题研讨相结合。推进生态文明教育进家庭、进社区、进工厂、进机关、进农村，加大各类人群的知识和技能培训</w:t>
      </w:r>
      <w:r>
        <w:rPr>
          <w:rFonts w:hint="eastAsia"/>
          <w:lang w:eastAsia="zh-CN"/>
        </w:rPr>
        <w:t>力度</w:t>
      </w:r>
      <w:r>
        <w:rPr>
          <w:rFonts w:hint="default"/>
        </w:rPr>
        <w:t>，提升环保法律意识和科学素养。</w:t>
      </w:r>
    </w:p>
    <w:p>
      <w:pPr>
        <w:pStyle w:val="5"/>
        <w:spacing w:before="0" w:after="0"/>
        <w:ind w:firstLine="640" w:firstLineChars="200"/>
        <w:rPr>
          <w:rFonts w:hint="default" w:ascii="黑体" w:hAnsi="黑体" w:eastAsia="黑体" w:cs="黑体"/>
          <w:b w:val="0"/>
          <w:bCs w:val="0"/>
          <w:color w:val="auto"/>
          <w:lang w:val="en-US" w:eastAsia="zh-CN"/>
        </w:rPr>
      </w:pPr>
      <w:bookmarkStart w:id="2344" w:name="_Toc24312"/>
      <w:bookmarkStart w:id="2345" w:name="_Toc25030"/>
      <w:bookmarkStart w:id="2346" w:name="_Toc20903"/>
      <w:bookmarkStart w:id="2347" w:name="_Toc30282"/>
      <w:bookmarkStart w:id="2348" w:name="_Toc9591"/>
      <w:bookmarkStart w:id="2349" w:name="_Toc23045"/>
      <w:bookmarkStart w:id="2350" w:name="_Toc4445"/>
      <w:bookmarkStart w:id="2351" w:name="_Toc12050"/>
      <w:bookmarkStart w:id="2352" w:name="_Toc16637"/>
      <w:bookmarkStart w:id="2353" w:name="_Toc7335"/>
      <w:bookmarkStart w:id="2354" w:name="_Toc28555"/>
      <w:bookmarkStart w:id="2355" w:name="_Toc2135"/>
      <w:bookmarkStart w:id="2356" w:name="_Toc4612"/>
      <w:bookmarkStart w:id="2357" w:name="_Toc16515"/>
      <w:bookmarkStart w:id="2358" w:name="_Toc4559"/>
      <w:r>
        <w:rPr>
          <w:rFonts w:hint="default" w:ascii="黑体" w:hAnsi="黑体" w:eastAsia="黑体" w:cs="黑体"/>
          <w:b w:val="0"/>
          <w:bCs w:val="0"/>
          <w:color w:val="auto"/>
          <w:lang w:val="en-US" w:eastAsia="zh-CN"/>
        </w:rPr>
        <w:t>二</w:t>
      </w:r>
      <w:bookmarkStart w:id="2359" w:name="_Toc29520"/>
      <w:bookmarkStart w:id="2360" w:name="_Toc4365"/>
      <w:bookmarkStart w:id="2361" w:name="_Toc16910"/>
      <w:bookmarkStart w:id="2362" w:name="_Toc28504"/>
      <w:bookmarkStart w:id="2363" w:name="_Toc16076"/>
      <w:bookmarkStart w:id="2364" w:name="_Toc22204"/>
      <w:bookmarkEnd w:id="2344"/>
      <w:bookmarkEnd w:id="2345"/>
      <w:bookmarkEnd w:id="2346"/>
      <w:bookmarkEnd w:id="2347"/>
      <w:bookmarkEnd w:id="2348"/>
      <w:bookmarkEnd w:id="2349"/>
      <w:r>
        <w:rPr>
          <w:rFonts w:hint="default" w:ascii="黑体" w:hAnsi="黑体" w:eastAsia="黑体" w:cs="黑体"/>
          <w:b w:val="0"/>
          <w:bCs w:val="0"/>
          <w:color w:val="auto"/>
          <w:lang w:val="en-US" w:eastAsia="zh-CN"/>
        </w:rPr>
        <w:t>、深化环境教育基地建设</w:t>
      </w:r>
      <w:bookmarkEnd w:id="2350"/>
      <w:bookmarkEnd w:id="2351"/>
      <w:bookmarkEnd w:id="2352"/>
      <w:bookmarkEnd w:id="2353"/>
      <w:bookmarkEnd w:id="2354"/>
      <w:bookmarkEnd w:id="2355"/>
      <w:bookmarkEnd w:id="2356"/>
      <w:bookmarkEnd w:id="2357"/>
    </w:p>
    <w:p>
      <w:pPr>
        <w:pStyle w:val="27"/>
        <w:widowControl w:val="0"/>
        <w:wordWrap/>
        <w:adjustRightInd/>
        <w:snapToGrid/>
        <w:textAlignment w:val="auto"/>
        <w:outlineLvl w:val="9"/>
        <w:rPr>
          <w:rFonts w:hint="default" w:ascii="Times New Roman" w:hAnsi="Times New Roman" w:eastAsia="仿宋_GB2312" w:cs="Times New Roman"/>
          <w:bCs w:val="0"/>
          <w:color w:val="auto"/>
        </w:rPr>
      </w:pPr>
      <w:r>
        <w:rPr>
          <w:rFonts w:hint="default"/>
        </w:rPr>
        <w:t>推进车八岭国家</w:t>
      </w:r>
      <w:r>
        <w:rPr>
          <w:rFonts w:hint="eastAsia"/>
          <w:lang w:eastAsia="zh-CN"/>
        </w:rPr>
        <w:t>级</w:t>
      </w:r>
      <w:r>
        <w:rPr>
          <w:rFonts w:hint="default"/>
        </w:rPr>
        <w:t>自然保护区、丹霞山国家级自然保护区、曲江罗坑鳄蜥</w:t>
      </w:r>
      <w:r>
        <w:rPr>
          <w:rFonts w:hint="eastAsia"/>
          <w:lang w:eastAsia="zh-CN"/>
        </w:rPr>
        <w:t>国家</w:t>
      </w:r>
      <w:r>
        <w:rPr>
          <w:rFonts w:hint="default"/>
        </w:rPr>
        <w:t>级自然保护区、广东天井山国家森林公园等现有省</w:t>
      </w:r>
      <w:r>
        <w:rPr>
          <w:rFonts w:hint="eastAsia"/>
          <w:lang w:eastAsia="zh-CN"/>
        </w:rPr>
        <w:t>级</w:t>
      </w:r>
      <w:r>
        <w:rPr>
          <w:rFonts w:hint="default"/>
        </w:rPr>
        <w:t>环境教育基地建设，推进教育活动常态化、制度化，结合重大生态环境节日开展有特色的宣传教育活动，在环境信息咨询、教育培训、科普宣传、生态展览等方面发挥生态文明宣传教育和社会服务功能，健全环境教育基地规范化、标准化管理机制，探索开发生态环境教育研学线路。</w:t>
      </w:r>
    </w:p>
    <w:p>
      <w:pPr>
        <w:pStyle w:val="5"/>
        <w:spacing w:before="0" w:after="0"/>
        <w:ind w:firstLine="640" w:firstLineChars="200"/>
        <w:rPr>
          <w:rFonts w:hint="default" w:ascii="黑体" w:hAnsi="黑体" w:eastAsia="黑体" w:cs="黑体"/>
          <w:b w:val="0"/>
          <w:bCs w:val="0"/>
          <w:color w:val="auto"/>
          <w:lang w:val="en-US" w:eastAsia="zh-CN"/>
        </w:rPr>
      </w:pPr>
      <w:bookmarkStart w:id="2365" w:name="_Toc13825"/>
      <w:bookmarkStart w:id="2366" w:name="_Toc8921"/>
      <w:bookmarkStart w:id="2367" w:name="_Toc5763"/>
      <w:bookmarkStart w:id="2368" w:name="_Toc19207"/>
      <w:bookmarkStart w:id="2369" w:name="_Toc15655"/>
      <w:bookmarkStart w:id="2370" w:name="_Toc23495"/>
      <w:bookmarkStart w:id="2371" w:name="_Toc7049"/>
      <w:bookmarkStart w:id="2372" w:name="_Toc3631"/>
      <w:r>
        <w:rPr>
          <w:rFonts w:hint="eastAsia" w:ascii="黑体" w:hAnsi="黑体" w:eastAsia="黑体" w:cs="黑体"/>
          <w:b w:val="0"/>
          <w:bCs w:val="0"/>
          <w:color w:val="auto"/>
          <w:lang w:val="en-US" w:eastAsia="zh-CN"/>
        </w:rPr>
        <w:t>三、</w:t>
      </w:r>
      <w:r>
        <w:rPr>
          <w:rFonts w:hint="default" w:ascii="黑体" w:hAnsi="黑体" w:eastAsia="黑体" w:cs="黑体"/>
          <w:b w:val="0"/>
          <w:bCs w:val="0"/>
          <w:color w:val="auto"/>
          <w:lang w:val="en-US" w:eastAsia="zh-CN"/>
        </w:rPr>
        <w:t>强化生态环境保护动员</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pPr>
        <w:pStyle w:val="27"/>
        <w:widowControl w:val="0"/>
        <w:wordWrap/>
        <w:adjustRightInd/>
        <w:snapToGrid/>
        <w:textAlignment w:val="auto"/>
        <w:outlineLvl w:val="9"/>
        <w:rPr>
          <w:rFonts w:hint="default"/>
        </w:rPr>
      </w:pPr>
      <w:r>
        <w:rPr>
          <w:rFonts w:hint="default"/>
        </w:rPr>
        <w:t>鼓励开设具有地方特色的环境保护教育课程，组织学生深入社区、乡村和企业，开展生态环境保护实践活动。构建互联网、电视、广播、户外广告等多重覆盖的立体宣传网络，普及推广环境保护知识</w:t>
      </w:r>
      <w:r>
        <w:rPr>
          <w:rFonts w:hint="eastAsia"/>
          <w:lang w:eastAsia="zh-CN"/>
        </w:rPr>
        <w:t>。</w:t>
      </w:r>
      <w:r>
        <w:rPr>
          <w:rFonts w:hint="default"/>
        </w:rPr>
        <w:t>举办全市相关知识讲座、知识竞赛、征文比赛等活动宣</w:t>
      </w:r>
      <w:r>
        <w:rPr>
          <w:rFonts w:hint="eastAsia"/>
          <w:lang w:eastAsia="zh-CN"/>
        </w:rPr>
        <w:t>传</w:t>
      </w:r>
      <w:r>
        <w:rPr>
          <w:rFonts w:hint="default"/>
        </w:rPr>
        <w:t>生态文化理念，提升民众的生态文化素质。利用</w:t>
      </w:r>
      <w:r>
        <w:rPr>
          <w:rFonts w:hint="eastAsia"/>
          <w:lang w:eastAsia="zh-CN"/>
        </w:rPr>
        <w:t>“世界</w:t>
      </w:r>
      <w:r>
        <w:rPr>
          <w:rFonts w:hint="default"/>
        </w:rPr>
        <w:t>环境日</w:t>
      </w:r>
      <w:r>
        <w:rPr>
          <w:rFonts w:hint="eastAsia"/>
          <w:lang w:eastAsia="zh-CN"/>
        </w:rPr>
        <w:t>”“国际生物多样性日”“</w:t>
      </w:r>
      <w:r>
        <w:rPr>
          <w:rFonts w:hint="default"/>
        </w:rPr>
        <w:t>全国低碳日</w:t>
      </w:r>
      <w:r>
        <w:rPr>
          <w:rFonts w:hint="eastAsia"/>
          <w:lang w:eastAsia="zh-CN"/>
        </w:rPr>
        <w:t>”</w:t>
      </w:r>
      <w:r>
        <w:rPr>
          <w:rFonts w:hint="default"/>
        </w:rPr>
        <w:t>等重要</w:t>
      </w:r>
      <w:r>
        <w:rPr>
          <w:rFonts w:hint="eastAsia"/>
          <w:lang w:val="en-US" w:eastAsia="zh-CN"/>
        </w:rPr>
        <w:t>时间节点</w:t>
      </w:r>
      <w:r>
        <w:rPr>
          <w:rFonts w:hint="default"/>
        </w:rPr>
        <w:t>积极开展群众性生态科普活动。</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2373" w:name="_Toc27382"/>
      <w:bookmarkStart w:id="2374" w:name="_Toc30322"/>
      <w:bookmarkStart w:id="2375" w:name="_Toc8206"/>
      <w:bookmarkStart w:id="2376" w:name="_Toc8971"/>
      <w:bookmarkStart w:id="2377" w:name="_Toc25060"/>
      <w:bookmarkStart w:id="2378" w:name="_Toc25917"/>
      <w:bookmarkStart w:id="2379" w:name="_Toc17782"/>
      <w:bookmarkStart w:id="2380" w:name="_Toc9156"/>
      <w:bookmarkStart w:id="2381" w:name="_Toc22207"/>
      <w:bookmarkStart w:id="2382" w:name="_Toc16470"/>
      <w:bookmarkStart w:id="2383" w:name="_Toc19027"/>
      <w:bookmarkStart w:id="2384" w:name="_Toc17499"/>
      <w:bookmarkStart w:id="2385" w:name="_Toc26091"/>
      <w:bookmarkStart w:id="2386" w:name="_Toc8718"/>
      <w:bookmarkStart w:id="2387" w:name="_Toc6161"/>
      <w:bookmarkStart w:id="2388" w:name="_Toc28113"/>
      <w:bookmarkStart w:id="2389" w:name="_Toc10391"/>
      <w:bookmarkStart w:id="2390" w:name="_Toc61001280"/>
      <w:bookmarkStart w:id="2391" w:name="_Toc25454"/>
      <w:bookmarkStart w:id="2392" w:name="_Toc12381"/>
      <w:bookmarkStart w:id="2393" w:name="_Toc17182"/>
      <w:bookmarkStart w:id="2394" w:name="_Toc24196"/>
      <w:bookmarkStart w:id="2395" w:name="_Toc13160"/>
      <w:bookmarkStart w:id="2396" w:name="_Toc5930"/>
      <w:bookmarkStart w:id="2397" w:name="_Toc24123"/>
      <w:r>
        <w:rPr>
          <w:rFonts w:hint="default" w:ascii="黑体" w:hAnsi="黑体" w:eastAsia="黑体" w:cs="黑体"/>
          <w:b w:val="0"/>
          <w:bCs w:val="0"/>
          <w:color w:val="auto"/>
          <w:kern w:val="2"/>
          <w:sz w:val="32"/>
        </w:rPr>
        <w:t>第二节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深入践行绿色低碳生</w:t>
      </w:r>
      <w:bookmarkEnd w:id="2373"/>
      <w:r>
        <w:rPr>
          <w:rFonts w:hint="default" w:ascii="黑体" w:hAnsi="黑体" w:eastAsia="黑体" w:cs="黑体"/>
          <w:b w:val="0"/>
          <w:bCs w:val="0"/>
          <w:color w:val="auto"/>
          <w:kern w:val="2"/>
          <w:sz w:val="32"/>
        </w:rPr>
        <w:t>活</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pPr>
        <w:pStyle w:val="27"/>
        <w:rPr>
          <w:rFonts w:hint="default"/>
        </w:rPr>
      </w:pPr>
      <w:bookmarkStart w:id="2398" w:name="_Toc31086"/>
      <w:bookmarkStart w:id="2399" w:name="_Toc28583"/>
      <w:bookmarkStart w:id="2400" w:name="_Toc29667"/>
      <w:bookmarkStart w:id="2401" w:name="_Toc6398"/>
      <w:bookmarkStart w:id="2402" w:name="_Toc12300"/>
      <w:r>
        <w:rPr>
          <w:rFonts w:hint="default"/>
        </w:rPr>
        <w:t>以绿色生活创建行动为抓手，推广简约适度、绿色低碳的生活理念和生活方式，引领公民践行生态环境责任，形成崇尚绿色生活的社会氛围。</w:t>
      </w:r>
    </w:p>
    <w:p>
      <w:pPr>
        <w:pStyle w:val="5"/>
        <w:spacing w:before="0" w:after="0"/>
        <w:ind w:firstLine="640" w:firstLineChars="200"/>
        <w:rPr>
          <w:rFonts w:hint="default" w:ascii="黑体" w:hAnsi="黑体" w:eastAsia="黑体" w:cs="黑体"/>
          <w:b w:val="0"/>
          <w:bCs w:val="0"/>
          <w:color w:val="auto"/>
          <w:lang w:val="en-US" w:eastAsia="zh-CN"/>
        </w:rPr>
      </w:pPr>
      <w:bookmarkStart w:id="2403" w:name="_Toc21543"/>
      <w:bookmarkStart w:id="2404" w:name="_Toc8402"/>
      <w:bookmarkStart w:id="2405" w:name="_Toc27839"/>
      <w:bookmarkStart w:id="2406" w:name="_Toc21110"/>
      <w:bookmarkStart w:id="2407" w:name="_Toc25911"/>
      <w:bookmarkStart w:id="2408" w:name="_Toc978"/>
      <w:bookmarkStart w:id="2409" w:name="_Toc28881"/>
      <w:bookmarkStart w:id="2410" w:name="_Toc6546"/>
      <w:bookmarkStart w:id="2411" w:name="_Toc10511"/>
      <w:bookmarkStart w:id="2412" w:name="_Toc9712"/>
      <w:r>
        <w:rPr>
          <w:rFonts w:hint="default" w:ascii="黑体" w:hAnsi="黑体" w:eastAsia="黑体" w:cs="黑体"/>
          <w:b w:val="0"/>
          <w:bCs w:val="0"/>
          <w:color w:val="auto"/>
          <w:lang w:val="en-US" w:eastAsia="zh-CN"/>
        </w:rPr>
        <w:t>一、优化完善绿色生活设施</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pPr>
        <w:pStyle w:val="27"/>
        <w:rPr>
          <w:rFonts w:hint="default"/>
        </w:rPr>
      </w:pPr>
      <w:r>
        <w:rPr>
          <w:rFonts w:hint="default"/>
        </w:rPr>
        <w:t>建设绿色步行环境，合理调整绿道建设规划，逐步完善全市绿道网，推进韶关绿道建设；优化提升现有绿道，构筑城乡一体化的区域、城市、社区三个层面的多类型绿道网系统；完善服务设施和慢行系统，</w:t>
      </w:r>
      <w:r>
        <w:rPr>
          <w:rFonts w:hint="eastAsia"/>
          <w:lang w:eastAsia="zh-CN"/>
        </w:rPr>
        <w:t>建设</w:t>
      </w:r>
      <w:r>
        <w:rPr>
          <w:rFonts w:hint="default"/>
        </w:rPr>
        <w:t>结构合理、衔接有序、配套完善的立体型、多功能的城市绿道网络系统，促进市民低碳出行；加快电动汽车充电基础设施建设。</w:t>
      </w:r>
    </w:p>
    <w:p>
      <w:pPr>
        <w:pStyle w:val="5"/>
        <w:spacing w:before="0" w:after="0"/>
        <w:ind w:firstLine="640" w:firstLineChars="200"/>
        <w:rPr>
          <w:rFonts w:hint="default" w:ascii="黑体" w:hAnsi="黑体" w:eastAsia="黑体" w:cs="黑体"/>
          <w:b w:val="0"/>
          <w:bCs w:val="0"/>
          <w:color w:val="auto"/>
          <w:lang w:val="en-US" w:eastAsia="zh-CN"/>
        </w:rPr>
      </w:pPr>
      <w:bookmarkStart w:id="2413" w:name="_Toc12849"/>
      <w:bookmarkStart w:id="2414" w:name="_Toc12197"/>
      <w:bookmarkStart w:id="2415" w:name="_Toc14610"/>
      <w:bookmarkStart w:id="2416" w:name="_Toc23586"/>
      <w:bookmarkStart w:id="2417" w:name="_Toc31063"/>
      <w:bookmarkStart w:id="2418" w:name="_Toc21338"/>
      <w:bookmarkStart w:id="2419" w:name="_Toc11812"/>
      <w:bookmarkStart w:id="2420" w:name="_Toc16394"/>
      <w:bookmarkStart w:id="2421" w:name="_Toc31184"/>
      <w:bookmarkStart w:id="2422" w:name="_Toc4219"/>
      <w:bookmarkStart w:id="2423" w:name="_Toc31836"/>
      <w:bookmarkStart w:id="2424" w:name="_Toc22759"/>
      <w:bookmarkStart w:id="2425" w:name="_Toc4131"/>
      <w:bookmarkStart w:id="2426" w:name="_Toc8648"/>
      <w:bookmarkStart w:id="2427" w:name="_Toc28863"/>
      <w:r>
        <w:rPr>
          <w:rFonts w:hint="default" w:ascii="黑体" w:hAnsi="黑体" w:eastAsia="黑体" w:cs="黑体"/>
          <w:b w:val="0"/>
          <w:bCs w:val="0"/>
          <w:color w:val="auto"/>
          <w:lang w:val="en-US" w:eastAsia="zh-CN"/>
        </w:rPr>
        <w:t>二、深入践行绿色生活方式</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pPr>
        <w:pStyle w:val="27"/>
        <w:rPr>
          <w:rFonts w:hint="default"/>
        </w:rPr>
      </w:pPr>
      <w:r>
        <w:rPr>
          <w:rFonts w:hint="default"/>
        </w:rPr>
        <w:t>加大绿色产品推广应用力度，鼓励引导节能、环保、低碳绿色产品消费。深入推进限塑工作，力争到2025年，全市基本实现不可降解塑料袋零使用</w:t>
      </w:r>
      <w:r>
        <w:rPr>
          <w:rFonts w:hint="eastAsia"/>
          <w:lang w:eastAsia="zh-CN"/>
        </w:rPr>
        <w:t>。</w:t>
      </w:r>
      <w:r>
        <w:rPr>
          <w:rFonts w:hint="default"/>
          <w:lang w:eastAsia="zh-CN"/>
        </w:rPr>
        <w:t>大力发展绿色物流，</w:t>
      </w:r>
      <w:r>
        <w:rPr>
          <w:rFonts w:hint="eastAsia"/>
          <w:lang w:val="en-US" w:eastAsia="zh-CN"/>
        </w:rPr>
        <w:t>力争</w:t>
      </w:r>
      <w:r>
        <w:rPr>
          <w:rFonts w:hint="default"/>
          <w:lang w:eastAsia="zh-CN"/>
        </w:rPr>
        <w:t>到2023年底基本实现同城快递环境友好型包装材料全面应用。</w:t>
      </w:r>
      <w:r>
        <w:rPr>
          <w:rFonts w:hint="default"/>
        </w:rPr>
        <w:t>倡导从节约一度电、一滴水、一张纸做起，养成简约适度的消费习惯。鼓励绿色出行，鼓励公众优先选择步行、骑车或乘坐公共交通工具出行，鼓励拼车或使用共享交通工具，养成低碳环保的出行习惯。支持参与义务植树，禁止露天焚烧垃圾、秸秆，少燃放烟花爆竹，禁止滥食野生动物，</w:t>
      </w:r>
      <w:r>
        <w:rPr>
          <w:rFonts w:hint="eastAsia"/>
          <w:lang w:eastAsia="zh-CN"/>
        </w:rPr>
        <w:t>持续</w:t>
      </w:r>
      <w:r>
        <w:rPr>
          <w:rFonts w:hint="default"/>
        </w:rPr>
        <w:t>开展</w:t>
      </w:r>
      <w:r>
        <w:rPr>
          <w:rFonts w:hint="eastAsia"/>
          <w:lang w:eastAsia="zh-CN"/>
        </w:rPr>
        <w:t>“</w:t>
      </w:r>
      <w:r>
        <w:rPr>
          <w:rFonts w:hint="default"/>
        </w:rPr>
        <w:t>光盘行动</w:t>
      </w:r>
      <w:r>
        <w:rPr>
          <w:rFonts w:hint="eastAsia"/>
          <w:lang w:eastAsia="zh-CN"/>
        </w:rPr>
        <w:t>”</w:t>
      </w:r>
      <w:r>
        <w:rPr>
          <w:rFonts w:hint="default"/>
        </w:rPr>
        <w:t>。</w:t>
      </w:r>
    </w:p>
    <w:p>
      <w:pPr>
        <w:pStyle w:val="5"/>
        <w:spacing w:before="0" w:after="0"/>
        <w:ind w:firstLine="640" w:firstLineChars="200"/>
        <w:rPr>
          <w:rFonts w:hint="default" w:ascii="黑体" w:hAnsi="黑体" w:eastAsia="黑体" w:cs="黑体"/>
          <w:b w:val="0"/>
          <w:bCs w:val="0"/>
          <w:color w:val="auto"/>
          <w:lang w:val="en-US" w:eastAsia="zh-CN"/>
        </w:rPr>
      </w:pPr>
      <w:bookmarkStart w:id="2428" w:name="_Toc16303"/>
      <w:bookmarkStart w:id="2429" w:name="_Toc12164"/>
      <w:bookmarkStart w:id="2430" w:name="_Toc11371"/>
      <w:bookmarkStart w:id="2431" w:name="_Toc22350"/>
      <w:bookmarkStart w:id="2432" w:name="_Toc31273"/>
      <w:bookmarkStart w:id="2433" w:name="_Toc16183"/>
      <w:bookmarkStart w:id="2434" w:name="_Toc14917"/>
      <w:bookmarkStart w:id="2435" w:name="_Toc10631"/>
      <w:bookmarkStart w:id="2436" w:name="_Toc7477"/>
      <w:bookmarkStart w:id="2437" w:name="_Toc31635"/>
      <w:bookmarkStart w:id="2438" w:name="_Toc24740"/>
      <w:bookmarkStart w:id="2439" w:name="_Toc13367"/>
      <w:bookmarkStart w:id="2440" w:name="_Toc1187"/>
      <w:bookmarkStart w:id="2441" w:name="_Toc592"/>
      <w:bookmarkStart w:id="2442" w:name="_Toc18269"/>
      <w:r>
        <w:rPr>
          <w:rFonts w:hint="default" w:ascii="黑体" w:hAnsi="黑体" w:eastAsia="黑体" w:cs="黑体"/>
          <w:b w:val="0"/>
          <w:bCs w:val="0"/>
          <w:color w:val="auto"/>
          <w:lang w:val="en-US" w:eastAsia="zh-CN"/>
        </w:rPr>
        <w:t>三、营造宁静和谐生活环境</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pStyle w:val="27"/>
        <w:widowControl w:val="0"/>
        <w:wordWrap/>
        <w:adjustRightInd/>
        <w:snapToGrid/>
        <w:textAlignment w:val="auto"/>
        <w:outlineLvl w:val="9"/>
        <w:rPr>
          <w:rFonts w:hint="default"/>
        </w:rPr>
      </w:pPr>
      <w:r>
        <w:rPr>
          <w:rFonts w:hint="default"/>
        </w:rPr>
        <w:t>城市建设中合理确定建筑物与交通干线的防噪声距离，并纳入项目准入管理要求。以产城融合区域为重点，强化建筑施工、交通、工业和社会生活噪声控制。严格噪声污染监管执法，在特定区域和时段严格实施禁鸣、限行、限速等措施，推进噪声自动监测系统对建筑施工、居住区进行实时监控。将隔声降噪技术融合到绿色建筑设计领域，推广使用低噪声路面材料。加强社会生活噪声的监管，控制和降低社会活动场所噪声源的产生强度。</w:t>
      </w:r>
    </w:p>
    <w:p>
      <w:pPr>
        <w:pStyle w:val="5"/>
        <w:spacing w:before="0" w:after="0"/>
        <w:ind w:firstLine="640" w:firstLineChars="200"/>
        <w:rPr>
          <w:rFonts w:hint="default" w:ascii="黑体" w:hAnsi="黑体" w:eastAsia="黑体" w:cs="黑体"/>
          <w:b w:val="0"/>
          <w:bCs w:val="0"/>
          <w:color w:val="auto"/>
          <w:lang w:val="en-US" w:eastAsia="zh-CN"/>
        </w:rPr>
      </w:pPr>
      <w:bookmarkStart w:id="2443" w:name="_Toc16862"/>
      <w:bookmarkStart w:id="2444" w:name="_Toc25653"/>
      <w:bookmarkStart w:id="2445" w:name="_Toc15483"/>
      <w:bookmarkStart w:id="2446" w:name="_Toc1056"/>
      <w:bookmarkStart w:id="2447" w:name="_Toc30119"/>
      <w:bookmarkStart w:id="2448" w:name="_Toc2957"/>
      <w:bookmarkStart w:id="2449" w:name="_Toc30685"/>
      <w:bookmarkStart w:id="2450" w:name="_Toc20818"/>
      <w:bookmarkStart w:id="2451" w:name="_Toc28893"/>
      <w:bookmarkStart w:id="2452" w:name="_Toc10618"/>
      <w:bookmarkStart w:id="2453" w:name="_Toc18877"/>
      <w:bookmarkStart w:id="2454" w:name="_Toc10726"/>
      <w:bookmarkStart w:id="2455" w:name="_Toc572"/>
      <w:bookmarkStart w:id="2456" w:name="_Toc16212"/>
      <w:bookmarkStart w:id="2457" w:name="_Toc2335"/>
      <w:r>
        <w:rPr>
          <w:rFonts w:hint="default" w:ascii="黑体" w:hAnsi="黑体" w:eastAsia="黑体" w:cs="黑体"/>
          <w:b w:val="0"/>
          <w:bCs w:val="0"/>
          <w:color w:val="auto"/>
          <w:lang w:val="en-US" w:eastAsia="zh-CN"/>
        </w:rPr>
        <w:t>四、全面开展绿色生活创建</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pPr>
        <w:pStyle w:val="27"/>
        <w:rPr>
          <w:rFonts w:hint="default" w:ascii="Times New Roman" w:hAnsi="Times New Roman" w:cs="Times New Roman"/>
          <w:color w:val="auto"/>
        </w:rPr>
      </w:pPr>
      <w:r>
        <w:rPr>
          <w:rFonts w:hint="default"/>
        </w:rPr>
        <w:t>开展节约型机关、绿色学校、绿色社区、绿色出行、绿色建筑等创建行动，广泛宣传推广简约适度、绿色低碳、文明健康的生活理念和生活方式，</w:t>
      </w:r>
      <w:r>
        <w:rPr>
          <w:rFonts w:hint="eastAsia"/>
          <w:lang w:eastAsia="zh-CN"/>
        </w:rPr>
        <w:t>树立</w:t>
      </w:r>
      <w:r>
        <w:rPr>
          <w:rFonts w:hint="default"/>
        </w:rPr>
        <w:t>一批成效突出、特点鲜明的绿色生活优秀典型。</w:t>
      </w:r>
    </w:p>
    <w:p>
      <w:pPr>
        <w:pStyle w:val="4"/>
        <w:keepNext/>
        <w:keepLines/>
        <w:widowControl w:val="0"/>
        <w:wordWrap/>
        <w:adjustRightInd w:val="0"/>
        <w:snapToGrid w:val="0"/>
        <w:spacing w:beforeLines="50" w:afterLines="50" w:line="560" w:lineRule="exact"/>
        <w:jc w:val="center"/>
        <w:textAlignment w:val="auto"/>
        <w:outlineLvl w:val="1"/>
        <w:rPr>
          <w:rFonts w:hint="default" w:ascii="黑体" w:hAnsi="黑体" w:eastAsia="黑体" w:cs="黑体"/>
          <w:b w:val="0"/>
          <w:bCs w:val="0"/>
          <w:color w:val="auto"/>
          <w:kern w:val="2"/>
          <w:sz w:val="32"/>
        </w:rPr>
      </w:pPr>
      <w:bookmarkStart w:id="2458" w:name="_Toc10695"/>
      <w:bookmarkStart w:id="2459" w:name="_Toc12794"/>
      <w:bookmarkStart w:id="2460" w:name="_Toc31864"/>
      <w:bookmarkStart w:id="2461" w:name="_Toc22018"/>
      <w:bookmarkStart w:id="2462" w:name="_Toc8536"/>
      <w:bookmarkStart w:id="2463" w:name="_Toc21656"/>
      <w:bookmarkStart w:id="2464" w:name="_Toc12765"/>
      <w:bookmarkStart w:id="2465" w:name="_Toc18445"/>
      <w:bookmarkStart w:id="2466" w:name="_Toc19013"/>
      <w:bookmarkStart w:id="2467" w:name="_Toc23436"/>
      <w:bookmarkStart w:id="2468" w:name="_Toc22232"/>
      <w:bookmarkStart w:id="2469" w:name="_Toc24128"/>
      <w:bookmarkStart w:id="2470" w:name="_Toc20472"/>
      <w:bookmarkStart w:id="2471" w:name="_Toc21643"/>
      <w:bookmarkStart w:id="2472" w:name="_Toc23402"/>
      <w:bookmarkStart w:id="2473" w:name="_Toc22186"/>
      <w:bookmarkStart w:id="2474" w:name="_Toc6239"/>
      <w:bookmarkStart w:id="2475" w:name="_Toc2847"/>
      <w:bookmarkStart w:id="2476" w:name="_Toc15935"/>
      <w:bookmarkStart w:id="2477" w:name="_Toc61001281"/>
      <w:bookmarkStart w:id="2478" w:name="_Toc22141"/>
      <w:r>
        <w:rPr>
          <w:rFonts w:hint="default" w:ascii="黑体" w:hAnsi="黑体" w:eastAsia="黑体" w:cs="黑体"/>
          <w:b w:val="0"/>
          <w:bCs w:val="0"/>
          <w:color w:val="auto"/>
          <w:kern w:val="2"/>
          <w:sz w:val="32"/>
        </w:rPr>
        <w:t>第三节</w:t>
      </w:r>
      <w:r>
        <w:rPr>
          <w:rFonts w:hint="eastAsia" w:ascii="黑体" w:hAnsi="黑体" w:eastAsia="黑体" w:cs="黑体"/>
          <w:b w:val="0"/>
          <w:bCs w:val="0"/>
          <w:color w:val="auto"/>
          <w:kern w:val="2"/>
          <w:sz w:val="32"/>
          <w:lang w:eastAsia="zh-CN"/>
        </w:rPr>
        <w:t>　</w:t>
      </w:r>
      <w:r>
        <w:rPr>
          <w:rFonts w:hint="default" w:ascii="黑体" w:hAnsi="黑体" w:eastAsia="黑体" w:cs="黑体"/>
          <w:b w:val="0"/>
          <w:bCs w:val="0"/>
          <w:color w:val="auto"/>
          <w:kern w:val="2"/>
          <w:sz w:val="32"/>
        </w:rPr>
        <w:t>推进生态环保全民行</w:t>
      </w:r>
      <w:bookmarkEnd w:id="2458"/>
      <w:r>
        <w:rPr>
          <w:rFonts w:hint="default" w:ascii="黑体" w:hAnsi="黑体" w:eastAsia="黑体" w:cs="黑体"/>
          <w:b w:val="0"/>
          <w:bCs w:val="0"/>
          <w:color w:val="auto"/>
          <w:kern w:val="2"/>
          <w:sz w:val="32"/>
        </w:rPr>
        <w:t>动</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pPr>
        <w:pStyle w:val="27"/>
        <w:rPr>
          <w:rFonts w:hint="default"/>
        </w:rPr>
      </w:pPr>
      <w:bookmarkStart w:id="2479" w:name="_Toc31844"/>
      <w:bookmarkStart w:id="2480" w:name="_Toc12124"/>
      <w:bookmarkStart w:id="2481" w:name="_Toc16576"/>
      <w:bookmarkStart w:id="2482" w:name="_Toc31100"/>
      <w:bookmarkStart w:id="2483" w:name="_Toc10039"/>
      <w:r>
        <w:rPr>
          <w:rFonts w:hint="default"/>
        </w:rPr>
        <w:t>强化环境信息公开，规范引导公众有效参与监督，增强社会组织、公众等社会主体参与生态环境治理的能力，构建全民行动体系。</w:t>
      </w:r>
    </w:p>
    <w:p>
      <w:pPr>
        <w:pStyle w:val="5"/>
        <w:spacing w:before="0" w:after="0"/>
        <w:ind w:firstLine="640" w:firstLineChars="200"/>
        <w:rPr>
          <w:rFonts w:hint="default" w:ascii="黑体" w:hAnsi="黑体" w:eastAsia="黑体" w:cs="黑体"/>
          <w:b w:val="0"/>
          <w:bCs w:val="0"/>
          <w:color w:val="auto"/>
          <w:lang w:val="en-US" w:eastAsia="zh-CN"/>
        </w:rPr>
      </w:pPr>
      <w:bookmarkStart w:id="2484" w:name="_Toc25429"/>
      <w:bookmarkStart w:id="2485" w:name="_Toc10313"/>
      <w:bookmarkStart w:id="2486" w:name="_Toc14626"/>
      <w:bookmarkStart w:id="2487" w:name="_Toc4385"/>
      <w:bookmarkStart w:id="2488" w:name="_Toc7664"/>
      <w:bookmarkStart w:id="2489" w:name="_Toc1534"/>
      <w:bookmarkStart w:id="2490" w:name="_Toc5690"/>
      <w:bookmarkStart w:id="2491" w:name="_Toc16370"/>
      <w:bookmarkStart w:id="2492" w:name="_Toc25508"/>
      <w:bookmarkStart w:id="2493" w:name="_Toc8855"/>
      <w:r>
        <w:rPr>
          <w:rFonts w:hint="default" w:ascii="黑体" w:hAnsi="黑体" w:eastAsia="黑体" w:cs="黑体"/>
          <w:b w:val="0"/>
          <w:bCs w:val="0"/>
          <w:color w:val="auto"/>
          <w:lang w:val="en-US" w:eastAsia="zh-CN"/>
        </w:rPr>
        <w:t>一、构建全民行动体系</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pPr>
        <w:pStyle w:val="27"/>
        <w:rPr>
          <w:rFonts w:hint="default"/>
        </w:rPr>
      </w:pPr>
      <w:r>
        <w:rPr>
          <w:rFonts w:hint="default"/>
        </w:rPr>
        <w:t>制定并实施政府节能和环境保护产品采购落实情况监督检查办法，推行绿色办公，加大绿色采购力度。县级以上各级党政机关要率先创建节约型机关。排污企业依法依规向社会公开环境信息，履行污染治理主体责任。鼓励通过设立企业开放日、环境教育体验场所、环保课堂等多种方式向公众开放。工会、共青团、妇联等群团组织应积极动员广大职工、青年、妇女参与生态环境保护。加大对环保社会组织的引导、支持和培育力度。发展壮大生态环境领域志愿服务力量，</w:t>
      </w:r>
      <w:r>
        <w:rPr>
          <w:rFonts w:hint="eastAsia"/>
          <w:lang w:val="en-US" w:eastAsia="zh-CN"/>
        </w:rPr>
        <w:t>建立完善</w:t>
      </w:r>
      <w:r>
        <w:rPr>
          <w:rFonts w:hint="default"/>
        </w:rPr>
        <w:t>生态环境志愿服务队伍。</w:t>
      </w:r>
    </w:p>
    <w:p>
      <w:pPr>
        <w:pStyle w:val="5"/>
        <w:spacing w:before="0" w:after="0"/>
        <w:ind w:firstLine="640" w:firstLineChars="200"/>
        <w:rPr>
          <w:rFonts w:hint="default" w:ascii="黑体" w:hAnsi="黑体" w:eastAsia="黑体" w:cs="黑体"/>
          <w:b w:val="0"/>
          <w:bCs w:val="0"/>
          <w:color w:val="auto"/>
          <w:lang w:val="en-US" w:eastAsia="zh-CN"/>
        </w:rPr>
      </w:pPr>
      <w:bookmarkStart w:id="2494" w:name="_Toc19015"/>
      <w:bookmarkStart w:id="2495" w:name="_Toc32041"/>
      <w:bookmarkStart w:id="2496" w:name="_Toc14794"/>
      <w:bookmarkStart w:id="2497" w:name="_Toc24321"/>
      <w:bookmarkStart w:id="2498" w:name="_Toc30570"/>
      <w:bookmarkStart w:id="2499" w:name="_Toc14385"/>
      <w:bookmarkStart w:id="2500" w:name="_Toc17630"/>
      <w:bookmarkStart w:id="2501" w:name="_Toc22481"/>
      <w:bookmarkStart w:id="2502" w:name="_Toc23389"/>
      <w:bookmarkStart w:id="2503" w:name="_Toc6074"/>
      <w:bookmarkStart w:id="2504" w:name="_Toc26679"/>
      <w:bookmarkStart w:id="2505" w:name="_Toc4297"/>
      <w:bookmarkStart w:id="2506" w:name="_Toc1246"/>
      <w:bookmarkStart w:id="2507" w:name="_Toc5377"/>
      <w:bookmarkStart w:id="2508" w:name="_Toc26182"/>
      <w:r>
        <w:rPr>
          <w:rFonts w:hint="default" w:ascii="黑体" w:hAnsi="黑体" w:eastAsia="黑体" w:cs="黑体"/>
          <w:b w:val="0"/>
          <w:bCs w:val="0"/>
          <w:color w:val="auto"/>
          <w:lang w:val="en-US" w:eastAsia="zh-CN"/>
        </w:rPr>
        <w:t>二、强化公众监督与参与</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pPr>
        <w:pStyle w:val="27"/>
        <w:rPr>
          <w:rFonts w:hint="default"/>
        </w:rPr>
      </w:pPr>
      <w:r>
        <w:rPr>
          <w:rFonts w:hint="default"/>
        </w:rPr>
        <w:t>持续完善例行新闻发布制度和新闻发言人制度，加大信息公开力度。畅通环保监督渠道，</w:t>
      </w:r>
      <w:r>
        <w:rPr>
          <w:rFonts w:hint="default"/>
          <w:lang w:val="en-US" w:eastAsia="zh-CN"/>
        </w:rPr>
        <w:t>落实</w:t>
      </w:r>
      <w:r>
        <w:rPr>
          <w:rFonts w:hint="default"/>
        </w:rPr>
        <w:t>民间河（湖）长等环保监督员制度</w:t>
      </w:r>
      <w:r>
        <w:rPr>
          <w:rFonts w:hint="eastAsia"/>
          <w:lang w:eastAsia="zh-CN"/>
        </w:rPr>
        <w:t>；</w:t>
      </w:r>
      <w:r>
        <w:rPr>
          <w:rFonts w:hint="default"/>
        </w:rPr>
        <w:t>健全生态环境违法行为群众举报激励机制</w:t>
      </w:r>
      <w:r>
        <w:rPr>
          <w:rFonts w:hint="default"/>
          <w:lang w:eastAsia="zh-CN"/>
        </w:rPr>
        <w:t>，</w:t>
      </w:r>
      <w:r>
        <w:rPr>
          <w:rFonts w:hint="default"/>
        </w:rPr>
        <w:t>大力推行有奖举报，完善公众监督和举报反馈机制。深入推进环保设施和城</w:t>
      </w:r>
      <w:r>
        <w:rPr>
          <w:rFonts w:hint="eastAsia"/>
          <w:lang w:val="en-US" w:eastAsia="zh-CN"/>
        </w:rPr>
        <w:t>镇</w:t>
      </w:r>
      <w:r>
        <w:rPr>
          <w:rFonts w:hint="default"/>
        </w:rPr>
        <w:t>污水</w:t>
      </w:r>
      <w:r>
        <w:rPr>
          <w:rFonts w:hint="eastAsia"/>
          <w:lang w:eastAsia="zh-CN"/>
        </w:rPr>
        <w:t>、</w:t>
      </w:r>
      <w:r>
        <w:rPr>
          <w:rFonts w:hint="default"/>
        </w:rPr>
        <w:t>垃圾处理设施向公众常态化开放，并拓展至电力、钢铁等重点行业企业，增强公众的科学认识和监督意识。鼓励新闻媒体大力宣传生态环境保护先进典型，设立</w:t>
      </w:r>
      <w:r>
        <w:rPr>
          <w:rFonts w:hint="eastAsia"/>
          <w:lang w:eastAsia="zh-CN"/>
        </w:rPr>
        <w:t>“</w:t>
      </w:r>
      <w:r>
        <w:rPr>
          <w:rFonts w:hint="default"/>
        </w:rPr>
        <w:t>曝光台</w:t>
      </w:r>
      <w:r>
        <w:rPr>
          <w:rFonts w:hint="eastAsia"/>
          <w:lang w:eastAsia="zh-CN"/>
        </w:rPr>
        <w:t>”</w:t>
      </w:r>
      <w:r>
        <w:rPr>
          <w:rFonts w:hint="default"/>
        </w:rPr>
        <w:t>或专栏，对各类破坏生态环境问题、突发环境事件、环境违法行为进行曝光</w:t>
      </w:r>
      <w:r>
        <w:rPr>
          <w:rFonts w:hint="eastAsia"/>
          <w:lang w:eastAsia="zh-CN"/>
        </w:rPr>
        <w:t>，以社会监督、舆论监督促进问题整改</w:t>
      </w:r>
      <w:r>
        <w:rPr>
          <w:rFonts w:hint="default"/>
        </w:rPr>
        <w:t>。</w:t>
      </w:r>
    </w:p>
    <w:p>
      <w:pPr>
        <w:pStyle w:val="28"/>
        <w:ind w:firstLine="643"/>
        <w:rPr>
          <w:rFonts w:hint="default" w:ascii="Times New Roman" w:hAnsi="Times New Roman" w:eastAsia="仿宋_GB2312" w:cs="Times New Roman"/>
          <w:b/>
          <w:bCs/>
          <w:color w:val="auto"/>
          <w:sz w:val="32"/>
        </w:rPr>
      </w:pPr>
    </w:p>
    <w:p>
      <w:pPr>
        <w:pStyle w:val="28"/>
        <w:ind w:firstLine="0" w:firstLineChars="0"/>
        <w:rPr>
          <w:rFonts w:hint="default" w:ascii="Times New Roman" w:hAnsi="Times New Roman" w:eastAsia="楷体_GB2312" w:cs="Times New Roman"/>
          <w:color w:val="auto"/>
          <w:sz w:val="32"/>
          <w:szCs w:val="32"/>
        </w:rPr>
        <w:sectPr>
          <w:pgSz w:w="11906" w:h="16838"/>
          <w:pgMar w:top="2098" w:right="1474" w:bottom="1984" w:left="1587" w:header="851" w:footer="851" w:gutter="0"/>
          <w:pgNumType w:fmt="numberInDash"/>
          <w:cols w:space="720" w:num="1"/>
          <w:docGrid w:type="linesAndChars" w:linePitch="312" w:charSpace="0"/>
        </w:sectPr>
      </w:pPr>
    </w:p>
    <w:bookmarkEnd w:id="36"/>
    <w:bookmarkEnd w:id="37"/>
    <w:bookmarkEnd w:id="38"/>
    <w:bookmarkEnd w:id="39"/>
    <w:p>
      <w:pPr>
        <w:pStyle w:val="3"/>
        <w:keepNext/>
        <w:keepLines/>
        <w:widowControl w:val="0"/>
        <w:tabs>
          <w:tab w:val="left" w:pos="0"/>
        </w:tabs>
        <w:wordWrap/>
        <w:adjustRightInd w:val="0"/>
        <w:snapToGrid w:val="0"/>
        <w:spacing w:after="330" w:line="600" w:lineRule="exact"/>
        <w:ind w:right="0"/>
        <w:jc w:val="center"/>
        <w:textAlignment w:val="auto"/>
        <w:outlineLvl w:val="0"/>
        <w:rPr>
          <w:rFonts w:hint="default" w:ascii="Times New Roman" w:hAnsi="Times New Roman" w:cs="Times New Roman"/>
          <w:color w:val="auto"/>
          <w:sz w:val="36"/>
          <w:szCs w:val="36"/>
        </w:rPr>
      </w:pPr>
      <w:bookmarkStart w:id="2509" w:name="_Toc783"/>
      <w:bookmarkStart w:id="2510" w:name="_Toc7043"/>
      <w:bookmarkStart w:id="2511" w:name="_Toc9103"/>
      <w:bookmarkStart w:id="2512" w:name="_Toc18416"/>
      <w:bookmarkStart w:id="2513" w:name="_Toc19756"/>
      <w:bookmarkStart w:id="2514" w:name="_Toc10823"/>
      <w:bookmarkStart w:id="2515" w:name="_Toc25705"/>
      <w:bookmarkStart w:id="2516" w:name="_Toc1746"/>
      <w:bookmarkStart w:id="2517" w:name="_Toc27314"/>
      <w:bookmarkStart w:id="2518" w:name="_Toc2072"/>
      <w:bookmarkStart w:id="2519" w:name="_Toc10725"/>
      <w:bookmarkStart w:id="2520" w:name="_Toc29017"/>
      <w:bookmarkStart w:id="2521" w:name="_Toc25055"/>
      <w:bookmarkStart w:id="2522" w:name="_Toc19538"/>
      <w:bookmarkStart w:id="2523" w:name="_Toc837"/>
      <w:bookmarkStart w:id="2524" w:name="_Toc19693"/>
      <w:bookmarkStart w:id="2525" w:name="_Toc1104"/>
      <w:bookmarkStart w:id="2526" w:name="_Toc31172"/>
      <w:bookmarkStart w:id="2527" w:name="_Toc19280"/>
      <w:bookmarkStart w:id="2528" w:name="_Toc11874"/>
      <w:bookmarkStart w:id="2529" w:name="_Toc24130"/>
      <w:bookmarkStart w:id="2530" w:name="_Toc3510"/>
      <w:bookmarkStart w:id="2531" w:name="_Toc17963"/>
      <w:bookmarkStart w:id="2532" w:name="_Toc25201"/>
      <w:bookmarkStart w:id="2533" w:name="_Toc15665"/>
      <w:r>
        <w:rPr>
          <w:rStyle w:val="36"/>
          <w:rFonts w:hint="eastAsia" w:ascii="方正小标宋简体" w:hAnsi="方正小标宋简体" w:eastAsia="方正小标宋简体" w:cs="方正小标宋简体"/>
          <w:bCs w:val="0"/>
          <w:color w:val="auto"/>
          <w:sz w:val="36"/>
          <w:szCs w:val="36"/>
        </w:rPr>
        <w:t>第十</w:t>
      </w:r>
      <w:r>
        <w:rPr>
          <w:rStyle w:val="36"/>
          <w:rFonts w:hint="eastAsia" w:ascii="方正小标宋简体" w:hAnsi="方正小标宋简体" w:eastAsia="方正小标宋简体" w:cs="方正小标宋简体"/>
          <w:bCs w:val="0"/>
          <w:color w:val="auto"/>
          <w:sz w:val="36"/>
          <w:szCs w:val="36"/>
          <w:lang w:val="en-US" w:eastAsia="zh-CN"/>
        </w:rPr>
        <w:t>四</w:t>
      </w:r>
      <w:r>
        <w:rPr>
          <w:rStyle w:val="36"/>
          <w:rFonts w:hint="eastAsia" w:ascii="方正小标宋简体" w:hAnsi="方正小标宋简体" w:eastAsia="方正小标宋简体" w:cs="方正小标宋简体"/>
          <w:bCs w:val="0"/>
          <w:color w:val="auto"/>
          <w:sz w:val="36"/>
          <w:szCs w:val="36"/>
        </w:rPr>
        <w:t>章</w:t>
      </w:r>
      <w:r>
        <w:rPr>
          <w:rStyle w:val="36"/>
          <w:rFonts w:hint="eastAsia" w:ascii="方正小标宋简体" w:hAnsi="方正小标宋简体" w:eastAsia="方正小标宋简体" w:cs="方正小标宋简体"/>
          <w:bCs w:val="0"/>
          <w:color w:val="auto"/>
          <w:sz w:val="36"/>
          <w:szCs w:val="36"/>
          <w:lang w:eastAsia="zh-CN"/>
        </w:rPr>
        <w:t>　</w:t>
      </w:r>
      <w:r>
        <w:rPr>
          <w:rStyle w:val="36"/>
          <w:rFonts w:hint="eastAsia" w:ascii="方正小标宋简体" w:hAnsi="方正小标宋简体" w:eastAsia="方正小标宋简体" w:cs="方正小标宋简体"/>
          <w:bCs w:val="0"/>
          <w:color w:val="auto"/>
          <w:sz w:val="36"/>
          <w:szCs w:val="36"/>
        </w:rPr>
        <w:t>保障措</w:t>
      </w:r>
      <w:bookmarkEnd w:id="2509"/>
      <w:r>
        <w:rPr>
          <w:rStyle w:val="36"/>
          <w:rFonts w:hint="eastAsia" w:ascii="方正小标宋简体" w:hAnsi="方正小标宋简体" w:eastAsia="方正小标宋简体" w:cs="方正小标宋简体"/>
          <w:bCs w:val="0"/>
          <w:color w:val="auto"/>
          <w:sz w:val="36"/>
          <w:szCs w:val="36"/>
        </w:rPr>
        <w:t>施</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Start w:id="2534" w:name="_Toc5480"/>
      <w:bookmarkStart w:id="2535" w:name="_Toc17896"/>
      <w:bookmarkStart w:id="2536" w:name="_Toc6411"/>
      <w:bookmarkStart w:id="2537" w:name="_Toc4996"/>
      <w:bookmarkStart w:id="2538" w:name="_Toc24140"/>
      <w:bookmarkStart w:id="2539" w:name="_Toc2283"/>
      <w:bookmarkStart w:id="2540" w:name="_Toc17909"/>
      <w:bookmarkStart w:id="2541" w:name="_Toc13126"/>
    </w:p>
    <w:p>
      <w:pPr>
        <w:pStyle w:val="27"/>
        <w:rPr>
          <w:rFonts w:hint="default"/>
        </w:rPr>
      </w:pPr>
      <w:r>
        <w:rPr>
          <w:rFonts w:hint="eastAsia"/>
        </w:rPr>
        <w:t>健全规划统筹协调、分工协作、监督考核全过程的责任落实体系，</w:t>
      </w:r>
      <w:r>
        <w:rPr>
          <w:rFonts w:hint="eastAsia"/>
          <w:lang w:val="en-US" w:eastAsia="zh-CN"/>
        </w:rPr>
        <w:t>做好资金统筹，强化考核评估，</w:t>
      </w:r>
      <w:r>
        <w:rPr>
          <w:rFonts w:hint="eastAsia"/>
        </w:rPr>
        <w:t>提升规划实施效能。</w:t>
      </w:r>
    </w:p>
    <w:bookmarkEnd w:id="2534"/>
    <w:bookmarkEnd w:id="2535"/>
    <w:bookmarkEnd w:id="2536"/>
    <w:bookmarkEnd w:id="2537"/>
    <w:bookmarkEnd w:id="2538"/>
    <w:bookmarkEnd w:id="2539"/>
    <w:bookmarkEnd w:id="2540"/>
    <w:bookmarkEnd w:id="2541"/>
    <w:p>
      <w:pPr>
        <w:pStyle w:val="5"/>
        <w:spacing w:before="0" w:after="0"/>
        <w:ind w:firstLine="640" w:firstLineChars="200"/>
        <w:rPr>
          <w:rFonts w:hint="default" w:ascii="黑体" w:hAnsi="黑体" w:eastAsia="黑体" w:cs="黑体"/>
          <w:b w:val="0"/>
          <w:bCs w:val="0"/>
          <w:color w:val="auto"/>
          <w:lang w:val="en-US" w:eastAsia="zh-CN"/>
        </w:rPr>
      </w:pPr>
      <w:bookmarkStart w:id="2542" w:name="_Toc8646"/>
      <w:bookmarkStart w:id="2543" w:name="_Toc28128"/>
      <w:bookmarkStart w:id="2544" w:name="_Toc30443"/>
      <w:bookmarkStart w:id="2545" w:name="_Toc19035"/>
      <w:bookmarkStart w:id="2546" w:name="_Toc3637"/>
      <w:bookmarkStart w:id="2547" w:name="_Toc445716737"/>
      <w:bookmarkStart w:id="2548" w:name="_Toc1378"/>
      <w:bookmarkStart w:id="2549" w:name="_Toc6199"/>
      <w:bookmarkStart w:id="2550" w:name="_Toc19111"/>
      <w:bookmarkStart w:id="2551" w:name="_Toc26552"/>
      <w:bookmarkStart w:id="2552" w:name="_Toc17813"/>
      <w:bookmarkStart w:id="2553" w:name="_Toc2296"/>
      <w:bookmarkStart w:id="2554" w:name="_Toc19215"/>
      <w:bookmarkStart w:id="2555" w:name="_Toc17558"/>
      <w:bookmarkStart w:id="2556" w:name="_Toc9126"/>
      <w:bookmarkStart w:id="2557" w:name="_Toc25683"/>
      <w:bookmarkStart w:id="2558" w:name="_Toc8058"/>
      <w:bookmarkStart w:id="2559" w:name="_Toc4459"/>
      <w:bookmarkStart w:id="2560" w:name="_Toc27341"/>
      <w:bookmarkStart w:id="2561" w:name="_Toc6458"/>
      <w:bookmarkStart w:id="2562" w:name="_Toc6096"/>
      <w:r>
        <w:rPr>
          <w:rFonts w:hint="eastAsia" w:ascii="黑体" w:hAnsi="黑体" w:eastAsia="黑体" w:cs="黑体"/>
          <w:b w:val="0"/>
          <w:bCs w:val="0"/>
          <w:color w:val="auto"/>
          <w:lang w:val="en-US" w:eastAsia="zh-CN"/>
        </w:rPr>
        <w:t>一</w:t>
      </w:r>
      <w:r>
        <w:rPr>
          <w:rFonts w:hint="default" w:ascii="黑体" w:hAnsi="黑体" w:eastAsia="黑体" w:cs="黑体"/>
          <w:b w:val="0"/>
          <w:bCs w:val="0"/>
          <w:color w:val="auto"/>
          <w:lang w:val="en-US" w:eastAsia="zh-CN"/>
        </w:rPr>
        <w:t>、</w:t>
      </w:r>
      <w:bookmarkEnd w:id="2542"/>
      <w:bookmarkEnd w:id="2543"/>
      <w:bookmarkEnd w:id="2544"/>
      <w:bookmarkEnd w:id="2545"/>
      <w:bookmarkEnd w:id="2546"/>
      <w:bookmarkEnd w:id="2547"/>
      <w:bookmarkEnd w:id="2548"/>
      <w:bookmarkEnd w:id="2549"/>
      <w:bookmarkEnd w:id="2550"/>
      <w:bookmarkEnd w:id="2551"/>
      <w:r>
        <w:rPr>
          <w:rFonts w:hint="eastAsia" w:ascii="黑体" w:hAnsi="黑体" w:eastAsia="黑体" w:cs="黑体"/>
          <w:b w:val="0"/>
          <w:bCs w:val="0"/>
          <w:color w:val="auto"/>
          <w:lang w:val="en-US" w:eastAsia="zh-CN"/>
        </w:rPr>
        <w:t>强化组织落实</w:t>
      </w:r>
      <w:bookmarkEnd w:id="2552"/>
      <w:bookmarkEnd w:id="2553"/>
      <w:bookmarkEnd w:id="2554"/>
      <w:bookmarkEnd w:id="2555"/>
      <w:bookmarkEnd w:id="2556"/>
      <w:bookmarkEnd w:id="2557"/>
      <w:bookmarkEnd w:id="2558"/>
      <w:bookmarkEnd w:id="2559"/>
      <w:bookmarkEnd w:id="2560"/>
      <w:bookmarkEnd w:id="2561"/>
      <w:bookmarkEnd w:id="2562"/>
    </w:p>
    <w:p>
      <w:pPr>
        <w:pStyle w:val="27"/>
        <w:widowControl w:val="0"/>
        <w:wordWrap/>
        <w:adjustRightInd/>
        <w:snapToGrid/>
        <w:textAlignment w:val="auto"/>
        <w:outlineLvl w:val="9"/>
        <w:rPr>
          <w:rFonts w:hint="default"/>
        </w:rPr>
      </w:pPr>
      <w:r>
        <w:rPr>
          <w:rFonts w:hint="eastAsia"/>
        </w:rPr>
        <w:t>落实生态环境保护责任清单，严格执行《中共韶关市委　韶关市人民政府关于严格落实生态环境保护责任的实施意见》，建立完善部门协调、上下联动的分工协作机制，确保规划顺利实施。各县（市、区）政府要根据本规划确定的目标指标和主要任务，结合当地实际，细化落实规划目标和任务，建立完善生态环境保护目标责任制，落实</w:t>
      </w:r>
      <w:r>
        <w:rPr>
          <w:rFonts w:hint="eastAsia"/>
          <w:lang w:eastAsia="zh-CN"/>
        </w:rPr>
        <w:t>“</w:t>
      </w:r>
      <w:r>
        <w:rPr>
          <w:rFonts w:hint="eastAsia"/>
        </w:rPr>
        <w:t>一岗双责</w:t>
      </w:r>
      <w:r>
        <w:rPr>
          <w:rFonts w:hint="eastAsia"/>
          <w:lang w:eastAsia="zh-CN"/>
        </w:rPr>
        <w:t>”</w:t>
      </w:r>
      <w:r>
        <w:rPr>
          <w:rFonts w:hint="eastAsia"/>
        </w:rPr>
        <w:t>，做到责任到位、措施到位、投入到位，确保规划目标任务全面完成</w:t>
      </w:r>
      <w:r>
        <w:rPr>
          <w:rFonts w:hint="default"/>
        </w:rPr>
        <w:t>。</w:t>
      </w:r>
    </w:p>
    <w:p>
      <w:pPr>
        <w:pStyle w:val="5"/>
        <w:spacing w:before="0" w:after="0"/>
        <w:ind w:firstLine="640" w:firstLineChars="200"/>
        <w:rPr>
          <w:rFonts w:hint="default" w:ascii="黑体" w:hAnsi="黑体" w:eastAsia="黑体" w:cs="黑体"/>
          <w:b w:val="0"/>
          <w:bCs w:val="0"/>
          <w:color w:val="auto"/>
          <w:lang w:val="en-US" w:eastAsia="zh-CN"/>
        </w:rPr>
      </w:pPr>
      <w:bookmarkStart w:id="2563" w:name="_Toc8570"/>
      <w:bookmarkStart w:id="2564" w:name="_Toc29530"/>
      <w:bookmarkStart w:id="2565" w:name="_Toc20399"/>
      <w:bookmarkStart w:id="2566" w:name="_Toc9689"/>
      <w:bookmarkStart w:id="2567" w:name="_Toc7523"/>
      <w:bookmarkStart w:id="2568" w:name="_Toc12097"/>
      <w:bookmarkStart w:id="2569" w:name="_Toc14551"/>
      <w:bookmarkStart w:id="2570" w:name="_Toc10479"/>
      <w:bookmarkStart w:id="2571" w:name="_Toc10627"/>
      <w:bookmarkStart w:id="2572" w:name="_Toc4023"/>
      <w:bookmarkStart w:id="2573" w:name="_Toc13388"/>
      <w:bookmarkStart w:id="2574" w:name="_Toc14973"/>
      <w:bookmarkStart w:id="2575" w:name="_Toc10836"/>
      <w:bookmarkStart w:id="2576" w:name="_Toc15421"/>
      <w:bookmarkStart w:id="2577" w:name="_Toc16540"/>
      <w:bookmarkStart w:id="2578" w:name="_Toc28894"/>
      <w:bookmarkStart w:id="2579" w:name="_Toc10855"/>
      <w:bookmarkStart w:id="2580" w:name="_Toc26533"/>
      <w:bookmarkStart w:id="2581" w:name="_Toc5286"/>
      <w:bookmarkStart w:id="2582" w:name="_Toc10544"/>
      <w:r>
        <w:rPr>
          <w:rFonts w:hint="eastAsia" w:ascii="黑体" w:hAnsi="黑体" w:eastAsia="黑体" w:cs="黑体"/>
          <w:b w:val="0"/>
          <w:bCs w:val="0"/>
          <w:color w:val="auto"/>
          <w:lang w:val="en-US" w:eastAsia="zh-CN"/>
        </w:rPr>
        <w:t>二</w:t>
      </w:r>
      <w:r>
        <w:rPr>
          <w:rFonts w:hint="default" w:ascii="黑体" w:hAnsi="黑体" w:eastAsia="黑体" w:cs="黑体"/>
          <w:b w:val="0"/>
          <w:bCs w:val="0"/>
          <w:color w:val="auto"/>
          <w:lang w:val="en-US" w:eastAsia="zh-CN"/>
        </w:rPr>
        <w:t>、</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Start w:id="2583" w:name="_Toc32558"/>
      <w:bookmarkStart w:id="2584" w:name="_Toc20519"/>
      <w:bookmarkStart w:id="2585" w:name="_Toc32297"/>
      <w:bookmarkStart w:id="2586" w:name="_Toc27526"/>
      <w:bookmarkStart w:id="2587" w:name="_Toc16684"/>
      <w:bookmarkStart w:id="2588" w:name="_Toc2159"/>
      <w:bookmarkStart w:id="2589" w:name="_Toc8284"/>
      <w:bookmarkStart w:id="2590" w:name="_Toc23404"/>
      <w:bookmarkStart w:id="2591" w:name="_Toc1666"/>
      <w:bookmarkStart w:id="2592" w:name="_Toc14878"/>
      <w:bookmarkStart w:id="2593" w:name="_Toc12434"/>
      <w:bookmarkStart w:id="2594" w:name="_Toc27577"/>
      <w:bookmarkStart w:id="2595" w:name="_Toc414259441"/>
      <w:bookmarkStart w:id="2596" w:name="_Toc9219"/>
      <w:bookmarkStart w:id="2597" w:name="_Toc24070"/>
      <w:bookmarkStart w:id="2598" w:name="_Toc26039"/>
      <w:bookmarkStart w:id="2599" w:name="_Toc14940"/>
      <w:bookmarkStart w:id="2600" w:name="_Toc27333"/>
      <w:bookmarkStart w:id="2601" w:name="_Toc32472"/>
      <w:bookmarkStart w:id="2602" w:name="_Toc445716739"/>
      <w:r>
        <w:rPr>
          <w:rFonts w:hint="eastAsia" w:ascii="黑体" w:hAnsi="黑体" w:eastAsia="黑体" w:cs="黑体"/>
          <w:b w:val="0"/>
          <w:bCs w:val="0"/>
          <w:color w:val="auto"/>
          <w:lang w:val="en-US" w:eastAsia="zh-CN"/>
        </w:rPr>
        <w:t>实施重点工程</w:t>
      </w:r>
      <w:bookmarkEnd w:id="2583"/>
      <w:bookmarkEnd w:id="2584"/>
      <w:bookmarkEnd w:id="2585"/>
      <w:bookmarkEnd w:id="2586"/>
      <w:bookmarkEnd w:id="2587"/>
      <w:bookmarkEnd w:id="2588"/>
      <w:bookmarkEnd w:id="2589"/>
      <w:bookmarkEnd w:id="2590"/>
      <w:bookmarkEnd w:id="2591"/>
    </w:p>
    <w:p>
      <w:pPr>
        <w:pStyle w:val="27"/>
        <w:rPr>
          <w:rFonts w:hint="eastAsia"/>
          <w:lang w:val="en-US" w:eastAsia="zh-CN"/>
        </w:rPr>
      </w:pPr>
      <w:r>
        <w:rPr>
          <w:rFonts w:hint="default"/>
          <w:lang w:val="en-US" w:eastAsia="zh-CN"/>
        </w:rPr>
        <w:t>以创建国家生态文明建设示范区为牵引，实施大气、水、土壤污染防治、固体废物综合利用等行动，补齐城镇生活污水处理厂配套管网短板，推进农村生活污水治理。以问题为导向，实施生态环境污染治理、生态建设与修复、生态环境基础</w:t>
      </w:r>
      <w:r>
        <w:rPr>
          <w:rFonts w:hint="eastAsia"/>
          <w:lang w:val="en-US" w:eastAsia="zh-CN"/>
        </w:rPr>
        <w:t>设施</w:t>
      </w:r>
      <w:r>
        <w:rPr>
          <w:rFonts w:hint="default"/>
          <w:lang w:val="en-US" w:eastAsia="zh-CN"/>
        </w:rPr>
        <w:t>能力建设等重点工程，纳入市级重点项目库，加快项目落地见效，让人民群众实实在在感受到生态环境质量改善</w:t>
      </w:r>
      <w:r>
        <w:rPr>
          <w:rFonts w:hint="default"/>
        </w:rPr>
        <w:t>。</w:t>
      </w:r>
    </w:p>
    <w:p>
      <w:pPr>
        <w:pStyle w:val="5"/>
        <w:spacing w:before="0" w:after="0"/>
        <w:ind w:firstLine="640" w:firstLineChars="200"/>
        <w:rPr>
          <w:rFonts w:hint="default" w:ascii="黑体" w:hAnsi="黑体" w:eastAsia="黑体" w:cs="黑体"/>
          <w:b w:val="0"/>
          <w:bCs w:val="0"/>
          <w:color w:val="auto"/>
          <w:lang w:val="en-US" w:eastAsia="zh-CN"/>
        </w:rPr>
      </w:pPr>
      <w:bookmarkStart w:id="2603" w:name="_Toc30220"/>
      <w:bookmarkStart w:id="2604" w:name="_Toc24915"/>
      <w:bookmarkStart w:id="2605" w:name="_Toc16117"/>
      <w:bookmarkStart w:id="2606" w:name="_Toc12595"/>
      <w:bookmarkStart w:id="2607" w:name="_Toc14018"/>
      <w:bookmarkStart w:id="2608" w:name="_Toc25146"/>
      <w:bookmarkStart w:id="2609" w:name="_Toc10089"/>
      <w:bookmarkStart w:id="2610" w:name="_Toc29803"/>
      <w:bookmarkStart w:id="2611" w:name="_Toc14060"/>
      <w:bookmarkStart w:id="2612" w:name="_Toc28718"/>
      <w:bookmarkStart w:id="2613" w:name="_Toc12003"/>
      <w:r>
        <w:rPr>
          <w:rFonts w:hint="eastAsia" w:ascii="黑体" w:hAnsi="黑体" w:eastAsia="黑体" w:cs="黑体"/>
          <w:b w:val="0"/>
          <w:bCs w:val="0"/>
          <w:color w:val="auto"/>
          <w:lang w:val="en-US" w:eastAsia="zh-CN"/>
        </w:rPr>
        <w:t>三</w:t>
      </w:r>
      <w:r>
        <w:rPr>
          <w:rFonts w:hint="default" w:ascii="黑体" w:hAnsi="黑体" w:eastAsia="黑体" w:cs="黑体"/>
          <w:b w:val="0"/>
          <w:bCs w:val="0"/>
          <w:color w:val="auto"/>
          <w:lang w:val="en-US" w:eastAsia="zh-CN"/>
        </w:rPr>
        <w:t>、强化资金保障</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pPr>
        <w:pStyle w:val="27"/>
        <w:rPr>
          <w:rFonts w:hint="default"/>
        </w:rPr>
      </w:pPr>
      <w:r>
        <w:rPr>
          <w:rFonts w:hint="default"/>
        </w:rPr>
        <w:t>做好生态环境保护项目实施的资金保障，拓宽融资渠道，积极主动争取</w:t>
      </w:r>
      <w:r>
        <w:rPr>
          <w:rFonts w:hint="eastAsia"/>
          <w:lang w:eastAsia="zh-CN"/>
        </w:rPr>
        <w:t>中央及</w:t>
      </w:r>
      <w:r>
        <w:rPr>
          <w:rFonts w:hint="default"/>
        </w:rPr>
        <w:t>省</w:t>
      </w:r>
      <w:r>
        <w:rPr>
          <w:rFonts w:hint="eastAsia"/>
          <w:lang w:eastAsia="zh-CN"/>
        </w:rPr>
        <w:t>级</w:t>
      </w:r>
      <w:r>
        <w:rPr>
          <w:rFonts w:hint="default"/>
        </w:rPr>
        <w:t>专项资金，统筹支持推进环境污染治理、生态系统保护、环境基础</w:t>
      </w:r>
      <w:r>
        <w:rPr>
          <w:rFonts w:hint="eastAsia"/>
          <w:lang w:eastAsia="zh-CN"/>
        </w:rPr>
        <w:t>设施</w:t>
      </w:r>
      <w:r>
        <w:rPr>
          <w:rFonts w:hint="default"/>
        </w:rPr>
        <w:t>能力建设等重点工作。创新生态环境保护相关资金、基金、PPP等各类环保投融资方式，积极引导社会资本参与生态环境保护，完善多元化的环保投入机制。</w:t>
      </w:r>
    </w:p>
    <w:p>
      <w:pPr>
        <w:pStyle w:val="5"/>
        <w:spacing w:before="0" w:after="0"/>
        <w:ind w:firstLine="640" w:firstLineChars="200"/>
        <w:rPr>
          <w:rFonts w:hint="default" w:ascii="黑体" w:hAnsi="黑体" w:eastAsia="黑体" w:cs="黑体"/>
          <w:b w:val="0"/>
          <w:bCs w:val="0"/>
          <w:color w:val="auto"/>
          <w:lang w:val="en-US" w:eastAsia="zh-CN"/>
        </w:rPr>
      </w:pPr>
      <w:bookmarkStart w:id="2614" w:name="_Toc414259442"/>
      <w:bookmarkStart w:id="2615" w:name="_Toc10010"/>
      <w:bookmarkStart w:id="2616" w:name="_Toc3534"/>
      <w:bookmarkStart w:id="2617" w:name="_Toc445716741"/>
      <w:bookmarkStart w:id="2618" w:name="_Toc30657"/>
      <w:bookmarkStart w:id="2619" w:name="_Toc10992"/>
      <w:bookmarkStart w:id="2620" w:name="_Toc28009"/>
      <w:bookmarkStart w:id="2621" w:name="_Toc13861"/>
      <w:bookmarkStart w:id="2622" w:name="_Toc10484"/>
      <w:bookmarkStart w:id="2623" w:name="_Toc31808"/>
      <w:bookmarkStart w:id="2624" w:name="_Toc7704"/>
      <w:bookmarkStart w:id="2625" w:name="_Toc3628"/>
      <w:bookmarkStart w:id="2626" w:name="_Toc8650"/>
      <w:bookmarkStart w:id="2627" w:name="_Toc15776"/>
      <w:bookmarkStart w:id="2628" w:name="_Toc27810"/>
      <w:bookmarkStart w:id="2629" w:name="_Toc12292"/>
      <w:bookmarkStart w:id="2630" w:name="_Toc4435"/>
      <w:bookmarkStart w:id="2631" w:name="_Toc15741"/>
      <w:bookmarkStart w:id="2632" w:name="_Toc19046"/>
      <w:bookmarkStart w:id="2633" w:name="_Toc13982"/>
      <w:bookmarkStart w:id="2634" w:name="_Toc23514"/>
      <w:bookmarkStart w:id="2635" w:name="_Toc28323"/>
      <w:r>
        <w:rPr>
          <w:rFonts w:hint="eastAsia" w:ascii="黑体" w:hAnsi="黑体" w:eastAsia="黑体" w:cs="黑体"/>
          <w:b w:val="0"/>
          <w:bCs w:val="0"/>
          <w:color w:val="auto"/>
          <w:lang w:val="en-US" w:eastAsia="zh-CN"/>
        </w:rPr>
        <w:t>四</w:t>
      </w:r>
      <w:r>
        <w:rPr>
          <w:rFonts w:hint="default" w:ascii="黑体" w:hAnsi="黑体" w:eastAsia="黑体" w:cs="黑体"/>
          <w:b w:val="0"/>
          <w:bCs w:val="0"/>
          <w:color w:val="auto"/>
          <w:lang w:val="en-US" w:eastAsia="zh-CN"/>
        </w:rPr>
        <w:t>、</w:t>
      </w:r>
      <w:r>
        <w:rPr>
          <w:rFonts w:hint="eastAsia" w:ascii="黑体" w:hAnsi="黑体" w:eastAsia="黑体" w:cs="黑体"/>
          <w:b w:val="0"/>
          <w:bCs w:val="0"/>
          <w:color w:val="auto"/>
          <w:lang w:val="en-US" w:eastAsia="zh-CN"/>
        </w:rPr>
        <w:t>强化</w:t>
      </w:r>
      <w:r>
        <w:rPr>
          <w:rFonts w:hint="default" w:ascii="黑体" w:hAnsi="黑体" w:eastAsia="黑体" w:cs="黑体"/>
          <w:b w:val="0"/>
          <w:bCs w:val="0"/>
          <w:color w:val="auto"/>
          <w:lang w:val="en-US" w:eastAsia="zh-CN"/>
        </w:rPr>
        <w:t>评估考核</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pPr>
        <w:pStyle w:val="27"/>
        <w:rPr>
          <w:rFonts w:hint="eastAsia"/>
        </w:rPr>
      </w:pPr>
      <w:r>
        <w:rPr>
          <w:rFonts w:hint="eastAsia"/>
        </w:rPr>
        <w:t>建立规划实施情况调度机制，完善规划实施的考核评估机制。将规划目标和主要任务纳入各地、各有关部门政绩考核和环保责任考核内容。适时组织开展规划实施情况评估，依据评估结果对规划目标任务进行科学调整。</w:t>
      </w:r>
    </w:p>
    <w:p>
      <w:pPr>
        <w:pStyle w:val="27"/>
        <w:rPr>
          <w:rFonts w:hint="eastAsia"/>
          <w:color w:val="auto"/>
        </w:rPr>
      </w:pPr>
    </w:p>
    <w:p>
      <w:pPr>
        <w:spacing w:line="360" w:lineRule="auto"/>
        <w:rPr>
          <w:rFonts w:hint="default" w:ascii="Times New Roman" w:hAnsi="Times New Roman" w:eastAsia="仿宋_GB2312" w:cs="Times New Roman"/>
          <w:color w:val="auto"/>
          <w:sz w:val="32"/>
          <w:szCs w:val="20"/>
        </w:rPr>
      </w:pPr>
    </w:p>
    <w:p>
      <w:pPr>
        <w:spacing w:line="360" w:lineRule="auto"/>
        <w:rPr>
          <w:rFonts w:hint="default" w:ascii="Times New Roman" w:hAnsi="Times New Roman" w:eastAsia="仿宋_GB2312" w:cs="Times New Roman"/>
          <w:color w:val="auto"/>
          <w:sz w:val="32"/>
          <w:szCs w:val="20"/>
        </w:rPr>
        <w:sectPr>
          <w:pgSz w:w="11850" w:h="16783"/>
          <w:pgMar w:top="2098" w:right="1474" w:bottom="1984" w:left="1587" w:header="851" w:footer="992" w:gutter="0"/>
          <w:pgNumType w:fmt="numberInDash"/>
          <w:cols w:space="720" w:num="1"/>
          <w:docGrid w:type="linesAndChars" w:linePitch="312" w:charSpace="0"/>
        </w:sectPr>
      </w:pPr>
    </w:p>
    <w:p>
      <w:pPr>
        <w:pStyle w:val="3"/>
        <w:tabs>
          <w:tab w:val="left" w:pos="0"/>
        </w:tabs>
        <w:spacing w:after="330"/>
        <w:rPr>
          <w:rStyle w:val="36"/>
          <w:rFonts w:hint="default"/>
          <w:bCs w:val="0"/>
          <w:sz w:val="36"/>
          <w:szCs w:val="36"/>
        </w:rPr>
      </w:pPr>
      <w:bookmarkStart w:id="2636" w:name="_Toc80280540"/>
      <w:bookmarkStart w:id="2637" w:name="_Toc15306"/>
      <w:bookmarkStart w:id="2638" w:name="_Toc604"/>
      <w:bookmarkStart w:id="2639" w:name="_Toc3732"/>
      <w:bookmarkStart w:id="2640" w:name="_Toc15493"/>
      <w:bookmarkStart w:id="2641" w:name="_Toc31196"/>
      <w:bookmarkStart w:id="2642" w:name="_Toc7018"/>
      <w:bookmarkStart w:id="2643" w:name="_Toc23369"/>
      <w:bookmarkStart w:id="2644" w:name="_Toc14451"/>
      <w:bookmarkStart w:id="2645" w:name="_Toc250"/>
      <w:bookmarkStart w:id="2646" w:name="_Toc19501"/>
      <w:bookmarkStart w:id="2647" w:name="_Toc27787"/>
      <w:bookmarkStart w:id="2648" w:name="_Toc4665"/>
      <w:bookmarkStart w:id="2649" w:name="_Toc23357"/>
      <w:bookmarkStart w:id="2650" w:name="_Toc16650"/>
      <w:bookmarkStart w:id="2651" w:name="_Toc11521"/>
      <w:bookmarkStart w:id="2652" w:name="_Toc28"/>
      <w:bookmarkStart w:id="2653" w:name="_Toc12228"/>
      <w:bookmarkStart w:id="2654" w:name="_Toc8593"/>
      <w:bookmarkStart w:id="2655" w:name="_Toc15470"/>
      <w:bookmarkStart w:id="2656" w:name="_Toc9487"/>
      <w:bookmarkStart w:id="2657" w:name="_Toc20025"/>
      <w:bookmarkStart w:id="2658" w:name="_Toc312830994"/>
      <w:bookmarkStart w:id="2659" w:name="_Toc335732365"/>
      <w:bookmarkStart w:id="2660" w:name="_Toc281383241"/>
      <w:bookmarkStart w:id="2661" w:name="_Toc282613478"/>
      <w:r>
        <w:rPr>
          <w:rStyle w:val="36"/>
          <w:rFonts w:hint="eastAsia" w:ascii="方正小标宋简体" w:hAnsi="方正小标宋简体" w:eastAsia="方正小标宋简体" w:cs="方正小标宋简体"/>
          <w:bCs w:val="0"/>
          <w:sz w:val="36"/>
          <w:szCs w:val="36"/>
        </w:rPr>
        <w:t>附表</w:t>
      </w:r>
      <w:bookmarkEnd w:id="2636"/>
      <w:bookmarkEnd w:id="2637"/>
      <w:bookmarkEnd w:id="2638"/>
      <w:bookmarkEnd w:id="2639"/>
      <w:bookmarkEnd w:id="2640"/>
      <w:bookmarkEnd w:id="2641"/>
      <w:bookmarkEnd w:id="2642"/>
      <w:bookmarkEnd w:id="2643"/>
      <w:r>
        <w:rPr>
          <w:rStyle w:val="36"/>
          <w:rFonts w:hint="eastAsia" w:ascii="方正小标宋简体" w:hAnsi="方正小标宋简体" w:eastAsia="方正小标宋简体" w:cs="方正小标宋简体"/>
          <w:bCs w:val="0"/>
          <w:sz w:val="36"/>
          <w:szCs w:val="36"/>
        </w:rPr>
        <w:t>　　</w:t>
      </w:r>
      <w:r>
        <w:rPr>
          <w:rStyle w:val="36"/>
          <w:rFonts w:hint="eastAsia" w:ascii="方正小标宋简体" w:hAnsi="方正小标宋简体" w:eastAsia="方正小标宋简体" w:cs="方正小标宋简体"/>
          <w:bCs w:val="0"/>
          <w:sz w:val="36"/>
          <w:szCs w:val="36"/>
          <w:lang w:eastAsia="zh-CN"/>
        </w:rPr>
        <w:t>规划</w:t>
      </w:r>
      <w:r>
        <w:rPr>
          <w:rStyle w:val="36"/>
          <w:rFonts w:hint="eastAsia" w:ascii="方正小标宋简体" w:hAnsi="方正小标宋简体" w:eastAsia="方正小标宋简体" w:cs="方正小标宋简体"/>
          <w:bCs w:val="0"/>
          <w:sz w:val="36"/>
          <w:szCs w:val="36"/>
        </w:rPr>
        <w:t>重点工程</w:t>
      </w:r>
      <w:r>
        <w:rPr>
          <w:rStyle w:val="36"/>
          <w:rFonts w:hint="eastAsia" w:ascii="方正小标宋简体" w:hAnsi="方正小标宋简体" w:eastAsia="方正小标宋简体" w:cs="方正小标宋简体"/>
          <w:bCs w:val="0"/>
          <w:sz w:val="36"/>
          <w:szCs w:val="36"/>
          <w:lang w:eastAsia="zh-CN"/>
        </w:rPr>
        <w:t>项目</w:t>
      </w:r>
      <w:r>
        <w:rPr>
          <w:rStyle w:val="36"/>
          <w:rFonts w:hint="eastAsia" w:ascii="方正小标宋简体" w:hAnsi="方正小标宋简体" w:eastAsia="方正小标宋简体" w:cs="方正小标宋简体"/>
          <w:bCs w:val="0"/>
          <w:sz w:val="36"/>
          <w:szCs w:val="36"/>
        </w:rPr>
        <w:t>表</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tbl>
      <w:tblPr>
        <w:tblW w:w="142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261"/>
        <w:gridCol w:w="6660"/>
        <w:gridCol w:w="1473"/>
        <w:gridCol w:w="1616"/>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789" w:type="dxa"/>
            <w:vAlign w:val="center"/>
          </w:tcPr>
          <w:p>
            <w:pPr>
              <w:pStyle w:val="21"/>
              <w:rPr>
                <w:rFonts w:hint="eastAsia" w:ascii="黑体" w:hAnsi="黑体" w:eastAsia="黑体" w:cs="黑体"/>
                <w:b w:val="0"/>
                <w:bCs/>
                <w:color w:val="auto"/>
              </w:rPr>
            </w:pPr>
            <w:r>
              <w:rPr>
                <w:rFonts w:hint="eastAsia" w:ascii="黑体" w:hAnsi="黑体" w:eastAsia="黑体" w:cs="黑体"/>
                <w:b w:val="0"/>
                <w:bCs/>
                <w:color w:val="auto"/>
              </w:rPr>
              <w:t>序号</w:t>
            </w:r>
          </w:p>
        </w:tc>
        <w:tc>
          <w:tcPr>
            <w:tcW w:w="2261" w:type="dxa"/>
            <w:vAlign w:val="center"/>
          </w:tcPr>
          <w:p>
            <w:pPr>
              <w:pStyle w:val="21"/>
              <w:rPr>
                <w:rFonts w:hint="eastAsia" w:ascii="黑体" w:hAnsi="黑体" w:eastAsia="黑体" w:cs="黑体"/>
                <w:b w:val="0"/>
                <w:bCs/>
                <w:color w:val="auto"/>
              </w:rPr>
            </w:pPr>
            <w:r>
              <w:rPr>
                <w:rFonts w:hint="eastAsia" w:ascii="黑体" w:hAnsi="黑体" w:eastAsia="黑体" w:cs="黑体"/>
                <w:b w:val="0"/>
                <w:bCs/>
                <w:color w:val="auto"/>
              </w:rPr>
              <w:t>项目名称</w:t>
            </w:r>
          </w:p>
        </w:tc>
        <w:tc>
          <w:tcPr>
            <w:tcW w:w="6660" w:type="dxa"/>
            <w:vAlign w:val="center"/>
          </w:tcPr>
          <w:p>
            <w:pPr>
              <w:pStyle w:val="21"/>
              <w:jc w:val="center"/>
              <w:rPr>
                <w:rFonts w:hint="eastAsia" w:ascii="黑体" w:hAnsi="黑体" w:eastAsia="黑体" w:cs="黑体"/>
                <w:b w:val="0"/>
                <w:bCs/>
                <w:color w:val="auto"/>
              </w:rPr>
            </w:pPr>
            <w:r>
              <w:rPr>
                <w:rFonts w:hint="eastAsia" w:ascii="黑体" w:hAnsi="黑体" w:eastAsia="黑体" w:cs="黑体"/>
                <w:b w:val="0"/>
                <w:bCs/>
                <w:color w:val="auto"/>
              </w:rPr>
              <w:t>项目概况</w:t>
            </w:r>
          </w:p>
        </w:tc>
        <w:tc>
          <w:tcPr>
            <w:tcW w:w="1473" w:type="dxa"/>
            <w:vAlign w:val="center"/>
          </w:tcPr>
          <w:p>
            <w:pPr>
              <w:pStyle w:val="21"/>
              <w:spacing w:line="240" w:lineRule="auto"/>
              <w:textAlignment w:val="auto"/>
              <w:rPr>
                <w:rFonts w:hint="eastAsia" w:ascii="黑体" w:hAnsi="黑体" w:eastAsia="黑体" w:cs="黑体"/>
                <w:b w:val="0"/>
                <w:bCs/>
                <w:color w:val="auto"/>
              </w:rPr>
            </w:pPr>
            <w:r>
              <w:rPr>
                <w:rFonts w:hint="eastAsia" w:ascii="黑体" w:hAnsi="黑体" w:eastAsia="黑体" w:cs="黑体"/>
                <w:b w:val="0"/>
                <w:bCs/>
                <w:color w:val="auto"/>
              </w:rPr>
              <w:t>投资（万元）</w:t>
            </w:r>
          </w:p>
        </w:tc>
        <w:tc>
          <w:tcPr>
            <w:tcW w:w="1616" w:type="dxa"/>
            <w:vAlign w:val="center"/>
          </w:tcPr>
          <w:p>
            <w:pPr>
              <w:pStyle w:val="21"/>
              <w:rPr>
                <w:rFonts w:hint="eastAsia" w:ascii="黑体" w:hAnsi="黑体" w:eastAsia="黑体" w:cs="黑体"/>
                <w:b w:val="0"/>
                <w:bCs/>
                <w:color w:val="auto"/>
              </w:rPr>
            </w:pPr>
            <w:r>
              <w:rPr>
                <w:rFonts w:hint="eastAsia" w:ascii="黑体" w:hAnsi="黑体" w:eastAsia="黑体" w:cs="黑体"/>
                <w:b w:val="0"/>
                <w:bCs/>
                <w:color w:val="auto"/>
              </w:rPr>
              <w:t>责任单位</w:t>
            </w:r>
          </w:p>
        </w:tc>
        <w:tc>
          <w:tcPr>
            <w:tcW w:w="1421" w:type="dxa"/>
            <w:vAlign w:val="center"/>
          </w:tcPr>
          <w:p>
            <w:pPr>
              <w:pStyle w:val="21"/>
              <w:rPr>
                <w:rFonts w:hint="eastAsia" w:ascii="黑体" w:hAnsi="黑体" w:eastAsia="黑体" w:cs="黑体"/>
                <w:b w:val="0"/>
                <w:bCs/>
                <w:color w:val="auto"/>
              </w:rPr>
            </w:pPr>
            <w:r>
              <w:rPr>
                <w:rFonts w:hint="eastAsia" w:ascii="黑体" w:hAnsi="黑体" w:eastAsia="黑体" w:cs="黑体"/>
                <w:b w:val="0"/>
                <w:bCs/>
                <w:color w:val="auto"/>
              </w:rPr>
              <w:t>实施年限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10" w:type="dxa"/>
            <w:gridSpan w:val="3"/>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（一）</w:t>
            </w:r>
            <w:r>
              <w:rPr>
                <w:rFonts w:hint="eastAsia" w:ascii="仿宋_GB2312" w:hAnsi="仿宋_GB2312" w:eastAsia="仿宋_GB2312" w:cs="仿宋_GB2312"/>
                <w:b/>
                <w:bCs/>
                <w:color w:val="auto"/>
              </w:rPr>
              <w:t>重点水域水质保护和生态修复</w:t>
            </w:r>
            <w:r>
              <w:rPr>
                <w:rFonts w:hint="eastAsia" w:ascii="仿宋_GB2312" w:hAnsi="仿宋_GB2312" w:eastAsia="仿宋_GB2312" w:cs="仿宋_GB2312"/>
                <w:b/>
                <w:bCs/>
                <w:color w:val="auto"/>
                <w:lang w:eastAsia="zh-CN"/>
              </w:rPr>
              <w:t>（共</w:t>
            </w:r>
            <w:r>
              <w:rPr>
                <w:rFonts w:hint="eastAsia" w:ascii="仿宋_GB2312" w:hAnsi="仿宋_GB2312" w:eastAsia="仿宋_GB2312" w:cs="仿宋_GB2312"/>
                <w:b/>
                <w:bCs/>
                <w:color w:val="auto"/>
                <w:lang w:val="en-US" w:eastAsia="zh-CN"/>
              </w:rPr>
              <w:t>15项</w:t>
            </w:r>
            <w:r>
              <w:rPr>
                <w:rFonts w:hint="eastAsia" w:ascii="仿宋_GB2312" w:hAnsi="仿宋_GB2312" w:eastAsia="仿宋_GB2312" w:cs="仿宋_GB2312"/>
                <w:b/>
                <w:bCs/>
                <w:color w:val="auto"/>
                <w:lang w:eastAsia="zh-CN"/>
              </w:rPr>
              <w:t>）</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63093</w:t>
            </w:r>
          </w:p>
        </w:tc>
        <w:tc>
          <w:tcPr>
            <w:tcW w:w="3037" w:type="dxa"/>
            <w:gridSpan w:val="2"/>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饮用水源优化调整项目</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优化市区供水格局，撤销浈江备用饮用水源地，优化市区武饮用水源保护范围；在鲁古河水库向新丰县城供水的基础上，开展可行性研究撤销梅坑河、小正河备用饮用水源保护区。</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100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韶关</w:t>
            </w:r>
            <w:r>
              <w:rPr>
                <w:rFonts w:hint="eastAsia" w:ascii="仿宋_GB2312" w:hAnsi="仿宋_GB2312" w:eastAsia="仿宋_GB2312" w:cs="仿宋_GB2312"/>
                <w:color w:val="auto"/>
              </w:rPr>
              <w:t>市生态环境局、新丰县人民政府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韶关市饮用水源地保护工程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进一步强化和提</w:t>
            </w:r>
            <w:r>
              <w:rPr>
                <w:rFonts w:hint="eastAsia" w:ascii="仿宋_GB2312" w:hAnsi="仿宋_GB2312" w:eastAsia="仿宋_GB2312" w:cs="仿宋_GB2312"/>
                <w:color w:val="auto"/>
                <w:lang w:val="en-US" w:eastAsia="zh-CN"/>
              </w:rPr>
              <w:t>升县级以上</w:t>
            </w:r>
            <w:r>
              <w:rPr>
                <w:rFonts w:hint="eastAsia" w:ascii="仿宋_GB2312" w:hAnsi="仿宋_GB2312" w:eastAsia="仿宋_GB2312" w:cs="仿宋_GB2312"/>
                <w:color w:val="auto"/>
              </w:rPr>
              <w:t>饮用水源地</w:t>
            </w:r>
            <w:r>
              <w:rPr>
                <w:rFonts w:hint="eastAsia" w:ascii="仿宋_GB2312" w:hAnsi="仿宋_GB2312" w:eastAsia="仿宋_GB2312" w:cs="仿宋_GB2312"/>
                <w:color w:val="auto"/>
                <w:lang w:val="en-US" w:eastAsia="zh-CN"/>
              </w:rPr>
              <w:t>的</w:t>
            </w:r>
            <w:r>
              <w:rPr>
                <w:rFonts w:hint="eastAsia" w:ascii="仿宋_GB2312" w:hAnsi="仿宋_GB2312" w:eastAsia="仿宋_GB2312" w:cs="仿宋_GB2312"/>
                <w:color w:val="auto"/>
              </w:rPr>
              <w:t>规范化建设</w:t>
            </w:r>
            <w:r>
              <w:rPr>
                <w:rFonts w:hint="eastAsia" w:ascii="仿宋_GB2312" w:hAnsi="仿宋_GB2312" w:eastAsia="仿宋_GB2312" w:cs="仿宋_GB2312"/>
                <w:color w:val="auto"/>
                <w:lang w:val="en-US" w:eastAsia="zh-CN"/>
              </w:rPr>
              <w:t>水平，完成镇级饮用水源地“划、立、治”规范化建设，提升饮用水源地的应急和风险防范能力，逐步推进农村集中式饮用水源地规范保护工作。</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w:t>
            </w:r>
            <w:r>
              <w:rPr>
                <w:rFonts w:hint="eastAsia" w:ascii="仿宋_GB2312" w:hAnsi="仿宋_GB2312" w:eastAsia="仿宋_GB2312" w:cs="仿宋_GB2312"/>
                <w:color w:val="auto"/>
                <w:lang w:val="en-US" w:eastAsia="zh-CN"/>
              </w:rPr>
              <w:t>85</w:t>
            </w:r>
            <w:r>
              <w:rPr>
                <w:rFonts w:hint="eastAsia" w:ascii="仿宋_GB2312" w:hAnsi="仿宋_GB2312" w:eastAsia="仿宋_GB2312" w:cs="仿宋_GB2312"/>
                <w:color w:val="auto"/>
              </w:rPr>
              <w:t>79</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各县（市、区）人民政府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2020</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3</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南水水库水环境保护工程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南水水库消落带保护与湿地修复工程；南水水库农业面源污染控制氮磷生态拦截沟渠系统建设试点工程。</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3000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乳源瑶族</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自治县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4</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中坪水库和横江水库的环境综合整治工程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对中坪水库和横江水库集水流域畜禽养殖和村庄进行整治，对水库的集雨区植被、生态破坏的区域进行生态恢复。</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南雄市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5</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广东孔江国家湿地公园</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打造南雄特色的湿地公园精品，继续开展广东孔江国家湿地公园生态保护与修复，如植被恢复与修复和洲滩湿地恢复与重建；加强湿地科普教育与旅游服务设施如科普宣教中心、湿地文化广场、声像图片资料展示、解说系统、科普宣教牌示系统等设施及完善湿地公园各项旅游、公共基础设施。</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5000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南雄市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6</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建设鲁古河</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zh-CN"/>
              </w:rPr>
              <w:t>国家湿地公园</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打造新丰特色的湿地公园精品，继续开展鲁古河国家湿地公园的建设与保护，完善道路交通设施如游步道、栈道、生态停车场以及必要的湿地公园外部连接道路等，建设保护设施和保护工程如湿地保护、湿地恢复、科研监测、气象观测站等，加强科普教育与游览服务设施如科普宣教中心、湿地文化广场、观景阁、声像图片资料展示、网站建设、解说系统、指示牌、警示牌等设施、湖畔漫游驿站、游客服务中心、休憩设施等。</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6914</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新丰县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7</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建设滃江源</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zh-CN"/>
              </w:rPr>
              <w:t>湿地公园</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打造翁源特色的湿地公园精品，继续开展滃江源国家湿地公园的建设与保护，建设保护设施和保护工程如湿地保护、湿地恢复、科研监测、气象观测站等，加强科普教育与游览服务设施如科普宣教中心、湿地文化广场、观景阁、声像图片资料展示、网站建设、解说系统、指示牌、警示牌等设施、湖畔漫游驿站、游客服务中心、休憩设施等。</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3000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翁源县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8</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zh-CN"/>
              </w:rPr>
              <w:t>建设乐昌峡湿地公园</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打造乐昌特色的湿地公园精品，继续开展乐昌峡国家湿地公园的建设与保护，建设保护设施和保护工程如湿地保护、湿地恢复、科研监测、气象观测站等，加强科普教育与游览服务设施如科普宣教中心、湿地文化广场、观景阁、声像图片资料展示、网站建设、解说系统、指示牌、警示牌等设施、湖畔漫游驿站、游客服务中心、休憩设施等。</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乐昌市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9</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尖背水库整治和生态恢复工程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对尖背水库集水流域畜禽养殖和村庄进行整治，对水库的集雨区植被、生态破坏的区域进行生态恢复。</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始兴县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10</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锦江水库水生态保护修复工程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对锦江水库集水流域畜禽养殖和村庄进行整治，对水库的集雨区植被、生态破坏的区域进行生态恢复。</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3000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仁化县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11</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八宝山水库达标整治和生态恢复工程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对库区集雨区祼露区进行生态修</w:t>
            </w:r>
            <w:r>
              <w:rPr>
                <w:rFonts w:hint="eastAsia" w:ascii="仿宋_GB2312" w:hAnsi="仿宋_GB2312" w:eastAsia="仿宋_GB2312" w:cs="仿宋_GB2312"/>
                <w:color w:val="auto"/>
                <w:lang w:eastAsia="zh-CN"/>
              </w:rPr>
              <w:t>复</w:t>
            </w:r>
            <w:r>
              <w:rPr>
                <w:rFonts w:hint="eastAsia" w:ascii="仿宋_GB2312" w:hAnsi="仿宋_GB2312" w:eastAsia="仿宋_GB2312" w:cs="仿宋_GB2312"/>
                <w:color w:val="auto"/>
              </w:rPr>
              <w:t>；对库区村庄生活源整治，对农业农村施肥进行管控，禁止规模畜禽养殖，减少农村散养，逐步退出桉树速生林，减少入库污染源，做好水资源调度，保证枯水期的生态流水位。</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乐昌市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12</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沐溪水库水库达标整治和生态恢复工程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对沐溪水库周边餐饮、畜禽养殖、水产养殖和村庄进行整治，对水库的集雨区生态破坏的区域进行生态恢复。</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武江区</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w:t>
            </w:r>
            <w:r>
              <w:rPr>
                <w:rFonts w:hint="eastAsia" w:ascii="仿宋_GB2312" w:hAnsi="仿宋_GB2312" w:eastAsia="仿宋_GB2312" w:cs="仿宋_GB2312"/>
                <w:color w:val="auto"/>
                <w:lang w:val="en-US" w:eastAsia="zh-CN"/>
              </w:rPr>
              <w:t>3</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龙山水库生态修复工程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对所有村庄生活源整治，对农业农村施肥进行管控，禁止规模畜禽养殖，减少农村散养，逐步退出桉树速生林，减少入库污染源，做好水资源调度，保证枯水期的生态流水位。</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乐昌市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w:t>
            </w:r>
            <w:r>
              <w:rPr>
                <w:rFonts w:hint="eastAsia" w:ascii="仿宋_GB2312" w:hAnsi="仿宋_GB2312" w:eastAsia="仿宋_GB2312" w:cs="仿宋_GB2312"/>
                <w:color w:val="auto"/>
                <w:lang w:val="en-US" w:eastAsia="zh-CN"/>
              </w:rPr>
              <w:t>4</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西牛潭水库达标整治和生态修复工程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浈江区西牛潭水库5个行政村25个自然村污水管网建设，分散式农村生活污水处理系统21座，新建三级化粪池7个，库滨带陆域集水范围森林植被系统修复；做好水资源调度，保证枯水期的生态流水位。</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浈江区</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15</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水生态调查项目</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按规范和指南要求，摸清北江和新丰江重要水域水生态现状，2025年完成调查评估，建立水生态数据库</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en-US"/>
              </w:rPr>
            </w:pPr>
            <w:r>
              <w:rPr>
                <w:rFonts w:hint="eastAsia" w:ascii="仿宋_GB2312" w:hAnsi="仿宋_GB2312" w:eastAsia="仿宋_GB2312" w:cs="仿宋_GB2312"/>
                <w:color w:val="auto"/>
              </w:rPr>
              <w:t>1500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en-US"/>
              </w:rPr>
            </w:pPr>
            <w:r>
              <w:rPr>
                <w:rFonts w:hint="eastAsia" w:ascii="仿宋_GB2312" w:hAnsi="仿宋_GB2312" w:eastAsia="仿宋_GB2312" w:cs="仿宋_GB2312"/>
                <w:color w:val="auto"/>
              </w:rPr>
              <w:t>韶关市生态环境局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en-US"/>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9710" w:type="dxa"/>
            <w:gridSpan w:val="3"/>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（二）</w:t>
            </w:r>
            <w:r>
              <w:rPr>
                <w:rFonts w:hint="eastAsia" w:ascii="仿宋_GB2312" w:hAnsi="仿宋_GB2312" w:eastAsia="仿宋_GB2312" w:cs="仿宋_GB2312"/>
                <w:b/>
                <w:bCs/>
                <w:color w:val="auto"/>
              </w:rPr>
              <w:t>城镇生活污水处理设施补短板</w:t>
            </w:r>
            <w:r>
              <w:rPr>
                <w:rFonts w:hint="eastAsia" w:ascii="仿宋_GB2312" w:hAnsi="仿宋_GB2312" w:eastAsia="仿宋_GB2312" w:cs="仿宋_GB2312"/>
                <w:b/>
                <w:bCs/>
                <w:color w:val="auto"/>
                <w:lang w:eastAsia="zh-CN"/>
              </w:rPr>
              <w:t>（共</w:t>
            </w:r>
            <w:r>
              <w:rPr>
                <w:rFonts w:hint="eastAsia" w:ascii="仿宋_GB2312" w:hAnsi="仿宋_GB2312" w:eastAsia="仿宋_GB2312" w:cs="仿宋_GB2312"/>
                <w:b/>
                <w:bCs/>
                <w:color w:val="auto"/>
                <w:lang w:val="en-US" w:eastAsia="zh-CN"/>
              </w:rPr>
              <w:t>9项</w:t>
            </w:r>
            <w:r>
              <w:rPr>
                <w:rFonts w:hint="eastAsia" w:ascii="仿宋_GB2312" w:hAnsi="仿宋_GB2312" w:eastAsia="仿宋_GB2312" w:cs="仿宋_GB2312"/>
                <w:b/>
                <w:bCs/>
                <w:color w:val="auto"/>
                <w:lang w:eastAsia="zh-CN"/>
              </w:rPr>
              <w:t>）</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381034</w:t>
            </w:r>
          </w:p>
        </w:tc>
        <w:tc>
          <w:tcPr>
            <w:tcW w:w="3037" w:type="dxa"/>
            <w:gridSpan w:val="2"/>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1</w:t>
            </w:r>
            <w:r>
              <w:rPr>
                <w:rFonts w:hint="eastAsia" w:ascii="仿宋_GB2312" w:hAnsi="仿宋_GB2312" w:eastAsia="仿宋_GB2312" w:cs="仿宋_GB2312"/>
                <w:color w:val="auto"/>
                <w:sz w:val="24"/>
                <w:szCs w:val="22"/>
                <w:lang w:val="en-US" w:eastAsia="zh-CN"/>
              </w:rPr>
              <w:t>6</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韶关市中心城区污水管网建设和改造工程（一期）</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新建和改造污水管网约166公里，新建污水提升泵站约26个。</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85883</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韶关市住建管理局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202</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w:t>
            </w:r>
            <w:r>
              <w:rPr>
                <w:rFonts w:hint="eastAsia" w:ascii="仿宋_GB2312" w:hAnsi="仿宋_GB2312" w:eastAsia="仿宋_GB2312" w:cs="仿宋_GB2312"/>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17</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color w:val="auto"/>
                <w:sz w:val="24"/>
                <w:szCs w:val="22"/>
              </w:rPr>
              <w:t>南雄市城区污水处理、管廊及配套工程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color w:val="auto"/>
                <w:sz w:val="24"/>
                <w:szCs w:val="22"/>
              </w:rPr>
              <w:t>主要包括污水处理工程，管廊建设，配套建设工程，同时完成入河排污口整治。其中：污水处理工程包含（污水再生建设工程1项，再生水管网建设长2.5万</w:t>
            </w:r>
            <w:r>
              <w:rPr>
                <w:rFonts w:hint="eastAsia" w:ascii="仿宋_GB2312" w:hAnsi="仿宋_GB2312" w:eastAsia="仿宋_GB2312" w:cs="仿宋_GB2312"/>
                <w:color w:val="auto"/>
                <w:sz w:val="24"/>
                <w:szCs w:val="22"/>
                <w:lang w:val="en-US" w:eastAsia="zh-CN"/>
              </w:rPr>
              <w:t>米</w:t>
            </w:r>
            <w:r>
              <w:rPr>
                <w:rFonts w:hint="eastAsia" w:ascii="仿宋_GB2312" w:hAnsi="仿宋_GB2312" w:eastAsia="仿宋_GB2312" w:cs="仿宋_GB2312"/>
                <w:color w:val="auto"/>
                <w:sz w:val="24"/>
                <w:szCs w:val="22"/>
              </w:rPr>
              <w:t>；排水管网建设长8</w:t>
            </w:r>
            <w:r>
              <w:rPr>
                <w:rFonts w:hint="eastAsia" w:ascii="仿宋_GB2312" w:hAnsi="仿宋_GB2312" w:eastAsia="仿宋_GB2312" w:cs="仿宋_GB2312"/>
                <w:color w:val="auto"/>
                <w:sz w:val="24"/>
                <w:szCs w:val="22"/>
                <w:lang w:val="en-US" w:eastAsia="zh-CN"/>
              </w:rPr>
              <w:t>.5万米</w:t>
            </w:r>
            <w:r>
              <w:rPr>
                <w:rFonts w:hint="eastAsia" w:ascii="仿宋_GB2312" w:hAnsi="仿宋_GB2312" w:eastAsia="仿宋_GB2312" w:cs="仿宋_GB2312"/>
                <w:color w:val="auto"/>
                <w:sz w:val="24"/>
                <w:szCs w:val="22"/>
              </w:rPr>
              <w:t>）。管廊建设包含（建设综合管道1</w:t>
            </w:r>
            <w:r>
              <w:rPr>
                <w:rFonts w:hint="eastAsia" w:ascii="仿宋_GB2312" w:hAnsi="仿宋_GB2312" w:eastAsia="仿宋_GB2312" w:cs="仿宋_GB2312"/>
                <w:color w:val="auto"/>
                <w:sz w:val="24"/>
                <w:szCs w:val="22"/>
                <w:lang w:eastAsia="zh-CN"/>
              </w:rPr>
              <w:t>千米</w:t>
            </w:r>
            <w:r>
              <w:rPr>
                <w:rFonts w:hint="eastAsia" w:ascii="仿宋_GB2312" w:hAnsi="仿宋_GB2312" w:eastAsia="仿宋_GB2312" w:cs="仿宋_GB2312"/>
                <w:color w:val="auto"/>
                <w:sz w:val="24"/>
                <w:szCs w:val="22"/>
              </w:rPr>
              <w:t>，</w:t>
            </w:r>
            <w:r>
              <w:rPr>
                <w:rFonts w:hint="eastAsia" w:ascii="仿宋_GB2312" w:hAnsi="仿宋_GB2312" w:eastAsia="仿宋_GB2312" w:cs="仿宋_GB2312"/>
                <w:color w:val="auto"/>
                <w:sz w:val="24"/>
                <w:szCs w:val="22"/>
                <w:lang w:eastAsia="zh-CN"/>
              </w:rPr>
              <w:t>“</w:t>
            </w:r>
            <w:r>
              <w:rPr>
                <w:rFonts w:hint="eastAsia" w:ascii="仿宋_GB2312" w:hAnsi="仿宋_GB2312" w:eastAsia="仿宋_GB2312" w:cs="仿宋_GB2312"/>
                <w:color w:val="auto"/>
                <w:sz w:val="24"/>
                <w:szCs w:val="22"/>
              </w:rPr>
              <w:t>三线</w:t>
            </w:r>
            <w:r>
              <w:rPr>
                <w:rFonts w:hint="eastAsia" w:ascii="仿宋_GB2312" w:hAnsi="仿宋_GB2312" w:eastAsia="仿宋_GB2312" w:cs="仿宋_GB2312"/>
                <w:color w:val="auto"/>
                <w:sz w:val="24"/>
                <w:szCs w:val="22"/>
                <w:lang w:eastAsia="zh-CN"/>
              </w:rPr>
              <w:t>”</w:t>
            </w:r>
            <w:r>
              <w:rPr>
                <w:rFonts w:hint="eastAsia" w:ascii="仿宋_GB2312" w:hAnsi="仿宋_GB2312" w:eastAsia="仿宋_GB2312" w:cs="仿宋_GB2312"/>
                <w:color w:val="auto"/>
                <w:sz w:val="24"/>
                <w:szCs w:val="22"/>
              </w:rPr>
              <w:t>电力线、通信线、有线电视线改造工程1项）。配套建设工程包含（新建修理厂600</w:t>
            </w:r>
            <w:r>
              <w:rPr>
                <w:rFonts w:hint="eastAsia" w:ascii="仿宋_GB2312" w:hAnsi="仿宋_GB2312" w:eastAsia="仿宋_GB2312" w:cs="仿宋_GB2312"/>
                <w:color w:val="auto"/>
                <w:sz w:val="24"/>
                <w:szCs w:val="22"/>
                <w:lang w:eastAsia="zh-CN"/>
              </w:rPr>
              <w:t>平方米</w:t>
            </w:r>
            <w:r>
              <w:rPr>
                <w:rFonts w:hint="eastAsia" w:ascii="仿宋_GB2312" w:hAnsi="仿宋_GB2312" w:eastAsia="仿宋_GB2312" w:cs="仿宋_GB2312"/>
                <w:color w:val="auto"/>
                <w:sz w:val="24"/>
                <w:szCs w:val="22"/>
              </w:rPr>
              <w:t>，环卫停车场面积9000</w:t>
            </w:r>
            <w:r>
              <w:rPr>
                <w:rFonts w:hint="eastAsia" w:ascii="仿宋_GB2312" w:hAnsi="仿宋_GB2312" w:eastAsia="仿宋_GB2312" w:cs="仿宋_GB2312"/>
                <w:color w:val="auto"/>
                <w:sz w:val="24"/>
                <w:szCs w:val="22"/>
                <w:lang w:eastAsia="zh-CN"/>
              </w:rPr>
              <w:t>平方米</w:t>
            </w:r>
            <w:r>
              <w:rPr>
                <w:rFonts w:hint="eastAsia" w:ascii="仿宋_GB2312" w:hAnsi="仿宋_GB2312" w:eastAsia="仿宋_GB2312" w:cs="仿宋_GB2312"/>
                <w:color w:val="auto"/>
                <w:sz w:val="24"/>
                <w:szCs w:val="22"/>
              </w:rPr>
              <w:t>，新建生态公厕6座；绿化工程1项，绿地建设面积20万</w:t>
            </w:r>
            <w:r>
              <w:rPr>
                <w:rFonts w:hint="eastAsia" w:ascii="仿宋_GB2312" w:hAnsi="仿宋_GB2312" w:eastAsia="仿宋_GB2312" w:cs="仿宋_GB2312"/>
                <w:color w:val="auto"/>
                <w:sz w:val="24"/>
                <w:szCs w:val="22"/>
                <w:lang w:eastAsia="zh-CN"/>
              </w:rPr>
              <w:t>平方米</w:t>
            </w:r>
            <w:r>
              <w:rPr>
                <w:rFonts w:hint="eastAsia" w:ascii="仿宋_GB2312" w:hAnsi="仿宋_GB2312" w:eastAsia="仿宋_GB2312" w:cs="仿宋_GB2312"/>
                <w:color w:val="auto"/>
                <w:sz w:val="24"/>
                <w:szCs w:val="22"/>
              </w:rPr>
              <w:t>；道路改造及修复面积15.55万</w:t>
            </w:r>
            <w:r>
              <w:rPr>
                <w:rFonts w:hint="eastAsia" w:ascii="仿宋_GB2312" w:hAnsi="仿宋_GB2312" w:eastAsia="仿宋_GB2312" w:cs="仿宋_GB2312"/>
                <w:color w:val="auto"/>
                <w:sz w:val="24"/>
                <w:szCs w:val="22"/>
                <w:lang w:eastAsia="zh-CN"/>
              </w:rPr>
              <w:t>平方米</w:t>
            </w:r>
            <w:r>
              <w:rPr>
                <w:rFonts w:hint="eastAsia" w:ascii="仿宋_GB2312" w:hAnsi="仿宋_GB2312" w:eastAsia="仿宋_GB2312" w:cs="仿宋_GB2312"/>
                <w:color w:val="auto"/>
                <w:sz w:val="24"/>
                <w:szCs w:val="22"/>
              </w:rPr>
              <w:t>，人行道修复面积34万</w:t>
            </w:r>
            <w:r>
              <w:rPr>
                <w:rFonts w:hint="eastAsia" w:ascii="仿宋_GB2312" w:hAnsi="仿宋_GB2312" w:eastAsia="仿宋_GB2312" w:cs="仿宋_GB2312"/>
                <w:color w:val="auto"/>
                <w:sz w:val="24"/>
                <w:szCs w:val="22"/>
                <w:lang w:eastAsia="zh-CN"/>
              </w:rPr>
              <w:t>平方米</w:t>
            </w:r>
            <w:r>
              <w:rPr>
                <w:rFonts w:hint="eastAsia" w:ascii="仿宋_GB2312" w:hAnsi="仿宋_GB2312" w:eastAsia="仿宋_GB2312" w:cs="仿宋_GB2312"/>
                <w:color w:val="auto"/>
                <w:sz w:val="24"/>
                <w:szCs w:val="22"/>
              </w:rPr>
              <w:t>）。</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120000</w:t>
            </w:r>
          </w:p>
        </w:tc>
        <w:tc>
          <w:tcPr>
            <w:tcW w:w="1616"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南雄市</w:t>
            </w:r>
          </w:p>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18</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南雄市污泥烘干处理处置项目</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新建一套日处理约35吨/天的污泥烘干设施，用于处理珠玑纸业和全市生活污水厂产生的高含水率污泥进行烘干，烘干后污泥直接由华电公司掺烧。</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590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南雄市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人民政府</w:t>
            </w:r>
          </w:p>
        </w:tc>
        <w:tc>
          <w:tcPr>
            <w:tcW w:w="142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2021</w:t>
            </w:r>
            <w:r>
              <w:rPr>
                <w:rStyle w:val="34"/>
                <w:rFonts w:hint="eastAsia" w:ascii="仿宋_GB2312" w:hAnsi="仿宋_GB2312" w:eastAsia="仿宋_GB2312" w:cs="仿宋_GB2312"/>
                <w:color w:val="auto"/>
                <w:lang w:val="en-US" w:eastAsia="zh-CN"/>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164" w:hRule="atLeast"/>
        </w:trPr>
        <w:tc>
          <w:tcPr>
            <w:tcW w:w="789"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19</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乐昌市第二污水处理厂一期及配套管网工程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（1）</w:t>
            </w:r>
            <w:r>
              <w:rPr>
                <w:rStyle w:val="34"/>
                <w:rFonts w:hint="eastAsia" w:ascii="仿宋_GB2312" w:hAnsi="仿宋_GB2312" w:eastAsia="仿宋_GB2312" w:cs="仿宋_GB2312"/>
                <w:color w:val="auto"/>
                <w:lang w:val="en-US" w:eastAsia="zh-CN"/>
              </w:rPr>
              <w:t>乐昌市第二污水处理厂（规划第二污水处理厂）一期建设工程1</w:t>
            </w:r>
            <w:r>
              <w:rPr>
                <w:rFonts w:hint="eastAsia" w:ascii="仿宋_GB2312" w:hAnsi="仿宋_GB2312" w:eastAsia="仿宋_GB2312" w:cs="仿宋_GB2312"/>
                <w:i w:val="0"/>
                <w:color w:val="auto"/>
                <w:kern w:val="2"/>
                <w:sz w:val="24"/>
                <w:szCs w:val="22"/>
                <w:u w:val="none"/>
                <w:lang w:val="en-US" w:eastAsia="zh-CN"/>
              </w:rPr>
              <w:t>）一期工程规模</w:t>
            </w:r>
            <w:r>
              <w:rPr>
                <w:rStyle w:val="34"/>
                <w:rFonts w:hint="eastAsia" w:ascii="仿宋_GB2312" w:hAnsi="仿宋_GB2312" w:eastAsia="仿宋_GB2312" w:cs="仿宋_GB2312"/>
                <w:color w:val="auto"/>
                <w:lang w:val="en-US" w:eastAsia="zh-CN"/>
              </w:rPr>
              <w:t>2.5</w:t>
            </w:r>
            <w:r>
              <w:rPr>
                <w:rFonts w:hint="eastAsia" w:ascii="仿宋_GB2312" w:hAnsi="仿宋_GB2312" w:eastAsia="仿宋_GB2312" w:cs="仿宋_GB2312"/>
                <w:i w:val="0"/>
                <w:color w:val="auto"/>
                <w:kern w:val="2"/>
                <w:sz w:val="24"/>
                <w:szCs w:val="22"/>
                <w:u w:val="none"/>
                <w:lang w:val="en-US" w:eastAsia="zh-CN"/>
              </w:rPr>
              <w:t>万立方米</w:t>
            </w:r>
            <w:r>
              <w:rPr>
                <w:rStyle w:val="34"/>
                <w:rFonts w:hint="eastAsia" w:ascii="仿宋_GB2312" w:hAnsi="仿宋_GB2312" w:eastAsia="仿宋_GB2312" w:cs="仿宋_GB2312"/>
                <w:color w:val="auto"/>
                <w:lang w:val="en-US" w:eastAsia="zh-CN"/>
              </w:rPr>
              <w:t>/天</w:t>
            </w:r>
            <w:r>
              <w:rPr>
                <w:rFonts w:hint="eastAsia" w:ascii="仿宋_GB2312" w:hAnsi="仿宋_GB2312" w:eastAsia="仿宋_GB2312" w:cs="仿宋_GB2312"/>
                <w:i w:val="0"/>
                <w:color w:val="auto"/>
                <w:kern w:val="2"/>
                <w:sz w:val="24"/>
                <w:szCs w:val="22"/>
                <w:u w:val="none"/>
                <w:lang w:val="en-US" w:eastAsia="zh-CN"/>
              </w:rPr>
              <w:t>。征地面积为</w:t>
            </w:r>
            <w:r>
              <w:rPr>
                <w:rStyle w:val="34"/>
                <w:rFonts w:hint="eastAsia" w:ascii="仿宋_GB2312" w:hAnsi="仿宋_GB2312" w:eastAsia="仿宋_GB2312" w:cs="仿宋_GB2312"/>
                <w:color w:val="auto"/>
                <w:lang w:val="en-US" w:eastAsia="zh-CN"/>
              </w:rPr>
              <w:t>85.275</w:t>
            </w:r>
            <w:r>
              <w:rPr>
                <w:rFonts w:hint="eastAsia" w:ascii="仿宋_GB2312" w:hAnsi="仿宋_GB2312" w:eastAsia="仿宋_GB2312" w:cs="仿宋_GB2312"/>
                <w:i w:val="0"/>
                <w:color w:val="auto"/>
                <w:kern w:val="2"/>
                <w:sz w:val="24"/>
                <w:szCs w:val="22"/>
                <w:u w:val="none"/>
                <w:lang w:val="en-US" w:eastAsia="zh-CN"/>
              </w:rPr>
              <w:t>亩。</w:t>
            </w:r>
            <w:r>
              <w:rPr>
                <w:rStyle w:val="34"/>
                <w:rFonts w:hint="eastAsia" w:ascii="仿宋_GB2312" w:hAnsi="仿宋_GB2312" w:eastAsia="仿宋_GB2312" w:cs="仿宋_GB2312"/>
                <w:color w:val="auto"/>
                <w:lang w:val="en-US" w:eastAsia="zh-CN"/>
              </w:rPr>
              <w:t>2</w:t>
            </w:r>
            <w:r>
              <w:rPr>
                <w:rFonts w:hint="eastAsia" w:ascii="仿宋_GB2312" w:hAnsi="仿宋_GB2312" w:eastAsia="仿宋_GB2312" w:cs="仿宋_GB2312"/>
                <w:i w:val="0"/>
                <w:color w:val="auto"/>
                <w:kern w:val="2"/>
                <w:sz w:val="24"/>
                <w:szCs w:val="22"/>
                <w:u w:val="none"/>
                <w:lang w:val="en-US" w:eastAsia="zh-CN"/>
              </w:rPr>
              <w:t>）厂区构筑物、建筑物及道路占地面积分别为</w:t>
            </w:r>
            <w:r>
              <w:rPr>
                <w:rStyle w:val="34"/>
                <w:rFonts w:hint="eastAsia" w:ascii="仿宋_GB2312" w:hAnsi="仿宋_GB2312" w:eastAsia="仿宋_GB2312" w:cs="仿宋_GB2312"/>
                <w:color w:val="auto"/>
                <w:lang w:val="en-US" w:eastAsia="zh-CN"/>
              </w:rPr>
              <w:t>20.26</w:t>
            </w:r>
            <w:r>
              <w:rPr>
                <w:rFonts w:hint="eastAsia" w:ascii="仿宋_GB2312" w:hAnsi="仿宋_GB2312" w:eastAsia="仿宋_GB2312" w:cs="仿宋_GB2312"/>
                <w:i w:val="0"/>
                <w:color w:val="auto"/>
                <w:kern w:val="2"/>
                <w:sz w:val="24"/>
                <w:szCs w:val="22"/>
                <w:u w:val="none"/>
                <w:lang w:val="en-US" w:eastAsia="zh-CN"/>
              </w:rPr>
              <w:t>、</w:t>
            </w:r>
            <w:r>
              <w:rPr>
                <w:rStyle w:val="34"/>
                <w:rFonts w:hint="eastAsia" w:ascii="仿宋_GB2312" w:hAnsi="仿宋_GB2312" w:eastAsia="仿宋_GB2312" w:cs="仿宋_GB2312"/>
                <w:color w:val="auto"/>
                <w:lang w:val="en-US" w:eastAsia="zh-CN"/>
              </w:rPr>
              <w:t>2.77</w:t>
            </w:r>
            <w:r>
              <w:rPr>
                <w:rFonts w:hint="eastAsia" w:ascii="仿宋_GB2312" w:hAnsi="仿宋_GB2312" w:eastAsia="仿宋_GB2312" w:cs="仿宋_GB2312"/>
                <w:i w:val="0"/>
                <w:color w:val="auto"/>
                <w:kern w:val="2"/>
                <w:sz w:val="24"/>
                <w:szCs w:val="22"/>
                <w:u w:val="none"/>
                <w:lang w:val="en-US" w:eastAsia="zh-CN"/>
              </w:rPr>
              <w:t>、</w:t>
            </w:r>
            <w:r>
              <w:rPr>
                <w:rStyle w:val="34"/>
                <w:rFonts w:hint="eastAsia" w:ascii="仿宋_GB2312" w:hAnsi="仿宋_GB2312" w:eastAsia="仿宋_GB2312" w:cs="仿宋_GB2312"/>
                <w:color w:val="auto"/>
                <w:lang w:val="en-US" w:eastAsia="zh-CN"/>
              </w:rPr>
              <w:t>14.27</w:t>
            </w:r>
            <w:r>
              <w:rPr>
                <w:rFonts w:hint="eastAsia" w:ascii="仿宋_GB2312" w:hAnsi="仿宋_GB2312" w:eastAsia="仿宋_GB2312" w:cs="仿宋_GB2312"/>
                <w:i w:val="0"/>
                <w:color w:val="auto"/>
                <w:kern w:val="2"/>
                <w:sz w:val="24"/>
                <w:szCs w:val="22"/>
                <w:u w:val="none"/>
                <w:lang w:val="en-US" w:eastAsia="zh-CN"/>
              </w:rPr>
              <w:t>亩，中水预留用地</w:t>
            </w:r>
            <w:r>
              <w:rPr>
                <w:rStyle w:val="34"/>
                <w:rFonts w:hint="eastAsia" w:ascii="仿宋_GB2312" w:hAnsi="仿宋_GB2312" w:eastAsia="仿宋_GB2312" w:cs="仿宋_GB2312"/>
                <w:color w:val="auto"/>
                <w:lang w:val="en-US" w:eastAsia="zh-CN"/>
              </w:rPr>
              <w:t>11.47</w:t>
            </w:r>
            <w:r>
              <w:rPr>
                <w:rFonts w:hint="eastAsia" w:ascii="仿宋_GB2312" w:hAnsi="仿宋_GB2312" w:eastAsia="仿宋_GB2312" w:cs="仿宋_GB2312"/>
                <w:i w:val="0"/>
                <w:color w:val="auto"/>
                <w:kern w:val="2"/>
                <w:sz w:val="24"/>
                <w:szCs w:val="22"/>
                <w:u w:val="none"/>
                <w:lang w:val="en-US" w:eastAsia="zh-CN"/>
              </w:rPr>
              <w:t>亩。</w:t>
            </w:r>
          </w:p>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（2）</w:t>
            </w:r>
            <w:r>
              <w:rPr>
                <w:rStyle w:val="34"/>
                <w:rFonts w:hint="eastAsia" w:ascii="仿宋_GB2312" w:hAnsi="仿宋_GB2312" w:eastAsia="仿宋_GB2312" w:cs="仿宋_GB2312"/>
                <w:color w:val="auto"/>
                <w:lang w:val="en-US" w:eastAsia="zh-CN"/>
              </w:rPr>
              <w:t>配套管网工程：新建截污干管、次干管、污水压力管管长总计28.65千米</w:t>
            </w:r>
            <w:r>
              <w:rPr>
                <w:rFonts w:hint="eastAsia" w:ascii="仿宋_GB2312" w:hAnsi="仿宋_GB2312" w:eastAsia="仿宋_GB2312" w:cs="仿宋_GB2312"/>
                <w:i w:val="0"/>
                <w:color w:val="auto"/>
                <w:kern w:val="2"/>
                <w:sz w:val="24"/>
                <w:szCs w:val="22"/>
                <w:u w:val="none"/>
                <w:lang w:val="en-US" w:eastAsia="zh-CN"/>
              </w:rPr>
              <w:t>，管径</w:t>
            </w:r>
            <w:r>
              <w:rPr>
                <w:rStyle w:val="34"/>
                <w:rFonts w:hint="eastAsia" w:ascii="仿宋_GB2312" w:hAnsi="仿宋_GB2312" w:eastAsia="仿宋_GB2312" w:cs="仿宋_GB2312"/>
                <w:color w:val="auto"/>
                <w:lang w:val="en-US" w:eastAsia="zh-CN"/>
              </w:rPr>
              <w:t>DN200—DN1400</w:t>
            </w:r>
            <w:r>
              <w:rPr>
                <w:rFonts w:hint="eastAsia" w:ascii="仿宋_GB2312" w:hAnsi="仿宋_GB2312" w:eastAsia="仿宋_GB2312" w:cs="仿宋_GB2312"/>
                <w:i w:val="0"/>
                <w:color w:val="auto"/>
                <w:kern w:val="2"/>
                <w:sz w:val="24"/>
                <w:szCs w:val="22"/>
                <w:u w:val="none"/>
                <w:lang w:val="en-US" w:eastAsia="zh-CN"/>
              </w:rPr>
              <w:t>，同时完成规划区入河排污口整治。新建各种规格的污水检查井总计</w:t>
            </w:r>
            <w:r>
              <w:rPr>
                <w:rStyle w:val="34"/>
                <w:rFonts w:hint="eastAsia" w:ascii="仿宋_GB2312" w:hAnsi="仿宋_GB2312" w:eastAsia="仿宋_GB2312" w:cs="仿宋_GB2312"/>
                <w:color w:val="auto"/>
                <w:lang w:val="en-US" w:eastAsia="zh-CN"/>
              </w:rPr>
              <w:t>483</w:t>
            </w:r>
            <w:r>
              <w:rPr>
                <w:rFonts w:hint="eastAsia" w:ascii="仿宋_GB2312" w:hAnsi="仿宋_GB2312" w:eastAsia="仿宋_GB2312" w:cs="仿宋_GB2312"/>
                <w:i w:val="0"/>
                <w:color w:val="auto"/>
                <w:kern w:val="2"/>
                <w:sz w:val="24"/>
                <w:szCs w:val="22"/>
                <w:u w:val="none"/>
                <w:lang w:val="en-US" w:eastAsia="zh-CN"/>
              </w:rPr>
              <w:t>座；槽式、侧堰式截流井</w:t>
            </w:r>
            <w:r>
              <w:rPr>
                <w:rStyle w:val="34"/>
                <w:rFonts w:hint="eastAsia" w:ascii="仿宋_GB2312" w:hAnsi="仿宋_GB2312" w:eastAsia="仿宋_GB2312" w:cs="仿宋_GB2312"/>
                <w:color w:val="auto"/>
                <w:lang w:val="en-US" w:eastAsia="zh-CN"/>
              </w:rPr>
              <w:t>53</w:t>
            </w:r>
            <w:r>
              <w:rPr>
                <w:rFonts w:hint="eastAsia" w:ascii="仿宋_GB2312" w:hAnsi="仿宋_GB2312" w:eastAsia="仿宋_GB2312" w:cs="仿宋_GB2312"/>
                <w:i w:val="0"/>
                <w:color w:val="auto"/>
                <w:kern w:val="2"/>
                <w:sz w:val="24"/>
                <w:szCs w:val="22"/>
                <w:u w:val="none"/>
                <w:lang w:val="en-US" w:eastAsia="zh-CN"/>
              </w:rPr>
              <w:t>座，过河倒虹管</w:t>
            </w:r>
            <w:r>
              <w:rPr>
                <w:rStyle w:val="34"/>
                <w:rFonts w:hint="eastAsia" w:ascii="仿宋_GB2312" w:hAnsi="仿宋_GB2312" w:eastAsia="仿宋_GB2312" w:cs="仿宋_GB2312"/>
                <w:color w:val="auto"/>
                <w:lang w:val="en-US" w:eastAsia="zh-CN"/>
              </w:rPr>
              <w:t>4</w:t>
            </w:r>
            <w:r>
              <w:rPr>
                <w:rFonts w:hint="eastAsia" w:ascii="仿宋_GB2312" w:hAnsi="仿宋_GB2312" w:eastAsia="仿宋_GB2312" w:cs="仿宋_GB2312"/>
                <w:i w:val="0"/>
                <w:color w:val="auto"/>
                <w:kern w:val="2"/>
                <w:sz w:val="24"/>
                <w:szCs w:val="22"/>
                <w:u w:val="none"/>
                <w:lang w:val="en-US" w:eastAsia="zh-CN"/>
              </w:rPr>
              <w:t>处；新建泵站</w:t>
            </w:r>
            <w:r>
              <w:rPr>
                <w:rStyle w:val="34"/>
                <w:rFonts w:hint="eastAsia" w:ascii="仿宋_GB2312" w:hAnsi="仿宋_GB2312" w:eastAsia="仿宋_GB2312" w:cs="仿宋_GB2312"/>
                <w:color w:val="auto"/>
                <w:lang w:val="en-US" w:eastAsia="zh-CN"/>
              </w:rPr>
              <w:t>4</w:t>
            </w:r>
            <w:r>
              <w:rPr>
                <w:rFonts w:hint="eastAsia" w:ascii="仿宋_GB2312" w:hAnsi="仿宋_GB2312" w:eastAsia="仿宋_GB2312" w:cs="仿宋_GB2312"/>
                <w:i w:val="0"/>
                <w:color w:val="auto"/>
                <w:kern w:val="2"/>
                <w:sz w:val="24"/>
                <w:szCs w:val="22"/>
                <w:u w:val="none"/>
                <w:lang w:val="en-US" w:eastAsia="zh-CN"/>
              </w:rPr>
              <w:t>座、改建泵站</w:t>
            </w:r>
            <w:r>
              <w:rPr>
                <w:rStyle w:val="34"/>
                <w:rFonts w:hint="eastAsia" w:ascii="仿宋_GB2312" w:hAnsi="仿宋_GB2312" w:eastAsia="仿宋_GB2312" w:cs="仿宋_GB2312"/>
                <w:color w:val="auto"/>
                <w:lang w:val="en-US" w:eastAsia="zh-CN"/>
              </w:rPr>
              <w:t>4</w:t>
            </w:r>
            <w:r>
              <w:rPr>
                <w:rFonts w:hint="eastAsia" w:ascii="仿宋_GB2312" w:hAnsi="仿宋_GB2312" w:eastAsia="仿宋_GB2312" w:cs="仿宋_GB2312"/>
                <w:i w:val="0"/>
                <w:color w:val="auto"/>
                <w:kern w:val="2"/>
                <w:sz w:val="24"/>
                <w:szCs w:val="22"/>
                <w:u w:val="none"/>
                <w:lang w:val="en-US" w:eastAsia="zh-CN"/>
              </w:rPr>
              <w:t>座。</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30502</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乐昌市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人民政府</w:t>
            </w:r>
          </w:p>
        </w:tc>
        <w:tc>
          <w:tcPr>
            <w:tcW w:w="142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2021</w:t>
            </w:r>
            <w:r>
              <w:rPr>
                <w:rStyle w:val="34"/>
                <w:rFonts w:hint="eastAsia" w:ascii="仿宋_GB2312" w:hAnsi="仿宋_GB2312" w:eastAsia="仿宋_GB2312" w:cs="仿宋_GB2312"/>
                <w:color w:val="auto"/>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20</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乐昌市城东片区雨污管网工程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对城区集污管网进行提升改造，同时完成入河排口整治。</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12121</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乐昌市</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人民政府</w:t>
            </w:r>
          </w:p>
        </w:tc>
        <w:tc>
          <w:tcPr>
            <w:tcW w:w="142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21</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翁源县城城镇污水厂及管网配套工程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新城区污水厂及污水管网配套基础设施建设和旧城区管网提升工程。</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50000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翁源县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人民政府</w:t>
            </w:r>
          </w:p>
        </w:tc>
        <w:tc>
          <w:tcPr>
            <w:tcW w:w="142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2021</w:t>
            </w:r>
            <w:r>
              <w:rPr>
                <w:rStyle w:val="34"/>
                <w:rFonts w:hint="eastAsia" w:ascii="仿宋_GB2312" w:hAnsi="仿宋_GB2312" w:eastAsia="仿宋_GB2312" w:cs="仿宋_GB2312"/>
                <w:color w:val="auto"/>
                <w:lang w:val="en-US" w:eastAsia="zh-CN"/>
              </w:rPr>
              <w:t>—2052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22</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新丰县第二污水处理厂建设工程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包括新增25000吨/天的处理和建设</w:t>
            </w:r>
            <w:r>
              <w:rPr>
                <w:rStyle w:val="34"/>
                <w:rFonts w:hint="eastAsia" w:ascii="仿宋_GB2312" w:hAnsi="仿宋_GB2312" w:eastAsia="仿宋_GB2312" w:cs="仿宋_GB2312"/>
                <w:color w:val="auto"/>
                <w:lang w:val="en-US" w:eastAsia="zh-CN"/>
              </w:rPr>
              <w:t>15千米</w:t>
            </w:r>
            <w:r>
              <w:rPr>
                <w:rFonts w:hint="eastAsia" w:ascii="仿宋_GB2312" w:hAnsi="仿宋_GB2312" w:eastAsia="仿宋_GB2312" w:cs="仿宋_GB2312"/>
                <w:i w:val="0"/>
                <w:color w:val="auto"/>
                <w:kern w:val="2"/>
                <w:sz w:val="24"/>
                <w:szCs w:val="22"/>
                <w:u w:val="none"/>
                <w:lang w:val="en-US" w:eastAsia="zh-CN"/>
              </w:rPr>
              <w:t>的集污管网。</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default"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25938</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新丰县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人民政府</w:t>
            </w:r>
          </w:p>
        </w:tc>
        <w:tc>
          <w:tcPr>
            <w:tcW w:w="142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2020</w:t>
            </w:r>
            <w:r>
              <w:rPr>
                <w:rStyle w:val="34"/>
                <w:rFonts w:hint="eastAsia" w:ascii="仿宋_GB2312" w:hAnsi="仿宋_GB2312" w:eastAsia="仿宋_GB2312" w:cs="仿宋_GB2312"/>
                <w:color w:val="auto"/>
                <w:lang w:val="en-US" w:eastAsia="zh-CN"/>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tcBorders>
              <w:bottom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23</w:t>
            </w:r>
          </w:p>
        </w:tc>
        <w:tc>
          <w:tcPr>
            <w:tcW w:w="2261" w:type="dxa"/>
            <w:tcBorders>
              <w:bottom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新丰江流域水环境综合治理工程</w:t>
            </w:r>
          </w:p>
        </w:tc>
        <w:tc>
          <w:tcPr>
            <w:tcW w:w="6660" w:type="dxa"/>
            <w:tcBorders>
              <w:bottom w:val="single" w:color="auto" w:sz="4" w:space="0"/>
            </w:tcBorders>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新建污水管道DN300</w:t>
            </w:r>
            <w:r>
              <w:rPr>
                <w:rStyle w:val="34"/>
                <w:rFonts w:hint="eastAsia" w:ascii="仿宋_GB2312" w:hAnsi="仿宋_GB2312" w:eastAsia="仿宋_GB2312" w:cs="仿宋_GB2312"/>
                <w:color w:val="auto"/>
                <w:lang w:val="en-US" w:eastAsia="zh-CN"/>
              </w:rPr>
              <w:t>—DN1200</w:t>
            </w:r>
            <w:r>
              <w:rPr>
                <w:rFonts w:hint="eastAsia" w:ascii="仿宋_GB2312" w:hAnsi="仿宋_GB2312" w:eastAsia="仿宋_GB2312" w:cs="仿宋_GB2312"/>
                <w:i w:val="0"/>
                <w:color w:val="auto"/>
                <w:kern w:val="2"/>
                <w:sz w:val="24"/>
                <w:szCs w:val="22"/>
                <w:u w:val="none"/>
                <w:lang w:val="en-US" w:eastAsia="zh-CN"/>
              </w:rPr>
              <w:t>，总长约</w:t>
            </w:r>
            <w:r>
              <w:rPr>
                <w:rStyle w:val="34"/>
                <w:rFonts w:hint="eastAsia" w:ascii="仿宋_GB2312" w:hAnsi="仿宋_GB2312" w:eastAsia="仿宋_GB2312" w:cs="仿宋_GB2312"/>
                <w:color w:val="auto"/>
                <w:lang w:val="en-US" w:eastAsia="zh-CN"/>
              </w:rPr>
              <w:t>31.97千米</w:t>
            </w:r>
            <w:r>
              <w:rPr>
                <w:rFonts w:hint="eastAsia" w:ascii="仿宋_GB2312" w:hAnsi="仿宋_GB2312" w:eastAsia="仿宋_GB2312" w:cs="仿宋_GB2312"/>
                <w:i w:val="0"/>
                <w:color w:val="auto"/>
                <w:kern w:val="2"/>
                <w:sz w:val="24"/>
                <w:szCs w:val="22"/>
                <w:u w:val="none"/>
                <w:lang w:val="en-US" w:eastAsia="zh-CN"/>
              </w:rPr>
              <w:t>；新建</w:t>
            </w:r>
            <w:r>
              <w:rPr>
                <w:rStyle w:val="34"/>
                <w:rFonts w:hint="eastAsia" w:ascii="仿宋_GB2312" w:hAnsi="仿宋_GB2312" w:eastAsia="仿宋_GB2312" w:cs="仿宋_GB2312"/>
                <w:color w:val="auto"/>
                <w:lang w:val="en-US" w:eastAsia="zh-CN"/>
              </w:rPr>
              <w:t>d600—d1800</w:t>
            </w:r>
            <w:r>
              <w:rPr>
                <w:rFonts w:hint="eastAsia" w:ascii="仿宋_GB2312" w:hAnsi="仿宋_GB2312" w:eastAsia="仿宋_GB2312" w:cs="仿宋_GB2312"/>
                <w:i w:val="0"/>
                <w:color w:val="auto"/>
                <w:kern w:val="2"/>
                <w:sz w:val="24"/>
                <w:szCs w:val="22"/>
                <w:u w:val="none"/>
                <w:lang w:val="en-US" w:eastAsia="zh-CN"/>
              </w:rPr>
              <w:t>雨水干支管，总长约</w:t>
            </w:r>
            <w:r>
              <w:rPr>
                <w:rStyle w:val="34"/>
                <w:rFonts w:hint="eastAsia" w:ascii="仿宋_GB2312" w:hAnsi="仿宋_GB2312" w:eastAsia="仿宋_GB2312" w:cs="仿宋_GB2312"/>
                <w:color w:val="auto"/>
                <w:lang w:val="en-US" w:eastAsia="zh-CN"/>
              </w:rPr>
              <w:t>11.54千米</w:t>
            </w:r>
            <w:r>
              <w:rPr>
                <w:rFonts w:hint="eastAsia" w:ascii="仿宋_GB2312" w:hAnsi="仿宋_GB2312" w:eastAsia="仿宋_GB2312" w:cs="仿宋_GB2312"/>
                <w:i w:val="0"/>
                <w:color w:val="auto"/>
                <w:kern w:val="2"/>
                <w:sz w:val="24"/>
                <w:szCs w:val="22"/>
                <w:u w:val="none"/>
                <w:lang w:val="en-US" w:eastAsia="zh-CN"/>
              </w:rPr>
              <w:t>；新建四段截洪渠总长</w:t>
            </w:r>
            <w:r>
              <w:rPr>
                <w:rStyle w:val="34"/>
                <w:rFonts w:hint="eastAsia" w:ascii="仿宋_GB2312" w:hAnsi="仿宋_GB2312" w:eastAsia="仿宋_GB2312" w:cs="仿宋_GB2312"/>
                <w:color w:val="auto"/>
                <w:lang w:val="en-US" w:eastAsia="zh-CN"/>
              </w:rPr>
              <w:t>7965米</w:t>
            </w:r>
            <w:r>
              <w:rPr>
                <w:rFonts w:hint="eastAsia" w:ascii="仿宋_GB2312" w:hAnsi="仿宋_GB2312" w:eastAsia="仿宋_GB2312" w:cs="仿宋_GB2312"/>
                <w:i w:val="0"/>
                <w:color w:val="auto"/>
                <w:kern w:val="2"/>
                <w:sz w:val="24"/>
                <w:szCs w:val="22"/>
                <w:u w:val="none"/>
                <w:lang w:val="en-US" w:eastAsia="zh-CN"/>
              </w:rPr>
              <w:t>；排涝河涌和排水管渠改造总长</w:t>
            </w:r>
            <w:r>
              <w:rPr>
                <w:rStyle w:val="34"/>
                <w:rFonts w:hint="eastAsia" w:ascii="仿宋_GB2312" w:hAnsi="仿宋_GB2312" w:eastAsia="仿宋_GB2312" w:cs="仿宋_GB2312"/>
                <w:color w:val="auto"/>
                <w:lang w:val="en-US" w:eastAsia="zh-CN"/>
              </w:rPr>
              <w:t>9000米</w:t>
            </w:r>
            <w:r>
              <w:rPr>
                <w:rFonts w:hint="eastAsia" w:ascii="仿宋_GB2312" w:hAnsi="仿宋_GB2312" w:eastAsia="仿宋_GB2312" w:cs="仿宋_GB2312"/>
                <w:i w:val="0"/>
                <w:color w:val="auto"/>
                <w:kern w:val="2"/>
                <w:sz w:val="24"/>
                <w:szCs w:val="22"/>
                <w:u w:val="none"/>
                <w:lang w:val="en-US" w:eastAsia="zh-CN"/>
              </w:rPr>
              <w:t>。</w:t>
            </w:r>
          </w:p>
        </w:tc>
        <w:tc>
          <w:tcPr>
            <w:tcW w:w="1473" w:type="dxa"/>
            <w:tcBorders>
              <w:bottom w:val="single" w:color="auto" w:sz="4" w:space="0"/>
            </w:tcBorders>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31000</w:t>
            </w:r>
          </w:p>
        </w:tc>
        <w:tc>
          <w:tcPr>
            <w:tcW w:w="1616" w:type="dxa"/>
            <w:tcBorders>
              <w:bottom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新丰县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人民政府</w:t>
            </w:r>
          </w:p>
        </w:tc>
        <w:tc>
          <w:tcPr>
            <w:tcW w:w="1421" w:type="dxa"/>
            <w:tcBorders>
              <w:bottom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2020</w:t>
            </w:r>
            <w:r>
              <w:rPr>
                <w:rStyle w:val="34"/>
                <w:rFonts w:hint="eastAsia" w:ascii="仿宋_GB2312" w:hAnsi="仿宋_GB2312" w:eastAsia="仿宋_GB2312" w:cs="仿宋_GB2312"/>
                <w:color w:val="auto"/>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tcBorders>
              <w:top w:val="single" w:color="auto" w:sz="4" w:space="0"/>
              <w:left w:val="single" w:color="auto" w:sz="4" w:space="0"/>
              <w:bottom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color w:val="auto"/>
                <w:sz w:val="24"/>
                <w:szCs w:val="22"/>
                <w:lang w:val="en-US" w:eastAsia="zh-CN"/>
              </w:rPr>
              <w:t>24</w:t>
            </w:r>
          </w:p>
        </w:tc>
        <w:tc>
          <w:tcPr>
            <w:tcW w:w="2261" w:type="dxa"/>
            <w:tcBorders>
              <w:top w:val="single" w:color="auto" w:sz="4" w:space="0"/>
              <w:bottom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乳源瑶族自治县城镇垃圾污水处理项目</w:t>
            </w:r>
          </w:p>
        </w:tc>
        <w:tc>
          <w:tcPr>
            <w:tcW w:w="6660" w:type="dxa"/>
            <w:tcBorders>
              <w:top w:val="single" w:color="auto" w:sz="4" w:space="0"/>
              <w:bottom w:val="single" w:color="auto" w:sz="4" w:space="0"/>
            </w:tcBorders>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sz w:val="24"/>
                <w:szCs w:val="22"/>
              </w:rPr>
            </w:pPr>
            <w:r>
              <w:rPr>
                <w:rFonts w:hint="eastAsia" w:ascii="仿宋_GB2312" w:hAnsi="仿宋_GB2312" w:eastAsia="仿宋_GB2312" w:cs="仿宋_GB2312"/>
                <w:i w:val="0"/>
                <w:color w:val="auto"/>
                <w:kern w:val="2"/>
                <w:sz w:val="24"/>
                <w:szCs w:val="22"/>
                <w:u w:val="none"/>
                <w:lang w:val="en-US" w:eastAsia="zh-CN"/>
              </w:rPr>
              <w:t>建设城镇垃圾处理工程、生活污水处理厂二期工程、污水处理环境综合整治工程、建污水管网94千米及厂区设施补短板工程、农村生活污水处理设施。</w:t>
            </w:r>
          </w:p>
        </w:tc>
        <w:tc>
          <w:tcPr>
            <w:tcW w:w="1473" w:type="dxa"/>
            <w:tcBorders>
              <w:top w:val="single" w:color="auto" w:sz="4" w:space="0"/>
              <w:bottom w:val="single" w:color="auto" w:sz="4" w:space="0"/>
            </w:tcBorders>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25000</w:t>
            </w:r>
          </w:p>
        </w:tc>
        <w:tc>
          <w:tcPr>
            <w:tcW w:w="1616" w:type="dxa"/>
            <w:tcBorders>
              <w:top w:val="single" w:color="auto" w:sz="4" w:space="0"/>
              <w:bottom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乳源瑶族</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i w:val="0"/>
                <w:color w:val="auto"/>
                <w:kern w:val="2"/>
                <w:sz w:val="24"/>
                <w:szCs w:val="22"/>
                <w:u w:val="none"/>
                <w:lang w:val="en-US" w:eastAsia="zh-CN"/>
              </w:rPr>
            </w:pPr>
            <w:r>
              <w:rPr>
                <w:rFonts w:hint="eastAsia" w:ascii="仿宋_GB2312" w:hAnsi="仿宋_GB2312" w:eastAsia="仿宋_GB2312" w:cs="仿宋_GB2312"/>
                <w:i w:val="0"/>
                <w:color w:val="auto"/>
                <w:kern w:val="2"/>
                <w:sz w:val="24"/>
                <w:szCs w:val="22"/>
                <w:u w:val="none"/>
                <w:lang w:val="en-US" w:eastAsia="zh-CN"/>
              </w:rPr>
              <w:t>自治县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人民政府</w:t>
            </w:r>
          </w:p>
        </w:tc>
        <w:tc>
          <w:tcPr>
            <w:tcW w:w="1421" w:type="dxa"/>
            <w:tcBorders>
              <w:top w:val="single" w:color="auto" w:sz="4" w:space="0"/>
              <w:bottom w:val="single" w:color="auto" w:sz="4" w:space="0"/>
              <w:right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sz w:val="24"/>
                <w:szCs w:val="22"/>
                <w:lang w:val="en-US" w:eastAsia="zh-CN"/>
              </w:rPr>
            </w:pPr>
            <w:r>
              <w:rPr>
                <w:rFonts w:hint="eastAsia" w:ascii="仿宋_GB2312" w:hAnsi="仿宋_GB2312" w:eastAsia="仿宋_GB2312" w:cs="仿宋_GB2312"/>
                <w:i w:val="0"/>
                <w:color w:val="auto"/>
                <w:kern w:val="2"/>
                <w:sz w:val="24"/>
                <w:szCs w:val="22"/>
                <w:u w:val="none"/>
                <w:lang w:val="en-US" w:eastAsia="zh-CN"/>
              </w:rPr>
              <w:t>2021</w:t>
            </w:r>
            <w:r>
              <w:rPr>
                <w:rStyle w:val="34"/>
                <w:rFonts w:hint="eastAsia" w:ascii="仿宋_GB2312" w:hAnsi="仿宋_GB2312" w:eastAsia="仿宋_GB2312" w:cs="仿宋_GB2312"/>
                <w:color w:val="auto"/>
                <w:lang w:val="en-US" w:eastAsia="zh-CN"/>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10" w:type="dxa"/>
            <w:gridSpan w:val="3"/>
            <w:tcBorders>
              <w:top w:val="single" w:color="auto" w:sz="4" w:space="0"/>
              <w:left w:val="single" w:color="auto" w:sz="4" w:space="0"/>
              <w:bottom w:val="single" w:color="auto" w:sz="4" w:space="0"/>
            </w:tcBorders>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（三）</w:t>
            </w:r>
            <w:r>
              <w:rPr>
                <w:rFonts w:hint="eastAsia" w:ascii="仿宋_GB2312" w:hAnsi="仿宋_GB2312" w:eastAsia="仿宋_GB2312" w:cs="仿宋_GB2312"/>
                <w:b/>
                <w:bCs/>
                <w:color w:val="auto"/>
              </w:rPr>
              <w:t>大气污染综合防治</w:t>
            </w:r>
            <w:r>
              <w:rPr>
                <w:rFonts w:hint="eastAsia" w:ascii="仿宋_GB2312" w:hAnsi="仿宋_GB2312" w:eastAsia="仿宋_GB2312" w:cs="仿宋_GB2312"/>
                <w:b/>
                <w:bCs/>
                <w:color w:val="auto"/>
                <w:lang w:eastAsia="zh-CN"/>
              </w:rPr>
              <w:t>（共</w:t>
            </w:r>
            <w:r>
              <w:rPr>
                <w:rFonts w:hint="eastAsia" w:ascii="仿宋_GB2312" w:hAnsi="仿宋_GB2312" w:eastAsia="仿宋_GB2312" w:cs="仿宋_GB2312"/>
                <w:b/>
                <w:bCs/>
                <w:color w:val="auto"/>
                <w:lang w:val="en-US" w:eastAsia="zh-CN"/>
              </w:rPr>
              <w:t>6项</w:t>
            </w:r>
            <w:r>
              <w:rPr>
                <w:rFonts w:hint="eastAsia" w:ascii="仿宋_GB2312" w:hAnsi="仿宋_GB2312" w:eastAsia="仿宋_GB2312" w:cs="仿宋_GB2312"/>
                <w:b/>
                <w:bCs/>
                <w:color w:val="auto"/>
                <w:lang w:eastAsia="zh-CN"/>
              </w:rPr>
              <w:t>）</w:t>
            </w:r>
          </w:p>
        </w:tc>
        <w:tc>
          <w:tcPr>
            <w:tcW w:w="1473" w:type="dxa"/>
            <w:tcBorders>
              <w:top w:val="single" w:color="auto" w:sz="4" w:space="0"/>
              <w:bottom w:val="single" w:color="auto" w:sz="4" w:space="0"/>
            </w:tcBorders>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b/>
                <w:bCs/>
                <w:color w:val="auto"/>
                <w:lang w:val="en-US"/>
              </w:rPr>
            </w:pPr>
            <w:r>
              <w:rPr>
                <w:rFonts w:hint="eastAsia" w:ascii="仿宋_GB2312" w:hAnsi="仿宋_GB2312" w:eastAsia="仿宋_GB2312" w:cs="仿宋_GB2312"/>
                <w:b/>
                <w:bCs/>
                <w:color w:val="auto"/>
                <w:lang w:val="en-US" w:eastAsia="zh-CN"/>
              </w:rPr>
              <w:t>51558</w:t>
            </w:r>
          </w:p>
        </w:tc>
        <w:tc>
          <w:tcPr>
            <w:tcW w:w="3037" w:type="dxa"/>
            <w:gridSpan w:val="2"/>
            <w:tcBorders>
              <w:top w:val="single" w:color="auto" w:sz="4" w:space="0"/>
              <w:bottom w:val="single" w:color="auto" w:sz="4" w:space="0"/>
              <w:right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25</w:t>
            </w:r>
          </w:p>
        </w:tc>
        <w:tc>
          <w:tcPr>
            <w:tcW w:w="2261" w:type="dxa"/>
            <w:tcBorders>
              <w:top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b w:val="0"/>
                <w:bCs w:val="0"/>
                <w:color w:val="auto"/>
                <w:lang w:eastAsia="zh-CN"/>
              </w:rPr>
            </w:pPr>
            <w:r>
              <w:rPr>
                <w:rFonts w:hint="eastAsia" w:ascii="仿宋_GB2312" w:hAnsi="仿宋_GB2312" w:eastAsia="仿宋_GB2312" w:cs="仿宋_GB2312"/>
                <w:b w:val="0"/>
                <w:bCs w:val="0"/>
                <w:color w:val="auto"/>
                <w:sz w:val="24"/>
                <w:szCs w:val="24"/>
              </w:rPr>
              <w:t>二氧化碳捕集项目</w:t>
            </w:r>
          </w:p>
        </w:tc>
        <w:tc>
          <w:tcPr>
            <w:tcW w:w="6660"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jc w:val="left"/>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sz w:val="24"/>
                <w:szCs w:val="24"/>
                <w:lang w:eastAsia="zh-CN"/>
              </w:rPr>
              <w:t>国粤韶关电力有限公司新建</w:t>
            </w:r>
            <w:r>
              <w:rPr>
                <w:rFonts w:hint="eastAsia" w:ascii="仿宋_GB2312" w:hAnsi="仿宋_GB2312" w:eastAsia="仿宋_GB2312" w:cs="仿宋_GB2312"/>
                <w:color w:val="auto"/>
                <w:sz w:val="24"/>
                <w:szCs w:val="24"/>
              </w:rPr>
              <w:t>10万吨/年CO</w:t>
            </w:r>
            <w:r>
              <w:rPr>
                <w:rFonts w:hint="eastAsia" w:ascii="仿宋_GB2312" w:hAnsi="仿宋_GB2312" w:eastAsia="仿宋_GB2312" w:cs="仿宋_GB2312"/>
                <w:color w:val="auto"/>
                <w:sz w:val="24"/>
                <w:szCs w:val="24"/>
                <w:vertAlign w:val="subscript"/>
              </w:rPr>
              <w:t>2</w:t>
            </w:r>
            <w:r>
              <w:rPr>
                <w:rFonts w:hint="eastAsia" w:ascii="仿宋_GB2312" w:hAnsi="仿宋_GB2312" w:eastAsia="仿宋_GB2312" w:cs="仿宋_GB2312"/>
                <w:color w:val="auto"/>
                <w:sz w:val="24"/>
                <w:szCs w:val="24"/>
              </w:rPr>
              <w:t>捕集装置及4万吨干冰生产装置</w:t>
            </w:r>
            <w:r>
              <w:rPr>
                <w:rFonts w:hint="eastAsia" w:ascii="仿宋_GB2312" w:hAnsi="仿宋_GB2312" w:eastAsia="仿宋_GB2312" w:cs="仿宋_GB2312"/>
                <w:color w:val="auto"/>
                <w:sz w:val="24"/>
                <w:szCs w:val="24"/>
                <w:lang w:eastAsia="zh-CN"/>
              </w:rPr>
              <w:t>项目</w:t>
            </w:r>
          </w:p>
        </w:tc>
        <w:tc>
          <w:tcPr>
            <w:tcW w:w="1473"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12000</w:t>
            </w:r>
          </w:p>
        </w:tc>
        <w:tc>
          <w:tcPr>
            <w:tcW w:w="1616" w:type="dxa"/>
            <w:tcBorders>
              <w:top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国粤</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（韶关）电力</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有限公司</w:t>
            </w:r>
          </w:p>
        </w:tc>
        <w:tc>
          <w:tcPr>
            <w:tcW w:w="1421"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26</w:t>
            </w:r>
          </w:p>
        </w:tc>
        <w:tc>
          <w:tcPr>
            <w:tcW w:w="2261" w:type="dxa"/>
            <w:tcBorders>
              <w:top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b w:val="0"/>
                <w:bCs w:val="0"/>
                <w:color w:val="auto"/>
                <w:lang w:eastAsia="zh-CN"/>
              </w:rPr>
            </w:pPr>
            <w:r>
              <w:rPr>
                <w:rFonts w:hint="eastAsia" w:ascii="仿宋_GB2312" w:hAnsi="仿宋_GB2312" w:eastAsia="仿宋_GB2312" w:cs="仿宋_GB2312"/>
                <w:b w:val="0"/>
                <w:bCs w:val="0"/>
                <w:color w:val="auto"/>
                <w:lang w:val="en-US" w:eastAsia="zh-CN"/>
              </w:rPr>
              <w:t>冶炼</w:t>
            </w:r>
            <w:r>
              <w:rPr>
                <w:rFonts w:hint="eastAsia" w:ascii="仿宋_GB2312" w:hAnsi="仿宋_GB2312" w:eastAsia="仿宋_GB2312" w:cs="仿宋_GB2312"/>
                <w:b w:val="0"/>
                <w:bCs w:val="0"/>
                <w:color w:val="auto"/>
                <w:lang w:eastAsia="zh-CN"/>
              </w:rPr>
              <w:t>燃烧技术</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b w:val="0"/>
                <w:bCs w:val="0"/>
                <w:color w:val="auto"/>
                <w:lang w:eastAsia="zh-CN"/>
              </w:rPr>
            </w:pPr>
            <w:r>
              <w:rPr>
                <w:rFonts w:hint="eastAsia" w:ascii="仿宋_GB2312" w:hAnsi="仿宋_GB2312" w:eastAsia="仿宋_GB2312" w:cs="仿宋_GB2312"/>
                <w:b w:val="0"/>
                <w:bCs w:val="0"/>
                <w:color w:val="auto"/>
                <w:lang w:eastAsia="zh-CN"/>
              </w:rPr>
              <w:t>改造项目</w:t>
            </w:r>
          </w:p>
        </w:tc>
        <w:tc>
          <w:tcPr>
            <w:tcW w:w="6660"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深圳市中金岭南韶关冶炼厂锌精馏车间多孔介质燃烧技术改造，提高燃烧效率，预计每年节省天然气用量300多万立方米，大大降低氮氧化物和碳排放量</w:t>
            </w:r>
          </w:p>
        </w:tc>
        <w:tc>
          <w:tcPr>
            <w:tcW w:w="1473"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676</w:t>
            </w:r>
          </w:p>
        </w:tc>
        <w:tc>
          <w:tcPr>
            <w:tcW w:w="1616" w:type="dxa"/>
            <w:tcBorders>
              <w:top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深圳市中金岭南韶关</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冶炼厂</w:t>
            </w:r>
          </w:p>
        </w:tc>
        <w:tc>
          <w:tcPr>
            <w:tcW w:w="1421"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sz w:val="24"/>
                <w:szCs w:val="22"/>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2</w:t>
            </w:r>
            <w:r>
              <w:rPr>
                <w:rFonts w:hint="eastAsia" w:ascii="仿宋_GB2312" w:hAnsi="仿宋_GB2312" w:eastAsia="仿宋_GB2312" w:cs="仿宋_GB2312"/>
                <w:color w:val="auto"/>
                <w:lang w:val="en-US" w:eastAsia="zh-CN"/>
              </w:rPr>
              <w:t>7</w:t>
            </w:r>
          </w:p>
        </w:tc>
        <w:tc>
          <w:tcPr>
            <w:tcW w:w="2261" w:type="dxa"/>
            <w:tcBorders>
              <w:top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钢铁行业超低</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排放改造项目</w:t>
            </w:r>
          </w:p>
        </w:tc>
        <w:tc>
          <w:tcPr>
            <w:tcW w:w="6660" w:type="dxa"/>
            <w:tcBorders>
              <w:top w:val="single" w:color="auto" w:sz="4" w:space="0"/>
            </w:tcBorders>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宝武集团广东韶关钢铁集团有限公司进行超低排放改造</w:t>
            </w:r>
            <w:r>
              <w:rPr>
                <w:rFonts w:hint="eastAsia" w:ascii="仿宋_GB2312" w:hAnsi="仿宋_GB2312" w:eastAsia="仿宋_GB2312" w:cs="仿宋_GB2312"/>
                <w:color w:val="auto"/>
                <w:lang w:eastAsia="zh-CN"/>
              </w:rPr>
              <w:t>。</w:t>
            </w:r>
          </w:p>
        </w:tc>
        <w:tc>
          <w:tcPr>
            <w:tcW w:w="1473"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5000</w:t>
            </w:r>
          </w:p>
        </w:tc>
        <w:tc>
          <w:tcPr>
            <w:tcW w:w="1616" w:type="dxa"/>
            <w:tcBorders>
              <w:top w:val="single" w:color="auto" w:sz="4" w:space="0"/>
            </w:tcBorders>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韶关</w:t>
            </w:r>
            <w:r>
              <w:rPr>
                <w:rFonts w:hint="eastAsia" w:ascii="仿宋_GB2312" w:hAnsi="仿宋_GB2312" w:eastAsia="仿宋_GB2312" w:cs="仿宋_GB2312"/>
                <w:color w:val="auto"/>
                <w:lang w:eastAsia="zh-CN"/>
              </w:rPr>
              <w:t>市生态环境局、</w:t>
            </w:r>
            <w:r>
              <w:rPr>
                <w:rFonts w:hint="eastAsia" w:ascii="仿宋_GB2312" w:hAnsi="仿宋_GB2312" w:eastAsia="仿宋_GB2312" w:cs="仿宋_GB2312"/>
                <w:color w:val="auto"/>
              </w:rPr>
              <w:t>宝武集团广东韶关钢铁集团有限公司</w:t>
            </w:r>
          </w:p>
        </w:tc>
        <w:tc>
          <w:tcPr>
            <w:tcW w:w="1421" w:type="dxa"/>
            <w:tcBorders>
              <w:top w:val="single" w:color="auto" w:sz="4" w:space="0"/>
            </w:tcBorders>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w:t>
            </w:r>
            <w:r>
              <w:rPr>
                <w:rFonts w:hint="eastAsia" w:ascii="仿宋_GB2312" w:hAnsi="仿宋_GB2312" w:eastAsia="仿宋_GB2312" w:cs="仿宋_GB2312"/>
                <w:color w:val="auto"/>
                <w:lang w:val="en-US" w:eastAsia="zh-CN"/>
              </w:rPr>
              <w:t>8</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工业锅炉、炉窑污染综合治理及</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清洁生产</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市区内35蒸吨/小时（不含）以下小型高污染锅炉淘汰；35蒸吨/小时（含）以上工业锅炉提标改造、清洁能源替代；</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根据省级要求加快推进水泥行业</w:t>
            </w:r>
            <w:r>
              <w:rPr>
                <w:rFonts w:hint="eastAsia" w:ascii="仿宋_GB2312" w:hAnsi="仿宋_GB2312" w:eastAsia="仿宋_GB2312" w:cs="仿宋_GB2312"/>
                <w:color w:val="auto"/>
                <w:lang w:eastAsia="zh-CN"/>
              </w:rPr>
              <w:t>超低</w:t>
            </w:r>
            <w:r>
              <w:rPr>
                <w:rFonts w:hint="eastAsia" w:ascii="仿宋_GB2312" w:hAnsi="仿宋_GB2312" w:eastAsia="仿宋_GB2312" w:cs="仿宋_GB2312"/>
                <w:color w:val="auto"/>
              </w:rPr>
              <w:t>排放改造；</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深入推进高耗能设备系统节能改造和流程工业系统节能改造，推进企业清洁生产审核，实现高效清洁循环低碳发展。</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w:t>
            </w:r>
            <w:r>
              <w:rPr>
                <w:rFonts w:hint="eastAsia" w:ascii="仿宋_GB2312" w:hAnsi="仿宋_GB2312" w:eastAsia="仿宋_GB2312" w:cs="仿宋_GB2312"/>
                <w:color w:val="auto"/>
              </w:rPr>
              <w:t>市生态环境局、</w:t>
            </w:r>
            <w:r>
              <w:rPr>
                <w:rFonts w:hint="eastAsia" w:ascii="仿宋_GB2312" w:hAnsi="仿宋_GB2312" w:eastAsia="仿宋_GB2312" w:cs="仿宋_GB2312"/>
                <w:color w:val="auto"/>
                <w:lang w:val="en-US" w:eastAsia="zh-CN"/>
              </w:rPr>
              <w:t>韶关</w:t>
            </w:r>
            <w:r>
              <w:rPr>
                <w:rFonts w:hint="eastAsia" w:ascii="仿宋_GB2312" w:hAnsi="仿宋_GB2312" w:eastAsia="仿宋_GB2312" w:cs="仿宋_GB2312"/>
                <w:color w:val="auto"/>
              </w:rPr>
              <w:t>市工信局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2020</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2</w:t>
            </w:r>
            <w:r>
              <w:rPr>
                <w:rFonts w:hint="eastAsia" w:ascii="仿宋_GB2312" w:hAnsi="仿宋_GB2312" w:eastAsia="仿宋_GB2312" w:cs="仿宋_GB2312"/>
                <w:color w:val="auto"/>
                <w:lang w:val="en-US" w:eastAsia="zh-CN"/>
              </w:rPr>
              <w:t>9</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移动源大气污染防治重点工程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加快市区公共充电基础设施网络建设，加强公共充电桩建设，力争到2022年底</w:t>
            </w:r>
            <w:r>
              <w:rPr>
                <w:rFonts w:hint="eastAsia" w:ascii="仿宋_GB2312" w:hAnsi="仿宋_GB2312" w:eastAsia="仿宋_GB2312" w:cs="仿宋_GB2312"/>
                <w:color w:val="auto"/>
                <w:lang w:val="en-US" w:eastAsia="zh-CN"/>
              </w:rPr>
              <w:t>累计</w:t>
            </w:r>
            <w:r>
              <w:rPr>
                <w:rFonts w:hint="eastAsia" w:ascii="仿宋_GB2312" w:hAnsi="仿宋_GB2312" w:eastAsia="仿宋_GB2312" w:cs="仿宋_GB2312"/>
                <w:color w:val="auto"/>
              </w:rPr>
              <w:t>建设公共充电站不少于25座、充电桩150个；2025年底前公交车电动化率</w:t>
            </w:r>
            <w:r>
              <w:rPr>
                <w:rFonts w:hint="eastAsia" w:ascii="仿宋_GB2312" w:hAnsi="仿宋_GB2312" w:eastAsia="仿宋_GB2312" w:cs="仿宋_GB2312"/>
                <w:color w:val="auto"/>
                <w:lang w:val="en-US" w:eastAsia="zh-CN"/>
              </w:rPr>
              <w:t>达到90</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以上</w:t>
            </w:r>
            <w:r>
              <w:rPr>
                <w:rFonts w:hint="eastAsia" w:ascii="仿宋_GB2312" w:hAnsi="仿宋_GB2312" w:eastAsia="仿宋_GB2312" w:cs="仿宋_GB2312"/>
                <w:color w:val="auto"/>
              </w:rPr>
              <w:t>；</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 xml:space="preserve">公共服务领域公交车、公务车、出租车等，增和更换车辆100%使用新能源汽车或清洁能源汽车； </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社会运营领域轻型物流车、分时租赁车新增和更换车辆100%使用新能源汽车；</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出台新能源车优惠措施，推动私家车</w:t>
            </w:r>
            <w:r>
              <w:rPr>
                <w:rFonts w:hint="eastAsia" w:ascii="仿宋_GB2312" w:hAnsi="仿宋_GB2312" w:eastAsia="仿宋_GB2312" w:cs="仿宋_GB2312"/>
                <w:color w:val="auto"/>
                <w:lang w:eastAsia="zh-CN"/>
              </w:rPr>
              <w:t>向</w:t>
            </w:r>
            <w:r>
              <w:rPr>
                <w:rFonts w:hint="eastAsia" w:ascii="仿宋_GB2312" w:hAnsi="仿宋_GB2312" w:eastAsia="仿宋_GB2312" w:cs="仿宋_GB2312"/>
                <w:color w:val="auto"/>
              </w:rPr>
              <w:t>新能源车转换。</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加快推进市区区机动车遥感监测系统建设；</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加快曲江区港口岸电设施建设；</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加快道路基础设施建设，完成路面硬化，加快韶关市区国道改道建设；</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8</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研究制定构建城市绿色智能交通网络计划，完善城市综合交通规划、设计，大力开展城市道路交通建设、交通结构、交通组织的优化工程，优化城市路网结构，构建精准高效的智慧交通管理体系。健全交通影响评价制度，着力缓解城市道路交通拥堵，减少因城市主干道路、高速重要干道拥堵而加剧的机动车尾气污染。</w:t>
            </w:r>
            <w:r>
              <w:rPr>
                <w:rFonts w:hint="eastAsia" w:ascii="仿宋_GB2312" w:hAnsi="仿宋_GB2312" w:eastAsia="仿宋_GB2312" w:cs="仿宋_GB2312"/>
                <w:color w:val="auto"/>
              </w:rPr>
              <w:br/>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推进韶钢物流公转铁路运输改造工程。</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20000</w:t>
            </w:r>
          </w:p>
        </w:tc>
        <w:tc>
          <w:tcPr>
            <w:tcW w:w="1616" w:type="dxa"/>
            <w:vAlign w:val="center"/>
          </w:tcPr>
          <w:p>
            <w:pPr>
              <w:pStyle w:val="25"/>
              <w:widowControl w:val="0"/>
              <w:wordWrap/>
              <w:adjustRightInd/>
              <w:snapToGrid/>
              <w:spacing w:after="0" w:line="340" w:lineRule="exact"/>
              <w:ind w:left="0" w:leftChars="0" w:right="0" w:firstLine="0" w:firstLineChars="0"/>
              <w:jc w:val="both"/>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w:t>
            </w:r>
            <w:r>
              <w:rPr>
                <w:rFonts w:hint="eastAsia" w:ascii="仿宋_GB2312" w:hAnsi="仿宋_GB2312" w:eastAsia="仿宋_GB2312" w:cs="仿宋_GB2312"/>
                <w:color w:val="auto"/>
              </w:rPr>
              <w:t>市发改局、</w:t>
            </w:r>
            <w:r>
              <w:rPr>
                <w:rFonts w:hint="eastAsia" w:ascii="仿宋_GB2312" w:hAnsi="仿宋_GB2312" w:eastAsia="仿宋_GB2312" w:cs="仿宋_GB2312"/>
                <w:color w:val="auto"/>
                <w:lang w:val="en-US" w:eastAsia="zh-CN"/>
              </w:rPr>
              <w:t>韶关</w:t>
            </w:r>
            <w:r>
              <w:rPr>
                <w:rFonts w:hint="eastAsia" w:ascii="仿宋_GB2312" w:hAnsi="仿宋_GB2312" w:eastAsia="仿宋_GB2312" w:cs="仿宋_GB2312"/>
                <w:color w:val="auto"/>
              </w:rPr>
              <w:t>市交通</w:t>
            </w:r>
            <w:r>
              <w:rPr>
                <w:rFonts w:hint="eastAsia" w:ascii="仿宋_GB2312" w:hAnsi="仿宋_GB2312" w:eastAsia="仿宋_GB2312" w:cs="仿宋_GB2312"/>
                <w:color w:val="auto"/>
                <w:lang w:eastAsia="zh-CN"/>
              </w:rPr>
              <w:t>运输</w:t>
            </w:r>
            <w:r>
              <w:rPr>
                <w:rFonts w:hint="eastAsia" w:ascii="仿宋_GB2312" w:hAnsi="仿宋_GB2312" w:eastAsia="仿宋_GB2312" w:cs="仿宋_GB2312"/>
                <w:color w:val="auto"/>
              </w:rPr>
              <w:t>局、</w:t>
            </w:r>
            <w:r>
              <w:rPr>
                <w:rFonts w:hint="eastAsia" w:ascii="仿宋_GB2312" w:hAnsi="仿宋_GB2312" w:eastAsia="仿宋_GB2312" w:cs="仿宋_GB2312"/>
                <w:color w:val="auto"/>
                <w:lang w:val="en-US" w:eastAsia="zh-CN"/>
              </w:rPr>
              <w:t>韶关</w:t>
            </w:r>
            <w:r>
              <w:rPr>
                <w:rFonts w:hint="eastAsia" w:ascii="仿宋_GB2312" w:hAnsi="仿宋_GB2312" w:eastAsia="仿宋_GB2312" w:cs="仿宋_GB2312"/>
                <w:color w:val="auto"/>
              </w:rPr>
              <w:t>市住建管理局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2020</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rPr>
            </w:pPr>
            <w:r>
              <w:rPr>
                <w:rFonts w:hint="eastAsia" w:ascii="仿宋_GB2312" w:hAnsi="仿宋_GB2312" w:eastAsia="仿宋_GB2312" w:cs="仿宋_GB2312"/>
                <w:color w:val="auto"/>
                <w:lang w:val="en-US" w:eastAsia="zh-CN"/>
              </w:rPr>
              <w:t>30</w:t>
            </w:r>
          </w:p>
        </w:tc>
        <w:tc>
          <w:tcPr>
            <w:tcW w:w="2261"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宝武广东韶钢松山股份有限公司</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屋顶光伏发电</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工程（一期）</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装机容量为28.924</w:t>
            </w:r>
            <w:r>
              <w:rPr>
                <w:rFonts w:hint="eastAsia" w:ascii="仿宋_GB2312" w:hAnsi="仿宋_GB2312" w:eastAsia="仿宋_GB2312" w:cs="仿宋_GB2312"/>
                <w:color w:val="auto"/>
                <w:lang w:eastAsia="zh-CN"/>
              </w:rPr>
              <w:t>兆瓦</w:t>
            </w:r>
            <w:r>
              <w:rPr>
                <w:rFonts w:hint="eastAsia" w:ascii="仿宋_GB2312" w:hAnsi="仿宋_GB2312" w:eastAsia="仿宋_GB2312" w:cs="仿宋_GB2312"/>
                <w:color w:val="auto"/>
              </w:rPr>
              <w:t>，其中彩钢瓦屋面光伏装机容量为27.75</w:t>
            </w:r>
            <w:r>
              <w:rPr>
                <w:rFonts w:hint="eastAsia" w:ascii="仿宋_GB2312" w:hAnsi="仿宋_GB2312" w:eastAsia="仿宋_GB2312" w:cs="仿宋_GB2312"/>
                <w:color w:val="auto"/>
                <w:lang w:eastAsia="zh-CN"/>
              </w:rPr>
              <w:t>兆瓦</w:t>
            </w:r>
            <w:r>
              <w:rPr>
                <w:rFonts w:hint="eastAsia" w:ascii="仿宋_GB2312" w:hAnsi="仿宋_GB2312" w:eastAsia="仿宋_GB2312" w:cs="仿宋_GB2312"/>
                <w:color w:val="auto"/>
              </w:rPr>
              <w:t>、混凝土屋面光伏装机容量为1.056</w:t>
            </w:r>
            <w:r>
              <w:rPr>
                <w:rFonts w:hint="eastAsia" w:ascii="仿宋_GB2312" w:hAnsi="仿宋_GB2312" w:eastAsia="仿宋_GB2312" w:cs="仿宋_GB2312"/>
                <w:color w:val="auto"/>
                <w:lang w:eastAsia="zh-CN"/>
              </w:rPr>
              <w:t>兆瓦</w:t>
            </w:r>
            <w:r>
              <w:rPr>
                <w:rFonts w:hint="eastAsia" w:ascii="仿宋_GB2312" w:hAnsi="仿宋_GB2312" w:eastAsia="仿宋_GB2312" w:cs="仿宋_GB2312"/>
                <w:color w:val="auto"/>
              </w:rPr>
              <w:t>、光伏车棚装机容量为118.3</w:t>
            </w:r>
            <w:r>
              <w:rPr>
                <w:rFonts w:hint="eastAsia" w:ascii="仿宋_GB2312" w:hAnsi="仿宋_GB2312" w:eastAsia="仿宋_GB2312" w:cs="仿宋_GB2312"/>
                <w:color w:val="auto"/>
                <w:lang w:eastAsia="zh-CN"/>
              </w:rPr>
              <w:t>千瓦</w:t>
            </w:r>
            <w:r>
              <w:rPr>
                <w:rFonts w:hint="eastAsia" w:ascii="仿宋_GB2312" w:hAnsi="仿宋_GB2312" w:eastAsia="仿宋_GB2312" w:cs="仿宋_GB2312"/>
                <w:color w:val="auto"/>
              </w:rPr>
              <w:t>。</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11882</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曲江区</w:t>
            </w:r>
            <w:r>
              <w:rPr>
                <w:rFonts w:hint="eastAsia" w:ascii="仿宋_GB2312" w:hAnsi="仿宋_GB2312" w:eastAsia="仿宋_GB2312" w:cs="仿宋_GB2312"/>
                <w:color w:val="auto"/>
                <w:lang w:eastAsia="zh-CN"/>
              </w:rPr>
              <w:t>人民</w:t>
            </w:r>
            <w:r>
              <w:rPr>
                <w:rFonts w:hint="eastAsia" w:ascii="仿宋_GB2312" w:hAnsi="仿宋_GB2312" w:eastAsia="仿宋_GB2312" w:cs="仿宋_GB2312"/>
                <w:color w:val="auto"/>
              </w:rPr>
              <w:t>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10" w:type="dxa"/>
            <w:gridSpan w:val="3"/>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（四）</w:t>
            </w:r>
            <w:r>
              <w:rPr>
                <w:rFonts w:hint="eastAsia" w:ascii="仿宋_GB2312" w:hAnsi="仿宋_GB2312" w:eastAsia="仿宋_GB2312" w:cs="仿宋_GB2312"/>
                <w:b/>
                <w:bCs/>
                <w:color w:val="auto"/>
              </w:rPr>
              <w:t>土壤污染防治和固体废物处理处置</w:t>
            </w:r>
            <w:r>
              <w:rPr>
                <w:rFonts w:hint="eastAsia" w:ascii="仿宋_GB2312" w:hAnsi="仿宋_GB2312" w:eastAsia="仿宋_GB2312" w:cs="仿宋_GB2312"/>
                <w:b/>
                <w:bCs/>
                <w:color w:val="auto"/>
                <w:lang w:eastAsia="zh-CN"/>
              </w:rPr>
              <w:t>（共</w:t>
            </w:r>
            <w:r>
              <w:rPr>
                <w:rFonts w:hint="eastAsia" w:ascii="仿宋_GB2312" w:hAnsi="仿宋_GB2312" w:eastAsia="仿宋_GB2312" w:cs="仿宋_GB2312"/>
                <w:b/>
                <w:bCs/>
                <w:color w:val="auto"/>
                <w:lang w:val="en-US" w:eastAsia="zh-CN"/>
              </w:rPr>
              <w:t>4项</w:t>
            </w:r>
            <w:r>
              <w:rPr>
                <w:rFonts w:hint="eastAsia" w:ascii="仿宋_GB2312" w:hAnsi="仿宋_GB2312" w:eastAsia="仿宋_GB2312" w:cs="仿宋_GB2312"/>
                <w:b/>
                <w:bCs/>
                <w:color w:val="auto"/>
                <w:lang w:eastAsia="zh-CN"/>
              </w:rPr>
              <w:t>）</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206695</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31</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仁化县中金岭南丹霞冶炼厂炼锌渣绿色化升级改造工程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丹霞冶炼厂炼锌渣绿色化升级改造工程，项目达产后，锌冶炼渣处理能力达到28.7万吨/年。</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188095</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仁化县人民政府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32</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韶关市耕地土壤重金属污染成因排查和分析项目</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全市选择2个典型区域，以重金属镉为重点，对影响土壤耕地环境质量的输入因数（污染途径及污染源）和输出因数进行调查监测，识别需要管控的污染成因，提出管控建议,开展管控成效评估，根据成效评估结果，对管控成效不佳的分析具体原因，制定管控对策措施并再次进行成效评估。</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1000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韶关市生态环境局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33</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韶关市省级化工园区地下水环境状况调查评估项目</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深入调查完成韶关市省级级化工园区地下水环境状况调查评估，识别园区主要地下水环境问题，针对性地提出地下水污染防治对策建议，形成相关调查评估报告和图集。</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400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韶关市生态环境局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34</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韶关市垃圾处理厂建设工程</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完成韶关市中心城区餐厨垃圾处理设施建设的同时，推进并完善城区餐厨垃圾收运体系建设，完成厌氧消化处理厂的一期工程建设。</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17200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韶关市住建管理局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9710" w:type="dxa"/>
            <w:gridSpan w:val="3"/>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（五）</w:t>
            </w:r>
            <w:r>
              <w:rPr>
                <w:rFonts w:hint="eastAsia" w:ascii="仿宋_GB2312" w:hAnsi="仿宋_GB2312" w:eastAsia="仿宋_GB2312" w:cs="仿宋_GB2312"/>
                <w:b/>
                <w:bCs/>
                <w:color w:val="auto"/>
              </w:rPr>
              <w:t>监测能力建设</w:t>
            </w:r>
            <w:r>
              <w:rPr>
                <w:rFonts w:hint="eastAsia" w:ascii="仿宋_GB2312" w:hAnsi="仿宋_GB2312" w:eastAsia="仿宋_GB2312" w:cs="仿宋_GB2312"/>
                <w:b/>
                <w:bCs/>
                <w:color w:val="auto"/>
                <w:lang w:eastAsia="zh-CN"/>
              </w:rPr>
              <w:t>（共</w:t>
            </w:r>
            <w:r>
              <w:rPr>
                <w:rFonts w:hint="eastAsia" w:ascii="仿宋_GB2312" w:hAnsi="仿宋_GB2312" w:eastAsia="仿宋_GB2312" w:cs="仿宋_GB2312"/>
                <w:b/>
                <w:bCs/>
                <w:color w:val="auto"/>
                <w:lang w:val="en-US" w:eastAsia="zh-CN"/>
              </w:rPr>
              <w:t>3项</w:t>
            </w:r>
            <w:r>
              <w:rPr>
                <w:rFonts w:hint="eastAsia" w:ascii="仿宋_GB2312" w:hAnsi="仿宋_GB2312" w:eastAsia="仿宋_GB2312" w:cs="仿宋_GB2312"/>
                <w:b/>
                <w:bCs/>
                <w:color w:val="auto"/>
                <w:lang w:eastAsia="zh-CN"/>
              </w:rPr>
              <w:t>）</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11372</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35</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粤北区域环境监控中心环境监控大楼及分析实验室以及韶关市生态环境监测站</w:t>
            </w:r>
            <w:r>
              <w:rPr>
                <w:rFonts w:hint="eastAsia" w:ascii="仿宋_GB2312" w:hAnsi="仿宋_GB2312" w:eastAsia="仿宋_GB2312" w:cs="仿宋_GB2312"/>
                <w:color w:val="auto"/>
                <w:lang w:val="en-US" w:eastAsia="zh-CN"/>
              </w:rPr>
              <w:t>项目</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建设</w:t>
            </w:r>
            <w:r>
              <w:rPr>
                <w:rFonts w:hint="eastAsia" w:ascii="仿宋_GB2312" w:hAnsi="仿宋_GB2312" w:eastAsia="仿宋_GB2312" w:cs="仿宋_GB2312"/>
                <w:color w:val="auto"/>
              </w:rPr>
              <w:t>韶关市生态环境监测站监控大楼</w:t>
            </w:r>
            <w:r>
              <w:rPr>
                <w:rFonts w:hint="eastAsia" w:ascii="仿宋_GB2312" w:hAnsi="仿宋_GB2312" w:eastAsia="仿宋_GB2312" w:cs="仿宋_GB2312"/>
                <w:color w:val="auto"/>
                <w:lang w:val="en-US" w:eastAsia="zh-CN"/>
              </w:rPr>
              <w:t>和</w:t>
            </w:r>
            <w:r>
              <w:rPr>
                <w:rFonts w:hint="eastAsia" w:ascii="仿宋_GB2312" w:hAnsi="仿宋_GB2312" w:eastAsia="仿宋_GB2312" w:cs="仿宋_GB2312"/>
                <w:color w:val="auto"/>
              </w:rPr>
              <w:t>粤北区域环境监控中心监控大楼</w:t>
            </w:r>
            <w:r>
              <w:rPr>
                <w:rFonts w:hint="eastAsia" w:ascii="仿宋_GB2312" w:hAnsi="仿宋_GB2312" w:eastAsia="仿宋_GB2312" w:cs="仿宋_GB2312"/>
                <w:color w:val="auto"/>
                <w:lang w:val="en-US" w:eastAsia="zh-CN"/>
              </w:rPr>
              <w:t>项目。</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9500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广东省韶关生态环境监测中心站</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2022—2024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36</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韶关市应急监测能力建设项目</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配置</w:t>
            </w:r>
            <w:r>
              <w:rPr>
                <w:rFonts w:hint="eastAsia" w:ascii="仿宋_GB2312" w:hAnsi="仿宋_GB2312" w:eastAsia="仿宋_GB2312" w:cs="仿宋_GB2312"/>
                <w:color w:val="auto"/>
              </w:rPr>
              <w:t>一台废水应急监测车、一台废气应急监测车、一台水环境巡航船及配套设备</w:t>
            </w:r>
            <w:r>
              <w:rPr>
                <w:rFonts w:hint="eastAsia" w:ascii="仿宋_GB2312" w:hAnsi="仿宋_GB2312" w:eastAsia="仿宋_GB2312" w:cs="仿宋_GB2312"/>
                <w:color w:val="auto"/>
                <w:lang w:eastAsia="zh-CN"/>
              </w:rPr>
              <w:t>，搭载车载、便携等各类检测仪器，可快速到达现场开展水、气、土壤环境的常规指标、重金属指标和有机物指标现场监测，</w:t>
            </w:r>
            <w:r>
              <w:rPr>
                <w:rFonts w:hint="eastAsia" w:ascii="仿宋_GB2312" w:hAnsi="仿宋_GB2312" w:eastAsia="仿宋_GB2312" w:cs="仿宋_GB2312"/>
                <w:color w:val="auto"/>
              </w:rPr>
              <w:t>提升</w:t>
            </w:r>
            <w:r>
              <w:rPr>
                <w:rFonts w:hint="eastAsia" w:ascii="仿宋_GB2312" w:hAnsi="仿宋_GB2312" w:eastAsia="仿宋_GB2312" w:cs="仿宋_GB2312"/>
                <w:color w:val="auto"/>
                <w:lang w:val="en-US" w:eastAsia="zh-CN"/>
              </w:rPr>
              <w:t>韶关市</w:t>
            </w:r>
            <w:r>
              <w:rPr>
                <w:rFonts w:hint="eastAsia" w:ascii="仿宋_GB2312" w:hAnsi="仿宋_GB2312" w:eastAsia="仿宋_GB2312" w:cs="仿宋_GB2312"/>
                <w:color w:val="auto"/>
              </w:rPr>
              <w:t>环境应急精细化管理水平、响应上级应急管理要求、妥善处理处置各类突发环境事件、防止环境污染特别是对水、气、土壤环境的污染</w:t>
            </w:r>
            <w:r>
              <w:rPr>
                <w:rFonts w:hint="eastAsia" w:ascii="仿宋_GB2312" w:hAnsi="仿宋_GB2312" w:eastAsia="仿宋_GB2312" w:cs="仿宋_GB2312"/>
                <w:color w:val="auto"/>
                <w:lang w:eastAsia="zh-CN"/>
              </w:rPr>
              <w:t>。</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1312</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韶关</w:t>
            </w:r>
            <w:r>
              <w:rPr>
                <w:rFonts w:hint="eastAsia" w:ascii="仿宋_GB2312" w:hAnsi="仿宋_GB2312" w:eastAsia="仿宋_GB2312" w:cs="仿宋_GB2312"/>
                <w:color w:val="auto"/>
              </w:rPr>
              <w:t>市生态环境局</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789"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37</w:t>
            </w:r>
          </w:p>
        </w:tc>
        <w:tc>
          <w:tcPr>
            <w:tcW w:w="2261"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马头工业园环境</w:t>
            </w:r>
          </w:p>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空气VOCs在线</w:t>
            </w:r>
          </w:p>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监测系统</w:t>
            </w:r>
          </w:p>
        </w:tc>
        <w:tc>
          <w:tcPr>
            <w:tcW w:w="6660" w:type="dxa"/>
            <w:vAlign w:val="center"/>
          </w:tcPr>
          <w:p>
            <w:pPr>
              <w:pStyle w:val="25"/>
              <w:widowControl w:val="0"/>
              <w:wordWrap/>
              <w:adjustRightInd/>
              <w:snapToGrid/>
              <w:spacing w:after="0" w:line="340" w:lineRule="exact"/>
              <w:ind w:left="0" w:leftChars="0" w:right="0" w:firstLine="0" w:firstLineChars="0"/>
              <w:jc w:val="left"/>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在马头工业园上风向、下风向各设置一套环境空气VOCs在线监测系统</w:t>
            </w:r>
          </w:p>
        </w:tc>
        <w:tc>
          <w:tcPr>
            <w:tcW w:w="1473"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560</w:t>
            </w:r>
          </w:p>
        </w:tc>
        <w:tc>
          <w:tcPr>
            <w:tcW w:w="1616" w:type="dxa"/>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新丰县</w:t>
            </w:r>
          </w:p>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人民政府</w:t>
            </w:r>
          </w:p>
        </w:tc>
        <w:tc>
          <w:tcPr>
            <w:tcW w:w="1421" w:type="dxa"/>
            <w:vAlign w:val="center"/>
          </w:tcPr>
          <w:p>
            <w:pPr>
              <w:pStyle w:val="25"/>
              <w:widowControl w:val="0"/>
              <w:wordWrap/>
              <w:adjustRightInd/>
              <w:snapToGrid/>
              <w:spacing w:before="0"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9710" w:type="dxa"/>
            <w:gridSpan w:val="3"/>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eastAsia="zh-CN"/>
              </w:rPr>
              <w:t>合计（</w:t>
            </w:r>
            <w:r>
              <w:rPr>
                <w:rFonts w:hint="eastAsia" w:ascii="仿宋_GB2312" w:hAnsi="仿宋_GB2312" w:eastAsia="仿宋_GB2312" w:cs="仿宋_GB2312"/>
                <w:b/>
                <w:bCs/>
                <w:color w:val="auto"/>
                <w:lang w:val="en-US" w:eastAsia="zh-CN"/>
              </w:rPr>
              <w:t>37项</w:t>
            </w:r>
            <w:r>
              <w:rPr>
                <w:rFonts w:hint="eastAsia" w:ascii="仿宋_GB2312" w:hAnsi="仿宋_GB2312" w:eastAsia="仿宋_GB2312" w:cs="仿宋_GB2312"/>
                <w:b/>
                <w:bCs/>
                <w:color w:val="auto"/>
                <w:lang w:eastAsia="zh-CN"/>
              </w:rPr>
              <w:t>）</w:t>
            </w:r>
          </w:p>
        </w:tc>
        <w:tc>
          <w:tcPr>
            <w:tcW w:w="1473" w:type="dxa"/>
            <w:vAlign w:val="center"/>
          </w:tcPr>
          <w:p>
            <w:pPr>
              <w:pStyle w:val="25"/>
              <w:widowControl w:val="0"/>
              <w:wordWrap/>
              <w:adjustRightInd/>
              <w:snapToGrid/>
              <w:spacing w:after="0" w:line="340" w:lineRule="exact"/>
              <w:ind w:left="0" w:leftChars="0" w:right="0" w:firstLine="0" w:firstLineChars="0"/>
              <w:jc w:val="center"/>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713752</w:t>
            </w:r>
          </w:p>
        </w:tc>
        <w:tc>
          <w:tcPr>
            <w:tcW w:w="3037" w:type="dxa"/>
            <w:gridSpan w:val="2"/>
            <w:vAlign w:val="center"/>
          </w:tcPr>
          <w:p>
            <w:pPr>
              <w:pStyle w:val="25"/>
              <w:widowControl w:val="0"/>
              <w:wordWrap/>
              <w:adjustRightInd/>
              <w:snapToGrid/>
              <w:spacing w:after="0" w:line="340" w:lineRule="exact"/>
              <w:ind w:left="0" w:leftChars="0" w:right="0" w:firstLine="0" w:firstLineChars="0"/>
              <w:textAlignment w:val="auto"/>
              <w:outlineLvl w:val="9"/>
              <w:rPr>
                <w:rFonts w:hint="eastAsia" w:ascii="仿宋_GB2312" w:hAnsi="仿宋_GB2312" w:eastAsia="仿宋_GB2312" w:cs="仿宋_GB2312"/>
                <w:color w:val="auto"/>
                <w:lang w:val="en-US" w:eastAsia="zh-CN"/>
              </w:rPr>
            </w:pPr>
          </w:p>
        </w:tc>
      </w:tr>
      <w:bookmarkEnd w:id="2658"/>
      <w:bookmarkEnd w:id="2659"/>
      <w:bookmarkEnd w:id="2660"/>
      <w:bookmarkEnd w:id="2661"/>
    </w:tbl>
    <w:p>
      <w:pPr>
        <w:pStyle w:val="25"/>
        <w:ind w:firstLine="0" w:firstLineChars="0"/>
        <w:jc w:val="left"/>
        <w:rPr>
          <w:rFonts w:hint="eastAsia" w:ascii="仿宋_GB2312" w:hAnsi="仿宋_GB2312" w:eastAsia="仿宋_GB2312" w:cs="仿宋_GB2312"/>
        </w:rPr>
      </w:pPr>
      <w:bookmarkStart w:id="2662" w:name="_Toc80280544"/>
      <w:bookmarkStart w:id="2663" w:name="_Toc320279889"/>
      <w:bookmarkStart w:id="2664" w:name="_Toc8996"/>
      <w:r>
        <w:rPr>
          <w:rFonts w:hint="eastAsia" w:ascii="仿宋_GB2312" w:hAnsi="仿宋_GB2312" w:eastAsia="仿宋_GB2312" w:cs="仿宋_GB2312"/>
        </w:rPr>
        <w:t>注：</w:t>
      </w:r>
      <w:r>
        <w:rPr>
          <w:rFonts w:hint="eastAsia" w:ascii="仿宋_GB2312" w:hAnsi="仿宋_GB2312" w:eastAsia="仿宋_GB2312" w:cs="仿宋_GB2312"/>
          <w:lang w:val="en-US" w:eastAsia="zh-CN"/>
        </w:rPr>
        <w:t>1</w:t>
      </w:r>
      <w:r>
        <w:rPr>
          <w:rFonts w:hint="eastAsia" w:ascii="仿宋_GB2312" w:hAnsi="仿宋_GB2312" w:eastAsia="仿宋_GB2312" w:cs="仿宋_GB2312"/>
          <w:b w:val="0"/>
          <w:bCs w:val="0"/>
          <w:lang w:val="en-US" w:eastAsia="zh-CN"/>
        </w:rPr>
        <w:t>．第（二）部分</w:t>
      </w:r>
      <w:r>
        <w:rPr>
          <w:rFonts w:hint="eastAsia" w:ascii="仿宋_GB2312" w:hAnsi="仿宋_GB2312" w:eastAsia="仿宋_GB2312" w:cs="仿宋_GB2312"/>
          <w:b w:val="0"/>
          <w:bCs w:val="0"/>
        </w:rPr>
        <w:t>城镇生活污水处理设施补短板</w:t>
      </w:r>
      <w:r>
        <w:rPr>
          <w:rFonts w:hint="eastAsia" w:ascii="仿宋_GB2312" w:hAnsi="仿宋_GB2312" w:eastAsia="仿宋_GB2312" w:cs="仿宋_GB2312"/>
          <w:b w:val="0"/>
          <w:bCs w:val="0"/>
          <w:lang w:eastAsia="zh-CN"/>
        </w:rPr>
        <w:t>重点</w:t>
      </w:r>
      <w:r>
        <w:rPr>
          <w:rFonts w:hint="eastAsia" w:ascii="仿宋_GB2312" w:hAnsi="仿宋_GB2312" w:eastAsia="仿宋_GB2312" w:cs="仿宋_GB2312"/>
          <w:b w:val="0"/>
          <w:bCs w:val="0"/>
        </w:rPr>
        <w:t>工程来源于</w:t>
      </w:r>
      <w:r>
        <w:rPr>
          <w:rFonts w:hint="eastAsia" w:ascii="仿宋_GB2312" w:hAnsi="仿宋_GB2312" w:eastAsia="仿宋_GB2312" w:cs="仿宋_GB2312"/>
          <w:b w:val="0"/>
          <w:bCs w:val="0"/>
          <w:lang w:val="en-US" w:eastAsia="zh-CN"/>
        </w:rPr>
        <w:t>国民经济与社会发展“十四五”规划</w:t>
      </w:r>
      <w:r>
        <w:rPr>
          <w:rFonts w:hint="eastAsia" w:eastAsia="仿宋_GB2312" w:cs="仿宋_GB2312"/>
          <w:b w:val="0"/>
          <w:bCs w:val="0"/>
          <w:lang w:val="en-US" w:eastAsia="zh-CN"/>
        </w:rPr>
        <w:t>；</w:t>
      </w:r>
      <w:bookmarkEnd w:id="2662"/>
      <w:bookmarkEnd w:id="2663"/>
      <w:bookmarkEnd w:id="2664"/>
      <w:r>
        <w:rPr>
          <w:rFonts w:hint="eastAsia" w:ascii="仿宋_GB2312" w:hAnsi="仿宋_GB2312" w:eastAsia="仿宋_GB2312" w:cs="仿宋_GB2312"/>
          <w:lang w:val="en-US" w:eastAsia="zh-CN"/>
        </w:rPr>
        <w:t>2．</w:t>
      </w:r>
      <w:r>
        <w:rPr>
          <w:rFonts w:hint="eastAsia" w:ascii="仿宋_GB2312" w:hAnsi="仿宋_GB2312" w:eastAsia="仿宋_GB2312" w:cs="仿宋_GB2312"/>
        </w:rPr>
        <w:t>重点工程附表中所列投资仅为规划估算。</w:t>
      </w:r>
    </w:p>
    <w:p>
      <w:pPr>
        <w:pStyle w:val="25"/>
        <w:jc w:val="left"/>
        <w:rPr>
          <w:rFonts w:hint="eastAsia" w:ascii="仿宋_GB2312" w:hAnsi="仿宋_GB2312" w:eastAsia="仿宋_GB2312" w:cs="仿宋_GB2312"/>
        </w:rPr>
      </w:pPr>
    </w:p>
    <w:p>
      <w:pPr>
        <w:pStyle w:val="25"/>
        <w:jc w:val="left"/>
        <w:rPr>
          <w:rFonts w:hint="eastAsia" w:ascii="仿宋_GB2312" w:hAnsi="仿宋_GB2312" w:eastAsia="仿宋_GB2312" w:cs="仿宋_GB2312"/>
        </w:rPr>
      </w:pPr>
    </w:p>
    <w:p>
      <w:pPr>
        <w:pStyle w:val="25"/>
        <w:jc w:val="left"/>
        <w:rPr>
          <w:rFonts w:hint="eastAsia" w:ascii="仿宋_GB2312" w:hAnsi="仿宋_GB2312" w:eastAsia="仿宋_GB2312" w:cs="仿宋_GB2312"/>
        </w:rPr>
        <w:sectPr>
          <w:pgSz w:w="16838" w:h="11906" w:orient="landscape"/>
          <w:pgMar w:top="1800" w:right="1440" w:bottom="1800" w:left="1440" w:header="851" w:footer="851" w:gutter="0"/>
          <w:pgNumType w:fmt="numberInDash"/>
          <w:cols w:space="720" w:num="1"/>
          <w:docGrid w:type="lines" w:linePitch="312" w:charSpace="0"/>
        </w:sectPr>
      </w:pP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665" w:name="_Toc18288"/>
      <w:bookmarkStart w:id="2666" w:name="_Toc27846"/>
      <w:r>
        <w:rPr>
          <w:rFonts w:hint="eastAsia" w:ascii="黑体" w:hAnsi="黑体" w:eastAsia="黑体" w:cs="黑体"/>
          <w:b w:val="0"/>
          <w:bCs/>
          <w:sz w:val="28"/>
        </w:rPr>
        <w:t>韶关市</w:t>
      </w:r>
      <w:r>
        <w:rPr>
          <w:rFonts w:hint="eastAsia" w:ascii="黑体" w:hAnsi="黑体" w:eastAsia="黑体" w:cs="黑体"/>
          <w:b w:val="0"/>
          <w:bCs/>
          <w:sz w:val="28"/>
          <w:lang w:val="en-US" w:eastAsia="zh-CN"/>
        </w:rPr>
        <w:t>水功能区和水环境功能区整合拟定</w:t>
      </w:r>
      <w:r>
        <w:rPr>
          <w:rFonts w:hint="eastAsia" w:ascii="黑体" w:hAnsi="黑体" w:eastAsia="黑体" w:cs="黑体"/>
          <w:b w:val="0"/>
          <w:bCs/>
          <w:sz w:val="28"/>
        </w:rPr>
        <w:t>图</w:t>
      </w:r>
      <w:bookmarkEnd w:id="2665"/>
      <w:bookmarkEnd w:id="2666"/>
    </w:p>
    <w:p>
      <w:pPr>
        <w:widowControl w:val="0"/>
        <w:wordWrap/>
        <w:spacing w:line="240" w:lineRule="atLeast"/>
        <w:jc w:val="center"/>
        <w:rPr>
          <w:rFonts w:hint="eastAsia"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kern w:val="2"/>
          <w:sz w:val="32"/>
          <w:szCs w:val="32"/>
          <w:lang w:val="en-US" w:eastAsia="zh-CN" w:bidi="ar-SA"/>
        </w:rPr>
        <w:pict>
          <v:shape id="图片 1" o:spid="_x0000_s1029" type="#_x0000_t75" style="height:610.6pt;width:862.8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667" w:name="_Toc80280551"/>
      <w:bookmarkStart w:id="2668" w:name="_Toc15304"/>
      <w:bookmarkStart w:id="2669" w:name="_Toc27503"/>
      <w:bookmarkStart w:id="2670" w:name="_Toc24337"/>
      <w:bookmarkStart w:id="2671" w:name="_Toc17404"/>
      <w:bookmarkStart w:id="2672" w:name="_Toc30022"/>
      <w:bookmarkStart w:id="2673" w:name="_Toc18166"/>
      <w:bookmarkStart w:id="2674" w:name="_Toc19317"/>
      <w:bookmarkStart w:id="2675" w:name="_Toc7972"/>
      <w:r>
        <w:rPr>
          <w:rFonts w:hint="eastAsia" w:ascii="黑体" w:hAnsi="黑体" w:eastAsia="黑体" w:cs="黑体"/>
          <w:b w:val="0"/>
          <w:bCs/>
          <w:sz w:val="28"/>
        </w:rPr>
        <w:t>韶关市大气环境功能区划图</w:t>
      </w:r>
      <w:bookmarkEnd w:id="2667"/>
      <w:bookmarkEnd w:id="2668"/>
      <w:bookmarkEnd w:id="2669"/>
      <w:bookmarkEnd w:id="2670"/>
      <w:bookmarkEnd w:id="2671"/>
      <w:bookmarkEnd w:id="2672"/>
      <w:bookmarkEnd w:id="2673"/>
      <w:bookmarkEnd w:id="2674"/>
      <w:bookmarkEnd w:id="2675"/>
    </w:p>
    <w:p>
      <w:pPr>
        <w:widowControl w:val="0"/>
        <w:wordWrap/>
        <w:spacing w:line="240" w:lineRule="atLeast"/>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kern w:val="2"/>
          <w:sz w:val="32"/>
          <w:szCs w:val="32"/>
          <w:lang w:val="en-US" w:eastAsia="zh-CN" w:bidi="ar-SA"/>
        </w:rPr>
        <w:pict>
          <v:shape id="图片 2" o:spid="_x0000_s1030" type="#_x0000_t75" style="height:622.3pt;width:879.3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676" w:name="_Toc29005"/>
      <w:bookmarkStart w:id="2677" w:name="_Toc5422"/>
      <w:bookmarkStart w:id="2678" w:name="_Toc15841"/>
      <w:bookmarkStart w:id="2679" w:name="_Toc16838"/>
      <w:bookmarkStart w:id="2680" w:name="_Toc23269"/>
      <w:bookmarkStart w:id="2681" w:name="_Toc24219"/>
      <w:bookmarkStart w:id="2682" w:name="_Toc9991"/>
      <w:bookmarkStart w:id="2683" w:name="_Toc30273"/>
      <w:r>
        <w:rPr>
          <w:rFonts w:hint="eastAsia" w:ascii="黑体" w:hAnsi="黑体" w:eastAsia="黑体" w:cs="黑体"/>
          <w:b w:val="0"/>
          <w:bCs/>
          <w:sz w:val="28"/>
        </w:rPr>
        <w:t>韶关市区噪声功能区划图</w:t>
      </w:r>
      <w:bookmarkEnd w:id="2676"/>
      <w:bookmarkEnd w:id="2677"/>
      <w:bookmarkEnd w:id="2678"/>
      <w:bookmarkEnd w:id="2679"/>
      <w:bookmarkEnd w:id="2680"/>
      <w:bookmarkEnd w:id="2681"/>
      <w:bookmarkEnd w:id="2682"/>
      <w:bookmarkEnd w:id="2683"/>
    </w:p>
    <w:p>
      <w:pPr>
        <w:pStyle w:val="8"/>
        <w:widowControl w:val="0"/>
        <w:wordWrap/>
        <w:spacing w:line="240" w:lineRule="atLeast"/>
        <w:ind w:firstLine="643"/>
        <w:jc w:val="center"/>
        <w:rPr>
          <w:rFonts w:hint="default" w:ascii="Times New Roman" w:hAnsi="Times New Roman" w:cs="Times New Roman"/>
          <w:b/>
          <w:color w:val="auto"/>
          <w:szCs w:val="32"/>
        </w:rPr>
      </w:pPr>
      <w:r>
        <w:rPr>
          <w:rFonts w:hint="default" w:ascii="Times New Roman" w:hAnsi="Times New Roman" w:eastAsia="仿宋_GB2312" w:cs="Times New Roman"/>
          <w:b/>
          <w:color w:val="auto"/>
          <w:kern w:val="2"/>
          <w:sz w:val="32"/>
          <w:szCs w:val="32"/>
          <w:lang w:val="en-US" w:eastAsia="zh-CN" w:bidi="ar-SA"/>
        </w:rPr>
        <w:pict>
          <v:shape id="图片 3" o:spid="_x0000_s1031" type="#_x0000_t75" style="height:611.8pt;width:864.5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684" w:name="_Toc11977"/>
      <w:bookmarkStart w:id="2685" w:name="_Toc9748"/>
      <w:bookmarkStart w:id="2686" w:name="_Toc2270"/>
      <w:bookmarkStart w:id="2687" w:name="_Toc31689"/>
      <w:bookmarkStart w:id="2688" w:name="_Toc23209"/>
      <w:bookmarkStart w:id="2689" w:name="_Toc2496"/>
      <w:bookmarkStart w:id="2690" w:name="_Toc11434"/>
      <w:bookmarkStart w:id="2691" w:name="_Toc28547"/>
      <w:bookmarkStart w:id="2692" w:name="_Toc80280552"/>
      <w:r>
        <w:rPr>
          <w:rFonts w:hint="eastAsia" w:ascii="黑体" w:hAnsi="黑体" w:eastAsia="黑体" w:cs="黑体"/>
          <w:b w:val="0"/>
          <w:bCs/>
          <w:sz w:val="28"/>
        </w:rPr>
        <w:t>韶关市县级以上集中式饮用水源保护区分布图</w:t>
      </w:r>
      <w:bookmarkEnd w:id="2684"/>
      <w:bookmarkEnd w:id="2685"/>
      <w:bookmarkEnd w:id="2686"/>
      <w:bookmarkEnd w:id="2687"/>
      <w:bookmarkEnd w:id="2688"/>
      <w:bookmarkEnd w:id="2689"/>
      <w:bookmarkEnd w:id="2690"/>
      <w:bookmarkEnd w:id="2691"/>
    </w:p>
    <w:p>
      <w:pPr>
        <w:widowControl w:val="0"/>
        <w:wordWrap/>
        <w:adjustRightInd w:val="0"/>
        <w:snapToGrid w:val="0"/>
        <w:spacing w:line="240" w:lineRule="atLeast"/>
        <w:ind w:firstLine="640" w:firstLineChars="200"/>
        <w:jc w:val="center"/>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kern w:val="2"/>
          <w:sz w:val="32"/>
          <w:szCs w:val="32"/>
          <w:lang w:val="en-US" w:eastAsia="zh-CN" w:bidi="ar-SA"/>
        </w:rPr>
        <w:pict>
          <v:shape id="图片 4" o:spid="_x0000_s1032" type="#_x0000_t75" style="height:620.95pt;width:877.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val="0"/>
        <w:numPr>
          <w:numId w:val="0"/>
        </w:numPr>
        <w:wordWrap/>
        <w:spacing w:line="240" w:lineRule="atLeast"/>
        <w:ind w:leftChars="-200" w:right="-160" w:rightChars="-50"/>
        <w:jc w:val="left"/>
        <w:outlineLvl w:val="0"/>
        <w:rPr>
          <w:rFonts w:hint="default" w:ascii="仿宋_GB2312" w:hAnsi="仿宋_GB2312" w:eastAsia="仿宋_GB2312" w:cs="仿宋_GB2312"/>
          <w:b/>
          <w:sz w:val="28"/>
        </w:rPr>
      </w:pPr>
      <w:bookmarkStart w:id="2693" w:name="_Toc19418"/>
      <w:bookmarkStart w:id="2694" w:name="_Toc15845"/>
      <w:bookmarkStart w:id="2695" w:name="_Toc17723"/>
      <w:bookmarkStart w:id="2696" w:name="_Toc10461"/>
      <w:bookmarkStart w:id="2697" w:name="_Toc26774"/>
      <w:bookmarkStart w:id="2698" w:name="_Toc18686"/>
      <w:bookmarkStart w:id="2699" w:name="_Toc2821"/>
      <w:bookmarkStart w:id="2700" w:name="_Toc6326"/>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r>
        <w:rPr>
          <w:rFonts w:hint="eastAsia" w:ascii="黑体" w:hAnsi="黑体" w:eastAsia="黑体" w:cs="黑体"/>
          <w:b w:val="0"/>
          <w:bCs/>
          <w:sz w:val="28"/>
        </w:rPr>
        <w:t>韶关市镇级集中式饮用水源保护区分布图</w:t>
      </w:r>
      <w:bookmarkEnd w:id="2693"/>
      <w:bookmarkEnd w:id="2694"/>
      <w:bookmarkEnd w:id="2695"/>
      <w:bookmarkEnd w:id="2696"/>
      <w:bookmarkEnd w:id="2697"/>
      <w:bookmarkEnd w:id="2698"/>
      <w:bookmarkEnd w:id="2699"/>
      <w:bookmarkEnd w:id="2700"/>
    </w:p>
    <w:bookmarkEnd w:id="2692"/>
    <w:p>
      <w:pPr>
        <w:widowControl w:val="0"/>
        <w:wordWrap/>
        <w:adjustRightInd w:val="0"/>
        <w:snapToGrid w:val="0"/>
        <w:spacing w:line="240" w:lineRule="atLeast"/>
        <w:ind w:firstLine="640" w:firstLineChars="200"/>
        <w:jc w:val="center"/>
        <w:rPr>
          <w:rFonts w:hint="eastAsia" w:ascii="Times New Roman" w:hAnsi="Times New Roman" w:eastAsia="仿宋_GB2312" w:cs="Times New Roman"/>
          <w:color w:val="auto"/>
          <w:sz w:val="32"/>
          <w:szCs w:val="32"/>
          <w:lang w:eastAsia="zh-CN"/>
        </w:rPr>
      </w:pPr>
      <w:bookmarkStart w:id="2701" w:name="_Toc80280556"/>
      <w:bookmarkStart w:id="2702" w:name="_Toc11195"/>
      <w:bookmarkStart w:id="2703" w:name="_Toc24001"/>
      <w:bookmarkStart w:id="2704" w:name="_Toc15746"/>
      <w:r>
        <w:rPr>
          <w:rFonts w:hint="eastAsia" w:ascii="Times New Roman" w:hAnsi="Times New Roman" w:eastAsia="仿宋_GB2312" w:cs="Times New Roman"/>
          <w:color w:val="auto"/>
          <w:kern w:val="2"/>
          <w:sz w:val="32"/>
          <w:szCs w:val="32"/>
          <w:lang w:val="en-US" w:eastAsia="zh-CN" w:bidi="ar-SA"/>
        </w:rPr>
        <w:pict>
          <v:shape id="图片 5" o:spid="_x0000_s1033" type="#_x0000_t75" style="height:617.1pt;width:871.8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widowControl w:val="0"/>
        <w:wordWrap/>
        <w:adjustRightInd w:val="0"/>
        <w:snapToGrid w:val="0"/>
        <w:spacing w:line="240" w:lineRule="atLeast"/>
        <w:ind w:firstLine="640" w:firstLineChars="200"/>
        <w:jc w:val="center"/>
        <w:rPr>
          <w:rFonts w:hint="eastAsia" w:ascii="Times New Roman" w:hAnsi="Times New Roman" w:eastAsia="仿宋_GB2312" w:cs="Times New Roman"/>
          <w:color w:val="auto"/>
          <w:sz w:val="32"/>
          <w:szCs w:val="32"/>
          <w:lang w:eastAsia="zh-CN"/>
        </w:rPr>
      </w:pP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705" w:name="_Toc8202"/>
      <w:bookmarkStart w:id="2706" w:name="_Toc9597"/>
      <w:bookmarkStart w:id="2707" w:name="_Toc824"/>
      <w:r>
        <w:rPr>
          <w:rFonts w:hint="eastAsia" w:ascii="黑体" w:hAnsi="黑体" w:eastAsia="黑体" w:cs="黑体"/>
          <w:b w:val="0"/>
          <w:bCs/>
          <w:sz w:val="28"/>
        </w:rPr>
        <w:t>韶关市</w:t>
      </w:r>
      <w:r>
        <w:rPr>
          <w:rFonts w:hint="eastAsia" w:ascii="黑体" w:hAnsi="黑体" w:eastAsia="黑体" w:cs="黑体"/>
          <w:b w:val="0"/>
          <w:bCs/>
          <w:sz w:val="28"/>
          <w:lang w:val="en-US" w:eastAsia="zh-CN"/>
        </w:rPr>
        <w:t>畜禽养殖禁养区分</w:t>
      </w:r>
      <w:r>
        <w:rPr>
          <w:rFonts w:hint="eastAsia" w:ascii="黑体" w:hAnsi="黑体" w:eastAsia="黑体" w:cs="黑体"/>
          <w:b w:val="0"/>
          <w:bCs/>
          <w:sz w:val="28"/>
        </w:rPr>
        <w:t>图</w:t>
      </w:r>
      <w:bookmarkEnd w:id="2705"/>
      <w:bookmarkEnd w:id="2706"/>
      <w:bookmarkEnd w:id="2707"/>
    </w:p>
    <w:p>
      <w:pPr>
        <w:pStyle w:val="23"/>
        <w:widowControl w:val="0"/>
        <w:wordWrap/>
        <w:spacing w:line="240" w:lineRule="atLeast"/>
        <w:jc w:val="center"/>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kern w:val="2"/>
          <w:sz w:val="32"/>
          <w:szCs w:val="32"/>
          <w:lang w:val="en-US" w:eastAsia="zh-CN" w:bidi="ar-SA"/>
        </w:rPr>
        <w:pict>
          <v:shape id="图片 6" o:spid="_x0000_s1034" type="#_x0000_t75" style="height:607pt;width:857.8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23"/>
        <w:widowControl w:val="0"/>
        <w:wordWrap/>
        <w:spacing w:line="240" w:lineRule="atLeast"/>
        <w:jc w:val="center"/>
        <w:rPr>
          <w:rFonts w:hint="eastAsia" w:ascii="Times New Roman" w:hAnsi="Times New Roman" w:eastAsia="仿宋_GB2312" w:cs="Times New Roman"/>
          <w:color w:val="auto"/>
          <w:sz w:val="32"/>
          <w:szCs w:val="32"/>
          <w:lang w:eastAsia="zh-CN"/>
        </w:rPr>
      </w:pP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708" w:name="_Toc7096"/>
      <w:bookmarkStart w:id="2709" w:name="_Toc19054"/>
      <w:bookmarkStart w:id="2710" w:name="_Toc31571"/>
      <w:r>
        <w:rPr>
          <w:rFonts w:hint="eastAsia" w:ascii="黑体" w:hAnsi="黑体" w:eastAsia="黑体" w:cs="黑体"/>
          <w:b w:val="0"/>
          <w:bCs/>
          <w:sz w:val="28"/>
        </w:rPr>
        <w:t>韶关市</w:t>
      </w:r>
      <w:r>
        <w:rPr>
          <w:rFonts w:hint="eastAsia" w:ascii="黑体" w:hAnsi="黑体" w:eastAsia="黑体" w:cs="黑体"/>
          <w:b w:val="0"/>
          <w:bCs/>
          <w:sz w:val="28"/>
          <w:lang w:val="en-US" w:eastAsia="zh-CN"/>
        </w:rPr>
        <w:t>高污染燃料禁燃区分</w:t>
      </w:r>
      <w:r>
        <w:rPr>
          <w:rFonts w:hint="eastAsia" w:ascii="黑体" w:hAnsi="黑体" w:eastAsia="黑体" w:cs="黑体"/>
          <w:b w:val="0"/>
          <w:bCs/>
          <w:sz w:val="28"/>
        </w:rPr>
        <w:t>图</w:t>
      </w:r>
      <w:bookmarkEnd w:id="2708"/>
      <w:bookmarkEnd w:id="2709"/>
      <w:bookmarkEnd w:id="2710"/>
    </w:p>
    <w:p>
      <w:pPr>
        <w:pStyle w:val="23"/>
        <w:widowControl w:val="0"/>
        <w:wordWrap/>
        <w:spacing w:line="240" w:lineRule="atLeast"/>
        <w:jc w:val="center"/>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kern w:val="2"/>
          <w:sz w:val="32"/>
          <w:szCs w:val="32"/>
          <w:lang w:val="en-US" w:eastAsia="zh-CN" w:bidi="ar-SA"/>
        </w:rPr>
        <w:pict>
          <v:shape id="图片 7" o:spid="_x0000_s1035" type="#_x0000_t75" style="height:603.35pt;width:852.5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23"/>
        <w:widowControl w:val="0"/>
        <w:wordWrap/>
        <w:spacing w:line="240" w:lineRule="atLeast"/>
        <w:jc w:val="center"/>
        <w:rPr>
          <w:rFonts w:hint="eastAsia" w:ascii="Times New Roman" w:hAnsi="Times New Roman" w:eastAsia="仿宋_GB2312" w:cs="Times New Roman"/>
          <w:color w:val="auto"/>
          <w:sz w:val="32"/>
          <w:szCs w:val="32"/>
          <w:lang w:eastAsia="zh-CN"/>
        </w:rPr>
      </w:pP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711" w:name="_Toc29388"/>
      <w:bookmarkStart w:id="2712" w:name="_Toc14586"/>
      <w:bookmarkStart w:id="2713" w:name="_Toc12903"/>
      <w:bookmarkStart w:id="2714" w:name="_Toc26493"/>
      <w:bookmarkStart w:id="2715" w:name="_Toc11358"/>
      <w:r>
        <w:rPr>
          <w:rFonts w:hint="eastAsia" w:ascii="黑体" w:hAnsi="黑体" w:eastAsia="黑体" w:cs="黑体"/>
          <w:b w:val="0"/>
          <w:bCs/>
          <w:sz w:val="28"/>
        </w:rPr>
        <w:t>韶关市“三线一单”水环境管控单元分区图</w:t>
      </w:r>
      <w:bookmarkEnd w:id="2701"/>
      <w:bookmarkEnd w:id="2702"/>
      <w:bookmarkEnd w:id="2703"/>
      <w:bookmarkEnd w:id="2704"/>
      <w:bookmarkEnd w:id="2711"/>
      <w:bookmarkEnd w:id="2712"/>
      <w:bookmarkEnd w:id="2713"/>
      <w:bookmarkEnd w:id="2714"/>
      <w:bookmarkEnd w:id="2715"/>
    </w:p>
    <w:p>
      <w:pPr>
        <w:widowControl w:val="0"/>
        <w:wordWrap/>
        <w:spacing w:line="240" w:lineRule="atLeast"/>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kern w:val="2"/>
          <w:sz w:val="32"/>
          <w:szCs w:val="32"/>
          <w:lang w:val="en-US" w:eastAsia="zh-CN" w:bidi="ar-SA"/>
        </w:rPr>
        <w:pict>
          <v:shape id="图片 8" o:spid="_x0000_s1036" type="#_x0000_t75" style="height:589.05pt;width:83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widowControl w:val="0"/>
        <w:wordWrap/>
        <w:spacing w:line="240" w:lineRule="atLeast"/>
        <w:jc w:val="center"/>
        <w:rPr>
          <w:rFonts w:hint="default" w:ascii="Times New Roman" w:hAnsi="Times New Roman" w:eastAsia="仿宋_GB2312" w:cs="Times New Roman"/>
          <w:b/>
          <w:color w:val="auto"/>
          <w:sz w:val="32"/>
          <w:szCs w:val="32"/>
        </w:rPr>
      </w:pP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716" w:name="_Toc15269"/>
      <w:bookmarkStart w:id="2717" w:name="_Toc9640"/>
      <w:bookmarkStart w:id="2718" w:name="_Toc24611"/>
      <w:bookmarkStart w:id="2719" w:name="_Toc7503"/>
      <w:bookmarkStart w:id="2720" w:name="_Toc80280557"/>
      <w:bookmarkStart w:id="2721" w:name="_Toc22445"/>
      <w:bookmarkStart w:id="2722" w:name="_Toc4935"/>
      <w:bookmarkStart w:id="2723" w:name="_Toc5034"/>
      <w:r>
        <w:rPr>
          <w:rFonts w:hint="eastAsia" w:ascii="黑体" w:hAnsi="黑体" w:eastAsia="黑体" w:cs="黑体"/>
          <w:b w:val="0"/>
          <w:bCs/>
          <w:sz w:val="28"/>
        </w:rPr>
        <w:t>韶关市“三线一单”大气环境管控单元分区图</w:t>
      </w:r>
      <w:bookmarkEnd w:id="2716"/>
      <w:bookmarkEnd w:id="2717"/>
      <w:bookmarkEnd w:id="2718"/>
      <w:bookmarkEnd w:id="2719"/>
      <w:bookmarkEnd w:id="2720"/>
      <w:bookmarkEnd w:id="2721"/>
      <w:bookmarkEnd w:id="2722"/>
      <w:bookmarkEnd w:id="2723"/>
    </w:p>
    <w:p>
      <w:pPr>
        <w:widowControl w:val="0"/>
        <w:wordWrap/>
        <w:spacing w:line="240" w:lineRule="atLeast"/>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kern w:val="2"/>
          <w:sz w:val="32"/>
          <w:szCs w:val="32"/>
          <w:lang w:val="en-US" w:eastAsia="zh-CN" w:bidi="ar-SA"/>
        </w:rPr>
        <w:pict>
          <v:shape id="图片 9" o:spid="_x0000_s1037" type="#_x0000_t75" style="height:607.25pt;width:858.2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val="0"/>
        <w:wordWrap/>
        <w:spacing w:line="240" w:lineRule="atLeast"/>
        <w:jc w:val="center"/>
        <w:rPr>
          <w:rFonts w:hint="default" w:ascii="Times New Roman" w:hAnsi="Times New Roman" w:eastAsia="仿宋_GB2312" w:cs="Times New Roman"/>
          <w:b/>
          <w:color w:val="auto"/>
          <w:sz w:val="32"/>
          <w:szCs w:val="32"/>
        </w:rPr>
      </w:pP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724" w:name="_Toc9290"/>
      <w:bookmarkStart w:id="2725" w:name="_Toc16579"/>
      <w:bookmarkStart w:id="2726" w:name="_Toc30017"/>
      <w:bookmarkStart w:id="2727" w:name="_Toc13876"/>
      <w:bookmarkStart w:id="2728" w:name="_Toc80280558"/>
      <w:bookmarkStart w:id="2729" w:name="_Toc505"/>
      <w:bookmarkStart w:id="2730" w:name="_Toc23294"/>
      <w:bookmarkStart w:id="2731" w:name="_Toc22837"/>
      <w:r>
        <w:rPr>
          <w:rFonts w:hint="eastAsia" w:ascii="黑体" w:hAnsi="黑体" w:eastAsia="黑体" w:cs="黑体"/>
          <w:b w:val="0"/>
          <w:bCs/>
          <w:sz w:val="28"/>
        </w:rPr>
        <w:t>韶关市“三线一单”生态空间管控单元分区图</w:t>
      </w:r>
      <w:bookmarkEnd w:id="2724"/>
      <w:bookmarkEnd w:id="2725"/>
      <w:bookmarkEnd w:id="2726"/>
      <w:bookmarkEnd w:id="2727"/>
      <w:bookmarkEnd w:id="2728"/>
      <w:bookmarkEnd w:id="2729"/>
      <w:bookmarkEnd w:id="2730"/>
      <w:bookmarkEnd w:id="2731"/>
    </w:p>
    <w:p>
      <w:pPr>
        <w:widowControl w:val="0"/>
        <w:wordWrap/>
        <w:spacing w:line="240" w:lineRule="atLeast"/>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kern w:val="2"/>
          <w:sz w:val="32"/>
          <w:szCs w:val="32"/>
          <w:lang w:val="en-US" w:eastAsia="zh-CN" w:bidi="ar-SA"/>
        </w:rPr>
        <w:pict>
          <v:shape id="图片 10" o:spid="_x0000_s1038" type="#_x0000_t75" style="height:615.6pt;width:869.9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idowControl w:val="0"/>
        <w:numPr>
          <w:ilvl w:val="0"/>
          <w:numId w:val="8"/>
        </w:numPr>
        <w:wordWrap/>
        <w:spacing w:line="240" w:lineRule="atLeast"/>
        <w:ind w:left="562" w:right="-160" w:rightChars="-50" w:hanging="560" w:hangingChars="200"/>
        <w:jc w:val="center"/>
        <w:outlineLvl w:val="0"/>
        <w:rPr>
          <w:rFonts w:hint="eastAsia" w:ascii="黑体" w:hAnsi="黑体" w:eastAsia="黑体" w:cs="黑体"/>
          <w:b w:val="0"/>
          <w:bCs/>
          <w:sz w:val="28"/>
        </w:rPr>
      </w:pPr>
      <w:bookmarkStart w:id="2732" w:name="_Toc10751"/>
      <w:bookmarkStart w:id="2733" w:name="_Toc4767"/>
      <w:bookmarkStart w:id="2734" w:name="_Toc80280559"/>
      <w:bookmarkStart w:id="2735" w:name="_Toc1133"/>
      <w:bookmarkStart w:id="2736" w:name="_Toc12191"/>
      <w:bookmarkStart w:id="2737" w:name="_Toc13730"/>
      <w:bookmarkStart w:id="2738" w:name="_Toc22621"/>
      <w:bookmarkStart w:id="2739" w:name="_Toc29324"/>
      <w:r>
        <w:rPr>
          <w:rFonts w:hint="eastAsia" w:ascii="黑体" w:hAnsi="黑体" w:eastAsia="黑体" w:cs="黑体"/>
          <w:b w:val="0"/>
          <w:bCs/>
          <w:sz w:val="28"/>
        </w:rPr>
        <w:t>韶关市“三线一单”综合管控单元分区图</w:t>
      </w:r>
      <w:bookmarkEnd w:id="2732"/>
      <w:bookmarkEnd w:id="2733"/>
      <w:bookmarkEnd w:id="2734"/>
      <w:bookmarkEnd w:id="2735"/>
      <w:bookmarkEnd w:id="2736"/>
      <w:bookmarkEnd w:id="2737"/>
      <w:bookmarkEnd w:id="2738"/>
      <w:bookmarkEnd w:id="2739"/>
    </w:p>
    <w:p>
      <w:pPr>
        <w:widowControl w:val="0"/>
        <w:wordWrap/>
        <w:spacing w:line="240" w:lineRule="atLeast"/>
        <w:jc w:val="center"/>
        <w:rPr>
          <w:rFonts w:hint="default" w:ascii="Times New Roman" w:hAnsi="Times New Roman" w:eastAsia="仿宋_GB2312" w:cs="Times New Roman"/>
          <w:b/>
          <w:bCs/>
          <w:color w:val="auto"/>
          <w:sz w:val="28"/>
          <w:szCs w:val="28"/>
          <w:lang w:eastAsia="zh-CN"/>
        </w:rPr>
        <w:sectPr>
          <w:pgSz w:w="23757" w:h="16783" w:orient="landscape"/>
          <w:pgMar w:top="1588" w:right="2098" w:bottom="1474" w:left="1985" w:header="1247" w:footer="1247" w:gutter="0"/>
          <w:pgNumType w:fmt="numberInDash"/>
          <w:cols w:space="720" w:num="1"/>
          <w:docGrid w:type="lines" w:linePitch="312" w:charSpace="0"/>
        </w:sectPr>
      </w:pPr>
      <w:r>
        <w:rPr>
          <w:rFonts w:hint="default" w:ascii="Times New Roman" w:hAnsi="Times New Roman" w:eastAsia="仿宋_GB2312" w:cs="Times New Roman"/>
          <w:b/>
          <w:bCs/>
          <w:color w:val="auto"/>
          <w:kern w:val="2"/>
          <w:sz w:val="28"/>
          <w:szCs w:val="28"/>
          <w:lang w:val="en-US" w:eastAsia="zh-CN" w:bidi="ar-SA"/>
        </w:rPr>
        <w:pict>
          <v:shape id="图片 11" o:spid="_x0000_s1039" type="#_x0000_t75" style="height:609.05pt;width:860.6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widowControl w:val="0"/>
        <w:wordWrap/>
        <w:spacing w:line="240" w:lineRule="atLeast"/>
        <w:jc w:val="center"/>
        <w:rPr>
          <w:rFonts w:hint="eastAsia" w:ascii="Times New Roman" w:hAnsi="Times New Roman" w:eastAsia="仿宋_GB2312" w:cs="Times New Roman"/>
          <w:b/>
          <w:bCs/>
          <w:color w:val="auto"/>
          <w:sz w:val="28"/>
          <w:szCs w:val="28"/>
          <w:lang w:eastAsia="zh-CN"/>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p>
    <w:p>
      <w:pPr>
        <w:spacing w:line="0" w:lineRule="atLeast"/>
        <w:ind w:right="27"/>
        <w:rPr>
          <w:rFonts w:hint="eastAsia" w:eastAsia="黑体"/>
        </w:rPr>
      </w:pPr>
      <w:r>
        <w:rPr>
          <w:rFonts w:hint="eastAsia" w:eastAsia="黑体"/>
        </w:rPr>
        <w:t>公开方式：</w:t>
      </w:r>
      <w:r>
        <w:rPr>
          <w:rFonts w:hint="eastAsia" w:ascii="仿宋_GB2312" w:hAnsi="仿宋_GB2312" w:cs="仿宋_GB2312"/>
          <w:lang w:eastAsia="zh-CN"/>
        </w:rPr>
        <w:t>主动</w:t>
      </w:r>
      <w:r>
        <w:rPr>
          <w:rFonts w:hint="eastAsia" w:ascii="仿宋_GB2312" w:hAnsi="仿宋_GB2312" w:eastAsia="仿宋_GB2312" w:cs="仿宋_GB2312"/>
        </w:rPr>
        <w:t>公开</w:t>
      </w:r>
    </w:p>
    <w:p>
      <w:pPr>
        <w:tabs>
          <w:tab w:val="left" w:pos="9044"/>
        </w:tabs>
        <w:spacing w:line="0" w:lineRule="atLeast"/>
        <w:ind w:right="27"/>
        <w:rPr>
          <w:rFonts w:hint="eastAsia" w:eastAsia="黑体"/>
        </w:rPr>
      </w:pPr>
    </w:p>
    <w:p>
      <w:pPr>
        <w:spacing w:line="380" w:lineRule="exact"/>
        <w:rPr>
          <w:sz w:val="28"/>
          <w:szCs w:val="28"/>
        </w:rPr>
      </w:pPr>
      <w:r>
        <w:rPr>
          <w:rFonts w:ascii="Calibri" w:hAnsi="Calibri" w:eastAsia="仿宋_GB2312" w:cs="Times New Roman"/>
          <w:kern w:val="2"/>
          <w:sz w:val="28"/>
          <w:szCs w:val="28"/>
          <w:lang w:val="en-US" w:eastAsia="zh-CN" w:bidi="ar-SA"/>
        </w:rPr>
        <w:pict>
          <v:line id="直线 7" o:spid="_x0000_s1040" style="position:absolute;left:0;margin-left:-5.4pt;margin-top:15.25pt;height:0.05pt;width:453.55pt;rotation:0f;z-index:251658240;"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p>
    <w:p>
      <w:pPr>
        <w:pStyle w:val="9"/>
        <w:spacing w:line="380" w:lineRule="exact"/>
        <w:ind w:left="1148" w:right="352" w:hanging="1106"/>
        <w:rPr>
          <w:spacing w:val="0"/>
          <w:szCs w:val="28"/>
        </w:rPr>
      </w:pPr>
      <w:r>
        <w:rPr>
          <w:spacing w:val="0"/>
          <w:szCs w:val="28"/>
        </w:rPr>
        <w:t xml:space="preserve">  </w:t>
      </w:r>
      <w:r>
        <w:rPr>
          <w:rFonts w:hint="eastAsia"/>
          <w:spacing w:val="0"/>
          <w:szCs w:val="28"/>
        </w:rPr>
        <w:t>抄送：市委办公室，</w:t>
      </w:r>
      <w:r>
        <w:rPr>
          <w:rFonts w:hint="eastAsia"/>
          <w:szCs w:val="28"/>
        </w:rPr>
        <w:t>市人大常委会办公室，市政协办公室，市纪委办公室，市中院，市检察院</w:t>
      </w:r>
      <w:r>
        <w:rPr>
          <w:rFonts w:hint="eastAsia"/>
          <w:spacing w:val="0"/>
          <w:szCs w:val="28"/>
        </w:rPr>
        <w:t>。</w:t>
      </w:r>
    </w:p>
    <w:p>
      <w:pPr>
        <w:spacing w:line="0" w:lineRule="atLeast"/>
        <w:rPr>
          <w:sz w:val="28"/>
          <w:szCs w:val="28"/>
        </w:rPr>
      </w:pPr>
      <w:r>
        <w:rPr>
          <w:rFonts w:ascii="Calibri" w:hAnsi="Calibri" w:eastAsia="仿宋_GB2312" w:cs="Times New Roman"/>
          <w:kern w:val="2"/>
          <w:sz w:val="28"/>
          <w:szCs w:val="28"/>
          <w:lang w:val="en-US" w:eastAsia="zh-CN" w:bidi="ar-SA"/>
        </w:rPr>
        <w:pict>
          <v:line id="直线 10" o:spid="_x0000_s1041" style="position:absolute;left:0;flip:y;margin-left:-5.4pt;margin-top:7.45pt;height:0.05pt;width:453.55pt;rotation:0f;z-index:251659264;"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p>
    <w:p>
      <w:pPr>
        <w:spacing w:line="0" w:lineRule="atLeast"/>
        <w:ind w:right="270"/>
        <w:jc w:val="distribute"/>
        <w:rPr>
          <w:rFonts w:hint="eastAsia" w:ascii="仿宋_GB2312"/>
          <w:sz w:val="28"/>
          <w:szCs w:val="28"/>
        </w:rPr>
      </w:pPr>
      <w:r>
        <w:rPr>
          <w:sz w:val="28"/>
          <w:szCs w:val="28"/>
        </w:rPr>
        <w:t xml:space="preserve"> </w:t>
      </w:r>
      <w:r>
        <w:rPr>
          <w:rFonts w:hint="eastAsia" w:ascii="仿宋_GB2312"/>
          <w:sz w:val="28"/>
          <w:szCs w:val="28"/>
        </w:rPr>
        <w:t xml:space="preserve"> 韶关市人民政府办公室               202</w:t>
      </w:r>
      <w:r>
        <w:rPr>
          <w:rFonts w:hint="eastAsia" w:ascii="仿宋_GB2312"/>
          <w:sz w:val="28"/>
          <w:szCs w:val="28"/>
          <w:lang w:val="en-US" w:eastAsia="zh-CN"/>
        </w:rPr>
        <w:t>2</w:t>
      </w:r>
      <w:r>
        <w:rPr>
          <w:rFonts w:hint="eastAsia" w:ascii="仿宋_GB2312"/>
          <w:sz w:val="28"/>
          <w:szCs w:val="28"/>
        </w:rPr>
        <w:t>年</w:t>
      </w:r>
      <w:r>
        <w:rPr>
          <w:rFonts w:hint="eastAsia" w:ascii="仿宋_GB2312"/>
          <w:sz w:val="28"/>
          <w:szCs w:val="28"/>
          <w:lang w:val="en-US" w:eastAsia="zh-CN"/>
        </w:rPr>
        <w:t>3</w:t>
      </w:r>
      <w:r>
        <w:rPr>
          <w:rFonts w:hint="eastAsia" w:ascii="仿宋_GB2312"/>
          <w:sz w:val="28"/>
          <w:szCs w:val="28"/>
        </w:rPr>
        <w:t>月</w:t>
      </w:r>
      <w:r>
        <w:rPr>
          <w:rFonts w:hint="eastAsia" w:ascii="仿宋_GB2312"/>
          <w:sz w:val="28"/>
          <w:szCs w:val="28"/>
          <w:lang w:val="en-US" w:eastAsia="zh-CN"/>
        </w:rPr>
        <w:t>2</w:t>
      </w:r>
      <w:r>
        <w:rPr>
          <w:rFonts w:hint="eastAsia" w:ascii="仿宋_GB2312"/>
          <w:sz w:val="28"/>
          <w:szCs w:val="28"/>
        </w:rPr>
        <w:t>日印发</w:t>
      </w:r>
    </w:p>
    <w:p>
      <w:pPr>
        <w:spacing w:line="0" w:lineRule="atLeast"/>
        <w:rPr>
          <w:sz w:val="28"/>
          <w:szCs w:val="28"/>
        </w:rPr>
      </w:pPr>
      <w:r>
        <w:rPr>
          <w:rFonts w:ascii="Calibri" w:hAnsi="Calibri" w:eastAsia="仿宋_GB2312" w:cs="Times New Roman"/>
          <w:kern w:val="2"/>
          <w:sz w:val="28"/>
          <w:szCs w:val="28"/>
          <w:lang w:val="en-US" w:eastAsia="zh-CN" w:bidi="ar-SA"/>
        </w:rPr>
        <w:pict>
          <v:line id="直线 16" o:spid="_x0000_s1042" style="position:absolute;left:0;margin-left:-5.4pt;margin-top:4.55pt;height:0.05pt;width:453.55pt;rotation:0f;z-index:251660288;"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p>
    <w:p>
      <w:pPr>
        <w:ind w:firstLine="640" w:firstLineChars="200"/>
        <w:rPr>
          <w:rFonts w:eastAsia="仿宋_GB2312"/>
          <w:sz w:val="32"/>
          <w:szCs w:val="32"/>
        </w:rPr>
      </w:pPr>
    </w:p>
    <w:sectPr>
      <w:headerReference r:id="rId11" w:type="default"/>
      <w:pgSz w:w="11906" w:h="16838"/>
      <w:pgMar w:top="1814" w:right="1418" w:bottom="1588" w:left="1418" w:header="1247" w:footer="124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2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rFonts w:hint="eastAsia"/>
      </w:rPr>
    </w:pPr>
    <w:r>
      <w:rPr>
        <w:rFonts w:ascii="Calibri" w:hAnsi="Calibri" w:eastAsia="仿宋_GB2312" w:cs="Times New Roman"/>
        <w:kern w:val="2"/>
        <w:sz w:val="32"/>
        <w:szCs w:val="22"/>
        <w:lang w:val="en-US" w:eastAsia="zh-CN" w:bidi="ar-SA"/>
      </w:rPr>
      <w:pict>
        <v:rect id="文本框 17" o:spid="_x0000_s1025" style="position:absolute;left:0;margin-top:0pt;height:144pt;width:144pt;mso-position-horizontal:outside;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0"/>
                    <w:szCs w:val="30"/>
                    <w:lang w:eastAsia="zh-CN"/>
                  </w:rPr>
                  <w:fldChar w:fldCharType="begin"/>
                </w:r>
                <w:r>
                  <w:rPr>
                    <w:rFonts w:hint="eastAsia" w:ascii="仿宋_GB2312" w:hAnsi="仿宋_GB2312" w:eastAsia="仿宋_GB2312" w:cs="仿宋_GB2312"/>
                    <w:sz w:val="30"/>
                    <w:szCs w:val="30"/>
                    <w:lang w:eastAsia="zh-CN"/>
                  </w:rPr>
                  <w:instrText xml:space="preserve"> PAGE  \* MERGEFORMAT </w:instrText>
                </w:r>
                <w:r>
                  <w:rPr>
                    <w:rFonts w:hint="eastAsia" w:ascii="仿宋_GB2312" w:hAnsi="仿宋_GB2312" w:eastAsia="仿宋_GB2312" w:cs="仿宋_GB2312"/>
                    <w:sz w:val="30"/>
                    <w:szCs w:val="30"/>
                    <w:lang w:eastAsia="zh-CN"/>
                  </w:rPr>
                  <w:fldChar w:fldCharType="separate"/>
                </w:r>
                <w:r>
                  <w:t>- 1 -</w:t>
                </w:r>
                <w:r>
                  <w:rPr>
                    <w:rFonts w:hint="eastAsia" w:ascii="仿宋_GB2312" w:hAnsi="仿宋_GB2312" w:eastAsia="仿宋_GB2312" w:cs="仿宋_GB2312"/>
                    <w:sz w:val="30"/>
                    <w:szCs w:val="30"/>
                    <w:lang w:eastAsia="zh-CN"/>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framePr w:wrap="around" w:hAnchor="margin" w:vAnchor="text" w:xAlign="outside" w:y="1"/>
      <w:rPr>
        <w:rStyle w:val="16"/>
      </w:rPr>
    </w:pPr>
    <w:r>
      <w:fldChar w:fldCharType="begin"/>
    </w:r>
    <w:r>
      <w:rPr>
        <w:rStyle w:val="16"/>
      </w:rPr>
      <w:instrText xml:space="preserve">PAGE  </w:instrText>
    </w:r>
    <w:r>
      <w:fldChar w:fldCharType="separate"/>
    </w:r>
    <w:r>
      <w:rPr>
        <w:rStyle w:val="16"/>
      </w:rPr>
      <w:t>- 1 -</w:t>
    </w:r>
    <w:r>
      <w:fldChar w:fldCharType="end"/>
    </w:r>
  </w:p>
  <w:p>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pPr>
    <w:r>
      <w:rPr>
        <w:rFonts w:ascii="Calibri" w:hAnsi="Calibri" w:eastAsia="仿宋_GB2312" w:cs="Times New Roman"/>
        <w:kern w:val="2"/>
        <w:sz w:val="18"/>
        <w:szCs w:val="18"/>
        <w:lang w:val="en-US" w:eastAsia="zh-CN" w:bidi="ar-SA"/>
      </w:rPr>
      <w:pict>
        <v:rect id="文本框 18" o:spid="_x0000_s1026" style="position:absolute;left:0;margin-top:0pt;height:144pt;width:144pt;mso-position-horizontal:outside;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PAGE  \* MERGEFORMAT </w:instrText>
                </w:r>
                <w:r>
                  <w:rPr>
                    <w:rFonts w:hint="eastAsia" w:ascii="仿宋_GB2312" w:hAnsi="仿宋_GB2312" w:eastAsia="仿宋_GB2312" w:cs="仿宋_GB2312"/>
                    <w:sz w:val="32"/>
                    <w:szCs w:val="32"/>
                    <w:lang w:eastAsia="zh-CN"/>
                  </w:rPr>
                  <w:fldChar w:fldCharType="separate"/>
                </w:r>
                <w:r>
                  <w:t>- 1 -</w:t>
                </w:r>
                <w:r>
                  <w:rPr>
                    <w:rFonts w:hint="eastAsia" w:ascii="仿宋_GB2312" w:hAnsi="仿宋_GB2312" w:eastAsia="仿宋_GB2312" w:cs="仿宋_GB2312"/>
                    <w:sz w:val="32"/>
                    <w:szCs w:val="32"/>
                    <w:lang w:eastAsia="zh-CN"/>
                  </w:rPr>
                  <w:fldChar w:fldCharType="end"/>
                </w:r>
              </w:p>
            </w:txbxContent>
          </v:textbox>
        </v:rect>
      </w:pict>
    </w:r>
    <w:r>
      <w:rPr>
        <w:rFonts w:ascii="Calibri" w:hAnsi="Calibri" w:eastAsia="仿宋_GB2312" w:cs="Times New Roman"/>
        <w:kern w:val="2"/>
        <w:sz w:val="18"/>
        <w:szCs w:val="18"/>
        <w:lang w:val="en-US" w:eastAsia="zh-CN" w:bidi="ar-SA"/>
      </w:rPr>
      <w:pict>
        <v:rect id="文本框 16" o:spid="_x0000_s1027" style="position:absolute;left:0;margin-top:0pt;height:144pt;width:144pt;mso-position-horizontal:outside;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rPr>
                    <w:rFonts w:hint="eastAsia"/>
                    <w:lang w:eastAsia="zh-CN"/>
                  </w:rPr>
                </w:pP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footnote w:id="0">
    <w:p>
      <w:pPr>
        <w:pStyle w:val="13"/>
        <w:snapToGrid w:val="0"/>
        <w:spacing w:line="300" w:lineRule="exact"/>
        <w:rPr>
          <w:rFonts w:hint="eastAsia" w:ascii="楷体_GB2312" w:hAnsi="楷体_GB2312" w:eastAsia="楷体_GB2312" w:cs="楷体_GB2312"/>
          <w:sz w:val="21"/>
          <w:szCs w:val="21"/>
        </w:rPr>
      </w:pPr>
      <w:r>
        <w:rPr>
          <w:rStyle w:val="17"/>
          <w:rFonts w:hint="eastAsia" w:ascii="楷体_GB2312" w:hAnsi="楷体_GB2312" w:eastAsia="楷体_GB2312" w:cs="楷体_GB2312"/>
          <w:sz w:val="21"/>
          <w:szCs w:val="21"/>
        </w:rPr>
        <w:footnoteRef/>
      </w:r>
      <w:r>
        <w:rPr>
          <w:rFonts w:hint="eastAsia" w:ascii="楷体_GB2312" w:hAnsi="楷体_GB2312" w:eastAsia="楷体_GB2312" w:cs="楷体_GB2312"/>
          <w:sz w:val="21"/>
          <w:szCs w:val="21"/>
        </w:rPr>
        <w:t xml:space="preserve"> 工业炉窑分级：达到超低排放标准要求或主要污染物浓度达到排放限值的50%为A级企业，稳定达标排放为B级企业，不能稳定达标排放为C级企业。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061898878">
    <w:nsid w:val="7AE6147E"/>
    <w:multiLevelType w:val="multilevel"/>
    <w:tmpl w:val="7AE6147E"/>
    <w:lvl w:ilvl="0" w:tentative="1">
      <w:start w:val="1"/>
      <w:numFmt w:val="chineseCountingThousand"/>
      <w:lvlText w:val="附图%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213398130">
    <w:nsid w:val="FB235A72"/>
    <w:multiLevelType w:val="singleLevel"/>
    <w:tmpl w:val="FB235A72"/>
    <w:lvl w:ilvl="0" w:tentative="1">
      <w:start w:val="4"/>
      <w:numFmt w:val="chineseCounting"/>
      <w:suff w:val="nothing"/>
      <w:lvlText w:val="第%1章　"/>
      <w:lvlJc w:val="left"/>
      <w:rPr>
        <w:rFonts w:hint="eastAsia"/>
      </w:rPr>
    </w:lvl>
  </w:abstractNum>
  <w:abstractNum w:abstractNumId="3089917500">
    <w:nsid w:val="B82C663C"/>
    <w:multiLevelType w:val="singleLevel"/>
    <w:tmpl w:val="B82C663C"/>
    <w:lvl w:ilvl="0" w:tentative="1">
      <w:start w:val="11"/>
      <w:numFmt w:val="chineseCounting"/>
      <w:suff w:val="nothing"/>
      <w:lvlText w:val="第%1章　"/>
      <w:lvlJc w:val="left"/>
      <w:rPr>
        <w:rFonts w:hint="eastAsia"/>
      </w:rPr>
    </w:lvl>
  </w:abstractNum>
  <w:abstractNum w:abstractNumId="2654816528">
    <w:nsid w:val="9E3D4910"/>
    <w:multiLevelType w:val="singleLevel"/>
    <w:tmpl w:val="9E3D4910"/>
    <w:lvl w:ilvl="0" w:tentative="1">
      <w:start w:val="1"/>
      <w:numFmt w:val="chineseCounting"/>
      <w:suff w:val="nothing"/>
      <w:lvlText w:val="第%1节　"/>
      <w:lvlJc w:val="left"/>
      <w:rPr>
        <w:rFonts w:hint="eastAsia"/>
      </w:rPr>
    </w:lvl>
  </w:abstractNum>
  <w:abstractNum w:abstractNumId="1705704217">
    <w:nsid w:val="65AAFB19"/>
    <w:multiLevelType w:val="singleLevel"/>
    <w:tmpl w:val="65AAFB19"/>
    <w:lvl w:ilvl="0" w:tentative="1">
      <w:start w:val="1"/>
      <w:numFmt w:val="chineseCounting"/>
      <w:suff w:val="nothing"/>
      <w:lvlText w:val="第%1节　"/>
      <w:lvlJc w:val="left"/>
      <w:rPr>
        <w:rFonts w:hint="eastAsia"/>
      </w:rPr>
    </w:lvl>
  </w:abstractNum>
  <w:abstractNum w:abstractNumId="1645584396">
    <w:nsid w:val="6215A00C"/>
    <w:multiLevelType w:val="singleLevel"/>
    <w:tmpl w:val="6215A00C"/>
    <w:lvl w:ilvl="0" w:tentative="1">
      <w:start w:val="2"/>
      <w:numFmt w:val="chineseCounting"/>
      <w:suff w:val="nothing"/>
      <w:lvlText w:val="第%1节"/>
      <w:lvlJc w:val="left"/>
    </w:lvl>
  </w:abstractNum>
  <w:abstractNum w:abstractNumId="1108271456">
    <w:nsid w:val="420EE160"/>
    <w:multiLevelType w:val="singleLevel"/>
    <w:tmpl w:val="420EE160"/>
    <w:lvl w:ilvl="0" w:tentative="1">
      <w:start w:val="1"/>
      <w:numFmt w:val="chineseCounting"/>
      <w:suff w:val="nothing"/>
      <w:lvlText w:val="第%1节　"/>
      <w:lvlJc w:val="left"/>
      <w:rPr>
        <w:rFonts w:hint="eastAsia"/>
      </w:rPr>
    </w:lvl>
  </w:abstractNum>
  <w:abstractNum w:abstractNumId="313120136">
    <w:nsid w:val="12A9D588"/>
    <w:multiLevelType w:val="singleLevel"/>
    <w:tmpl w:val="12A9D588"/>
    <w:lvl w:ilvl="0" w:tentative="1">
      <w:start w:val="1"/>
      <w:numFmt w:val="chineseCounting"/>
      <w:suff w:val="nothing"/>
      <w:lvlText w:val="第%1节　"/>
      <w:lvlJc w:val="left"/>
      <w:rPr>
        <w:rFonts w:hint="eastAsia"/>
      </w:rPr>
    </w:lvl>
  </w:abstractNum>
  <w:num w:numId="1">
    <w:abstractNumId w:val="313120136"/>
  </w:num>
  <w:num w:numId="2">
    <w:abstractNumId w:val="1645584396"/>
  </w:num>
  <w:num w:numId="3">
    <w:abstractNumId w:val="2654816528"/>
  </w:num>
  <w:num w:numId="4">
    <w:abstractNumId w:val="1108271456"/>
  </w:num>
  <w:num w:numId="5">
    <w:abstractNumId w:val="4213398130"/>
  </w:num>
  <w:num w:numId="6">
    <w:abstractNumId w:val="1705704217"/>
  </w:num>
  <w:num w:numId="7">
    <w:abstractNumId w:val="3089917500"/>
  </w:num>
  <w:num w:numId="8">
    <w:abstractNumId w:val="20618988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qFormat="1" w:unhideWhenUsed="0" w:uiPriority="0" w:semiHidden="0" w:name="Balloon Text"/>
  </w:latentStyles>
  <w:style w:type="paragraph" w:default="1" w:styleId="1">
    <w:name w:val="Normal"/>
    <w:next w:val="2"/>
    <w:qFormat/>
    <w:uiPriority w:val="0"/>
    <w:pPr>
      <w:widowControl w:val="0"/>
      <w:jc w:val="both"/>
    </w:pPr>
    <w:rPr>
      <w:rFonts w:ascii="Calibri" w:hAnsi="Calibri" w:eastAsia="仿宋_GB2312" w:cs="Times New Roman"/>
      <w:kern w:val="2"/>
      <w:sz w:val="32"/>
      <w:szCs w:val="22"/>
      <w:lang w:val="en-US" w:eastAsia="zh-CN" w:bidi="ar-SA"/>
    </w:rPr>
  </w:style>
  <w:style w:type="paragraph" w:styleId="3">
    <w:name w:val="heading 1"/>
    <w:basedOn w:val="1"/>
    <w:next w:val="1"/>
    <w:link w:val="36"/>
    <w:qFormat/>
    <w:uiPriority w:val="0"/>
    <w:pPr>
      <w:keepNext/>
      <w:keepLines/>
      <w:adjustRightInd w:val="0"/>
      <w:snapToGrid w:val="0"/>
      <w:spacing w:after="0" w:line="600" w:lineRule="exact"/>
      <w:ind w:firstLine="0" w:firstLineChars="0"/>
      <w:jc w:val="center"/>
      <w:outlineLvl w:val="0"/>
    </w:pPr>
    <w:rPr>
      <w:rFonts w:ascii="Times New Roman" w:hAnsi="Times New Roman" w:eastAsia="黑体" w:cs="Times New Roman"/>
      <w:bCs/>
      <w:kern w:val="44"/>
      <w:sz w:val="36"/>
      <w:szCs w:val="44"/>
    </w:rPr>
  </w:style>
  <w:style w:type="paragraph" w:styleId="4">
    <w:name w:val="heading 2"/>
    <w:basedOn w:val="1"/>
    <w:next w:val="1"/>
    <w:qFormat/>
    <w:uiPriority w:val="0"/>
    <w:pPr>
      <w:keepNext/>
      <w:keepLines/>
      <w:adjustRightInd w:val="0"/>
      <w:snapToGrid w:val="0"/>
      <w:spacing w:beforeLines="50" w:afterLines="50" w:line="560" w:lineRule="exact"/>
      <w:ind w:firstLine="0" w:firstLineChars="0"/>
      <w:jc w:val="center"/>
      <w:outlineLvl w:val="1"/>
    </w:pPr>
    <w:rPr>
      <w:rFonts w:ascii="Cambria" w:hAnsi="Cambria" w:eastAsia="楷体_GB2312" w:cs="Times New Roman"/>
      <w:b/>
      <w:bCs/>
      <w:kern w:val="0"/>
      <w:szCs w:val="32"/>
    </w:rPr>
  </w:style>
  <w:style w:type="paragraph" w:styleId="5">
    <w:name w:val="heading 3"/>
    <w:basedOn w:val="1"/>
    <w:next w:val="1"/>
    <w:qFormat/>
    <w:uiPriority w:val="0"/>
    <w:pPr>
      <w:kinsoku w:val="0"/>
      <w:overflowPunct w:val="0"/>
      <w:autoSpaceDE w:val="0"/>
      <w:autoSpaceDN w:val="0"/>
      <w:adjustRightInd w:val="0"/>
      <w:snapToGrid w:val="0"/>
      <w:spacing w:before="0" w:line="560" w:lineRule="exact"/>
      <w:ind w:firstLine="640" w:firstLineChars="200"/>
      <w:outlineLvl w:val="2"/>
    </w:pPr>
    <w:rPr>
      <w:rFonts w:ascii="Times New Roman" w:hAnsi="Times New Roman" w:cs="Times New Roman"/>
      <w:b/>
      <w:bCs/>
      <w:szCs w:val="32"/>
    </w:rPr>
  </w:style>
  <w:style w:type="character" w:default="1" w:styleId="15">
    <w:name w:val="Default Paragraph Font"/>
    <w:qFormat/>
    <w:uiPriority w:val="0"/>
  </w:style>
  <w:style w:type="paragraph" w:styleId="2">
    <w:name w:val="footer"/>
    <w:basedOn w:val="1"/>
    <w:qFormat/>
    <w:uiPriority w:val="0"/>
    <w:pPr>
      <w:tabs>
        <w:tab w:val="center" w:pos="4153"/>
        <w:tab w:val="right" w:pos="8306"/>
      </w:tabs>
      <w:snapToGrid w:val="0"/>
      <w:jc w:val="left"/>
    </w:pPr>
    <w:rPr>
      <w:sz w:val="18"/>
      <w:szCs w:val="18"/>
    </w:rPr>
  </w:style>
  <w:style w:type="paragraph" w:styleId="6">
    <w:name w:val="caption"/>
    <w:basedOn w:val="1"/>
    <w:next w:val="1"/>
    <w:qFormat/>
    <w:uiPriority w:val="0"/>
    <w:rPr>
      <w:rFonts w:ascii="Arial" w:hAnsi="Arial" w:eastAsia="黑体" w:cs="Times New Roman"/>
      <w:sz w:val="20"/>
      <w:szCs w:val="24"/>
    </w:rPr>
  </w:style>
  <w:style w:type="paragraph" w:styleId="7">
    <w:name w:val="toc 3"/>
    <w:basedOn w:val="1"/>
    <w:next w:val="1"/>
    <w:qFormat/>
    <w:uiPriority w:val="0"/>
    <w:pPr>
      <w:ind w:left="640" w:leftChars="200"/>
    </w:pPr>
    <w:rPr>
      <w:rFonts w:cs="Times New Roman"/>
      <w:sz w:val="28"/>
      <w:szCs w:val="24"/>
    </w:rPr>
  </w:style>
  <w:style w:type="paragraph" w:styleId="8">
    <w:name w:val="Plain Text"/>
    <w:basedOn w:val="1"/>
    <w:qFormat/>
    <w:uiPriority w:val="0"/>
    <w:pPr>
      <w:ind w:firstLine="420" w:firstLineChars="200"/>
    </w:pPr>
    <w:rPr>
      <w:rFonts w:ascii="宋体" w:hAnsi="Courier New" w:eastAsia="仿宋_GB2312" w:cs="Times New Roman"/>
      <w:sz w:val="32"/>
      <w:szCs w:val="24"/>
    </w:rPr>
  </w:style>
  <w:style w:type="paragraph" w:styleId="9">
    <w:name w:val="Body Text Indent 2"/>
    <w:basedOn w:val="1"/>
    <w:qFormat/>
    <w:uiPriority w:val="0"/>
    <w:pPr>
      <w:adjustRightInd w:val="0"/>
      <w:spacing w:line="0" w:lineRule="atLeast"/>
      <w:ind w:left="900" w:hanging="900"/>
      <w:textAlignment w:val="baseline"/>
    </w:pPr>
    <w:rPr>
      <w:rFonts w:cs="Times New Roman"/>
      <w:spacing w:val="4"/>
      <w:kern w:val="0"/>
      <w:sz w:val="28"/>
      <w:szCs w:val="20"/>
    </w:rPr>
  </w:style>
  <w:style w:type="paragraph" w:styleId="10">
    <w:name w:val="Balloon Text"/>
    <w:basedOn w:val="1"/>
    <w:qFormat/>
    <w:uiPriority w:val="0"/>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黑体" w:cs="Times New Roman"/>
      <w:sz w:val="28"/>
      <w:szCs w:val="24"/>
    </w:rPr>
  </w:style>
  <w:style w:type="paragraph" w:styleId="13">
    <w:name w:val="footnote text"/>
    <w:basedOn w:val="1"/>
    <w:qFormat/>
    <w:uiPriority w:val="0"/>
    <w:pPr>
      <w:snapToGrid w:val="0"/>
      <w:jc w:val="left"/>
    </w:pPr>
    <w:rPr>
      <w:rFonts w:cs="Times New Roman"/>
      <w:kern w:val="0"/>
      <w:sz w:val="18"/>
      <w:szCs w:val="18"/>
    </w:rPr>
  </w:style>
  <w:style w:type="paragraph" w:styleId="14">
    <w:name w:val="toc 2"/>
    <w:basedOn w:val="1"/>
    <w:next w:val="1"/>
    <w:qFormat/>
    <w:uiPriority w:val="0"/>
    <w:pPr>
      <w:ind w:left="320" w:leftChars="100"/>
    </w:pPr>
    <w:rPr>
      <w:rFonts w:eastAsia="楷体_GB2312" w:cs="Times New Roman"/>
      <w:sz w:val="28"/>
      <w:szCs w:val="24"/>
    </w:rPr>
  </w:style>
  <w:style w:type="character" w:styleId="16">
    <w:name w:val="page number"/>
    <w:basedOn w:val="15"/>
    <w:qFormat/>
    <w:uiPriority w:val="0"/>
    <w:rPr>
      <w:rFonts w:ascii="Calibri" w:hAnsi="Calibri" w:eastAsia="宋体" w:cs="Times New Roman"/>
    </w:rPr>
  </w:style>
  <w:style w:type="character" w:styleId="17">
    <w:name w:val="footnote reference"/>
    <w:qFormat/>
    <w:uiPriority w:val="0"/>
    <w:rPr>
      <w:rFonts w:ascii="Calibri" w:hAnsi="Calibri" w:eastAsia="宋体" w:cs="Times New Roman"/>
      <w:vertAlign w:val="superscript"/>
    </w:rPr>
  </w:style>
  <w:style w:type="paragraph" w:customStyle="1" w:styleId="18">
    <w:name w:val="正文文本缩进1"/>
    <w:basedOn w:val="1"/>
    <w:qFormat/>
    <w:uiPriority w:val="0"/>
    <w:pPr>
      <w:spacing w:line="150" w:lineRule="atLeast"/>
      <w:ind w:firstLine="420" w:firstLineChars="200"/>
      <w:textAlignment w:val="baseline"/>
    </w:pPr>
    <w:rPr>
      <w:rFonts w:cs="Times New Roman"/>
      <w:szCs w:val="24"/>
    </w:rPr>
  </w:style>
  <w:style w:type="paragraph" w:customStyle="1" w:styleId="19">
    <w:name w:val="正文 New New"/>
    <w:qFormat/>
    <w:uiPriority w:val="0"/>
    <w:pPr>
      <w:widowControl w:val="0"/>
      <w:jc w:val="both"/>
    </w:pPr>
    <w:rPr>
      <w:rFonts w:ascii="Calibri" w:hAnsi="Calibri" w:eastAsia="宋体" w:cs="Times New Roman"/>
      <w:kern w:val="2"/>
      <w:sz w:val="21"/>
      <w:lang w:val="en-US" w:eastAsia="zh-CN" w:bidi="ar-SA"/>
    </w:rPr>
  </w:style>
  <w:style w:type="paragraph" w:customStyle="1" w:styleId="20">
    <w:name w:val="正文首行缩进 21"/>
    <w:qFormat/>
    <w:uiPriority w:val="0"/>
    <w:pPr>
      <w:adjustRightInd w:val="0"/>
      <w:snapToGrid w:val="0"/>
      <w:spacing w:line="360" w:lineRule="auto"/>
      <w:ind w:firstLine="200" w:firstLineChars="200"/>
    </w:pPr>
    <w:rPr>
      <w:rFonts w:ascii="Calibri" w:hAnsi="Calibri" w:eastAsia="宋体" w:cs="Times New Roman"/>
      <w:sz w:val="24"/>
      <w:lang w:val="en-US" w:eastAsia="zh-CN" w:bidi="ar-SA"/>
    </w:rPr>
  </w:style>
  <w:style w:type="paragraph" w:customStyle="1" w:styleId="21">
    <w:name w:val="表格表头1"/>
    <w:unhideWhenUsed/>
    <w:qFormat/>
    <w:uiPriority w:val="0"/>
    <w:pPr>
      <w:spacing w:before="0" w:line="240" w:lineRule="auto"/>
      <w:jc w:val="center"/>
    </w:pPr>
    <w:rPr>
      <w:rFonts w:hint="default" w:ascii="仿宋_GB2312" w:hAnsi="仿宋_GB2312" w:eastAsia="仿宋" w:cs="黑体"/>
      <w:b/>
      <w:kern w:val="2"/>
      <w:sz w:val="24"/>
      <w:szCs w:val="22"/>
      <w:lang w:val="en-US" w:eastAsia="zh-CN" w:bidi="ar-SA"/>
    </w:rPr>
  </w:style>
  <w:style w:type="paragraph" w:customStyle="1" w:styleId="22">
    <w:name w:val="Normal Indent1"/>
    <w:basedOn w:val="21"/>
    <w:qFormat/>
    <w:uiPriority w:val="0"/>
    <w:pPr>
      <w:spacing w:line="500" w:lineRule="exact"/>
      <w:ind w:right="26" w:rightChars="8" w:firstLine="640"/>
    </w:pPr>
    <w:rPr>
      <w:rFonts w:ascii="楷体_GB2312" w:hAnsi="Times New Roman" w:eastAsia="楷体_GB2312"/>
      <w:szCs w:val="32"/>
    </w:rPr>
  </w:style>
  <w:style w:type="paragraph" w:customStyle="1" w:styleId="23">
    <w:name w:val="正文文本首行缩进 21"/>
    <w:basedOn w:val="18"/>
    <w:qFormat/>
    <w:uiPriority w:val="0"/>
    <w:pPr>
      <w:spacing w:line="360" w:lineRule="auto"/>
    </w:pPr>
    <w:rPr>
      <w:rFonts w:eastAsia="宋体"/>
      <w:sz w:val="24"/>
    </w:rPr>
  </w:style>
  <w:style w:type="paragraph" w:customStyle="1" w:styleId="24">
    <w:name w:val="NormalIndent"/>
    <w:basedOn w:val="1"/>
    <w:qFormat/>
    <w:uiPriority w:val="0"/>
    <w:pPr>
      <w:spacing w:line="500" w:lineRule="exact"/>
      <w:ind w:right="8" w:rightChars="8" w:firstLine="640" w:firstLineChars="200"/>
      <w:textAlignment w:val="baseline"/>
    </w:pPr>
    <w:rPr>
      <w:rFonts w:ascii="楷体_GB2312" w:eastAsia="楷体_GB2312" w:cs="Times New Roman"/>
      <w:sz w:val="30"/>
      <w:szCs w:val="30"/>
    </w:rPr>
  </w:style>
  <w:style w:type="paragraph" w:customStyle="1" w:styleId="25">
    <w:name w:val="样式2"/>
    <w:basedOn w:val="1"/>
    <w:qFormat/>
    <w:uiPriority w:val="0"/>
    <w:pPr>
      <w:spacing w:line="240" w:lineRule="auto"/>
      <w:ind w:firstLine="0" w:firstLineChars="0"/>
      <w:jc w:val="center"/>
    </w:pPr>
    <w:rPr>
      <w:rFonts w:eastAsia="仿宋" w:cs="Times New Roman"/>
      <w:sz w:val="24"/>
      <w:szCs w:val="24"/>
    </w:rPr>
  </w:style>
  <w:style w:type="paragraph" w:customStyle="1" w:styleId="26">
    <w:name w:val="M表标题"/>
    <w:next w:val="20"/>
    <w:qFormat/>
    <w:uiPriority w:val="0"/>
    <w:pPr>
      <w:keepNext/>
      <w:spacing w:line="360" w:lineRule="auto"/>
      <w:jc w:val="center"/>
    </w:pPr>
    <w:rPr>
      <w:rFonts w:ascii="Calibri" w:hAnsi="Calibri" w:eastAsia="黑体" w:cs="Times New Roman"/>
      <w:b/>
      <w:bCs/>
      <w:sz w:val="24"/>
      <w:szCs w:val="24"/>
      <w:lang w:val="en-US" w:eastAsia="zh-CN" w:bidi="ar-SA"/>
    </w:rPr>
  </w:style>
  <w:style w:type="paragraph" w:customStyle="1" w:styleId="27">
    <w:name w:val="正文1"/>
    <w:basedOn w:val="1"/>
    <w:link w:val="35"/>
    <w:qFormat/>
    <w:uiPriority w:val="0"/>
    <w:pPr>
      <w:adjustRightInd/>
      <w:snapToGrid/>
      <w:spacing w:line="560" w:lineRule="exact"/>
      <w:ind w:firstLine="640" w:firstLineChars="200"/>
    </w:pPr>
    <w:rPr>
      <w:rFonts w:ascii="仿宋_GB2312" w:hAnsi="仿宋_GB2312" w:cs="Times New Roman"/>
      <w:szCs w:val="24"/>
    </w:rPr>
  </w:style>
  <w:style w:type="paragraph" w:customStyle="1" w:styleId="28">
    <w:name w:val="_Style 5"/>
    <w:qFormat/>
    <w:uiPriority w:val="0"/>
    <w:pPr>
      <w:widowControl w:val="0"/>
      <w:ind w:firstLine="200" w:firstLineChars="200"/>
      <w:jc w:val="both"/>
    </w:pPr>
    <w:rPr>
      <w:rFonts w:ascii="Calibri" w:hAnsi="Calibri" w:eastAsia="宋体" w:cs="宋体"/>
      <w:kern w:val="2"/>
      <w:sz w:val="24"/>
      <w:szCs w:val="22"/>
      <w:lang w:val="en-US" w:eastAsia="zh-CN" w:bidi="ar-SA"/>
    </w:rPr>
  </w:style>
  <w:style w:type="paragraph" w:customStyle="1" w:styleId="29">
    <w:name w:val="WPSOffice手动目录 1"/>
    <w:qFormat/>
    <w:uiPriority w:val="0"/>
    <w:pPr>
      <w:ind w:leftChars="0"/>
    </w:pPr>
    <w:rPr>
      <w:rFonts w:ascii="Calibri" w:hAnsi="Calibri" w:eastAsia="宋体" w:cs="Times New Roman"/>
      <w:sz w:val="20"/>
      <w:szCs w:val="20"/>
    </w:rPr>
  </w:style>
  <w:style w:type="paragraph" w:customStyle="1" w:styleId="30">
    <w:name w:val="WPSOffice手动目录 2"/>
    <w:qFormat/>
    <w:uiPriority w:val="0"/>
    <w:pPr>
      <w:ind w:leftChars="200"/>
    </w:pPr>
    <w:rPr>
      <w:rFonts w:ascii="Calibri" w:hAnsi="Calibri" w:eastAsia="宋体" w:cs="Times New Roman"/>
      <w:sz w:val="20"/>
      <w:szCs w:val="20"/>
    </w:rPr>
  </w:style>
  <w:style w:type="character" w:customStyle="1" w:styleId="31">
    <w:name w:val="批注框文本 Char Char"/>
    <w:qFormat/>
    <w:uiPriority w:val="0"/>
    <w:rPr>
      <w:kern w:val="2"/>
      <w:sz w:val="18"/>
      <w:szCs w:val="18"/>
    </w:rPr>
  </w:style>
  <w:style w:type="character" w:customStyle="1" w:styleId="32">
    <w:name w:val="页脚 Char Char"/>
    <w:qFormat/>
    <w:uiPriority w:val="0"/>
    <w:rPr>
      <w:kern w:val="2"/>
      <w:sz w:val="18"/>
      <w:szCs w:val="18"/>
    </w:rPr>
  </w:style>
  <w:style w:type="character" w:customStyle="1" w:styleId="33">
    <w:name w:val="页眉 Char Char"/>
    <w:qFormat/>
    <w:uiPriority w:val="0"/>
    <w:rPr>
      <w:kern w:val="2"/>
      <w:sz w:val="18"/>
      <w:szCs w:val="18"/>
    </w:rPr>
  </w:style>
  <w:style w:type="character" w:customStyle="1" w:styleId="34">
    <w:name w:val="font31"/>
    <w:basedOn w:val="15"/>
    <w:qFormat/>
    <w:uiPriority w:val="0"/>
    <w:rPr>
      <w:rFonts w:hint="default" w:ascii="Times New Roman" w:hAnsi="Times New Roman" w:eastAsia="宋体" w:cs="Times New Roman"/>
      <w:color w:val="000000"/>
      <w:sz w:val="24"/>
      <w:szCs w:val="24"/>
      <w:u w:val="none"/>
    </w:rPr>
  </w:style>
  <w:style w:type="character" w:customStyle="1" w:styleId="35">
    <w:name w:val="正文1 Char"/>
    <w:link w:val="27"/>
    <w:qFormat/>
    <w:uiPriority w:val="0"/>
    <w:rPr>
      <w:rFonts w:ascii="仿宋_GB2312" w:hAnsi="仿宋_GB2312" w:eastAsia="宋体" w:cs="Times New Roman"/>
    </w:rPr>
  </w:style>
  <w:style w:type="character" w:customStyle="1" w:styleId="36">
    <w:name w:val="标题 1 Char"/>
    <w:link w:val="3"/>
    <w:qFormat/>
    <w:uiPriority w:val="0"/>
    <w:rPr>
      <w:rFonts w:ascii="Times New Roman" w:hAnsi="Times New Roman" w:eastAsia="黑体" w:cs="Times New Roman"/>
      <w:bCs/>
      <w:kern w:val="44"/>
      <w:sz w:val="36"/>
      <w:szCs w:val="4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theme" Target="theme/theme1.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 Type="http://schemas.openxmlformats.org/officeDocument/2006/relationships/styles" Target="styles.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customXml" Target="../customXml/item1.xml"/><Relationship Id="rId25"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notes" Target="footnote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H:\OAAssist_Temp_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OAAssist_Temp_1.docx</Template>
  <Pages>107</Pages>
  <Words>46120</Words>
  <Characters>47696</Characters>
  <Lines>1</Lines>
  <Paragraphs>1</Paragraphs>
  <ScaleCrop>false</ScaleCrop>
  <LinksUpToDate>false</LinksUpToDate>
  <CharactersWithSpaces>0</CharactersWithSpaces>
  <Application>WPS Office 个人版_9.1.0.4619_{F1E327BC-269C-435d-A152-05C5408002CA}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2022-03-10T07:35:00Z</dcterms:created>
  <dc:creator>李燕枚</dc:creator>
  <cp:lastModifiedBy>李燕枚</cp:lastModifiedBy>
  <cp:lastPrinted>2022-03-10T07:13:00Z</cp:lastPrinted>
  <dcterms:modified xsi:type="dcterms:W3CDTF">2022-03-22T02:59:49Z</dcterms:modified>
  <dc:title>韶府办〔2022〕1号</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2052-9.1.0.4619</vt:lpwstr>
  </property>
  <property fmtid="{D5CDD505-2E9C-101B-9397-08002B2CF9AE}" pid="3" name="showFlag">
    <vt:bool>false</vt:bool>
  </property>
  <property fmtid="{D5CDD505-2E9C-101B-9397-08002B2CF9AE}" pid="4" name="btnFileSaveAsFlag">
    <vt:lpwstr>0</vt:lpwstr>
  </property>
  <property fmtid="{D5CDD505-2E9C-101B-9397-08002B2CF9AE}" pid="5" name="btnFileSaveFlag">
    <vt:lpwstr>1</vt:lpwstr>
  </property>
  <property fmtid="{D5CDD505-2E9C-101B-9397-08002B2CF9AE}" pid="6" name="code20">
    <vt:lpwstr>vl8334t0q37jhjlqilitii</vt:lpwstr>
  </property>
  <property fmtid="{D5CDD505-2E9C-101B-9397-08002B2CF9AE}" pid="7" name="codetype">
    <vt:lpwstr>encrypt</vt:lpwstr>
  </property>
  <property fmtid="{D5CDD505-2E9C-101B-9397-08002B2CF9AE}" pid="8" name="cp_browser">
    <vt:lpwstr>chrome</vt:lpwstr>
  </property>
  <property fmtid="{D5CDD505-2E9C-101B-9397-08002B2CF9AE}" pid="9" name="cp_itemId">
    <vt:r8>9117515</vt:r8>
  </property>
  <property fmtid="{D5CDD505-2E9C-101B-9397-08002B2CF9AE}" pid="10" name="cp_itemType">
    <vt:lpwstr>missive</vt:lpwstr>
  </property>
  <property fmtid="{D5CDD505-2E9C-101B-9397-08002B2CF9AE}" pid="11" name="cp_title">
    <vt:lpwstr>韶关市人民政府办公室关于印发韶关市生态环境保护“十四五”规划的通知</vt:lpwstr>
  </property>
  <property fmtid="{D5CDD505-2E9C-101B-9397-08002B2CF9AE}" pid="12" name="docPrint">
    <vt:r8>1</vt:r8>
  </property>
  <property fmtid="{D5CDD505-2E9C-101B-9397-08002B2CF9AE}" pid="13" name="docSaveAs">
    <vt:r8>1</vt:r8>
  </property>
  <property fmtid="{D5CDD505-2E9C-101B-9397-08002B2CF9AE}" pid="14" name="openType">
    <vt:lpwstr>1</vt:lpwstr>
  </property>
  <property fmtid="{D5CDD505-2E9C-101B-9397-08002B2CF9AE}" pid="15" name="showButton">
    <vt:lpwstr>WPSExtOfficeTab;btnShowRevision;btnUploadOA;btnSaveAsLocal;btnImportDoc;btnUploadOAbeifen</vt:lpwstr>
  </property>
  <property fmtid="{D5CDD505-2E9C-101B-9397-08002B2CF9AE}" pid="16" name="uploadPath">
    <vt:lpwstr>https://xtbgsafe.gdzwfw.gov.cn/sgoa/instance-web/minstone/wfDocBody/saveDocBodyWps?flowInid=9117515&amp;stepInco=57349218&amp;dealIndx=0&amp;openType=1&amp;flowId=346&amp;stepCode=13&amp;readOnly=0&amp;curUserCode=17621491363&amp;sysCode=MD_SG_OA&amp;tenantCode=GDSXXZX&amp;r=0.3117835940877727&amp;fileCode=bff34a86ba9643cb85b412bd6f80d1ed&amp;id=bff34a86ba9643cb85b412bd6f80d1ed&amp;docTempCode=&amp;userUuid=b7f4a121250646a882ec1692c46f9657</vt:lpwstr>
  </property>
  <property fmtid="{D5CDD505-2E9C-101B-9397-08002B2CF9AE}" pid="17" name="urlParams">
    <vt:lpwstr>flowInid=9117515&amp;stepInco=57349218&amp;dealIndx=0&amp;openType=1&amp;flowId=346&amp;stepCode=13&amp;readOnly=0&amp;curUserCode=17621491363&amp;sysCode=MD_SG_OA&amp;tenantCode=GDSXXZX&amp;r=0.3117835940877727&amp;fileCode=bff34a86ba9643cb85b412bd6f80d1ed&amp;id=bff34a86ba9643cb85b412bd6f80d1ed&amp;docTempCode=&amp;userUuid=b7f4a121250646a882ec1692c46f9657</vt:lpwstr>
  </property>
  <property fmtid="{D5CDD505-2E9C-101B-9397-08002B2CF9AE}" pid="18" name="userName">
    <vt:lpwstr>王闽</vt:lpwstr>
  </property>
  <property fmtid="{D5CDD505-2E9C-101B-9397-08002B2CF9AE}" pid="19" name="lockDocUrl">
    <vt:lpwstr>https://xtbgsafe.gdzwfw.gov.cn/sgoa/instance-web/minstone/wfDocBody/getLockInfo?flowInid=9117515&amp;stepInco=57349218&amp;dealIndx=0&amp;openType=1&amp;flowId=346&amp;stepCode=13&amp;readOnly=0&amp;curUserCode=17621491363&amp;sysCode=MD_SG_OA&amp;tenantCode=GDSXXZX&amp;r=0.3117835940877727&amp;fileCode=bff34a86ba9643cb85b412bd6f80d1ed&amp;id=bff34a86ba9643cb85b412bd6f80d1ed&amp;docTempCode=&amp;userUuid=b7f4a121250646a882ec1692c46f9657</vt:lpwstr>
  </property>
  <property fmtid="{D5CDD505-2E9C-101B-9397-08002B2CF9AE}" pid="20" name="copyUrl">
    <vt:lpwstr>https://xtbgsafe.gdzwfw.gov.cn/sgoa/instance-web/minstone/wfDocBody/copyDoc?flowInid=9117515&amp;stepInco=57349218&amp;dealIndx=0&amp;openType=1&amp;flowId=346&amp;stepCode=13&amp;readOnly=0&amp;curUserCode=17621491363&amp;sysCode=MD_SG_OA&amp;tenantCode=GDSXXZX&amp;r=0.3117835940877727&amp;fileCode=bff34a86ba9643cb85b412bd6f80d1ed&amp;id=bff34a86ba9643cb85b412bd6f80d1ed&amp;docTempCode=&amp;userUuid=b7f4a121250646a882ec1692c46f9657</vt:lpwstr>
  </property>
  <property fmtid="{D5CDD505-2E9C-101B-9397-08002B2CF9AE}" pid="21" name="pdfCopyUrl">
    <vt:lpwstr>https://xtbgsafe.gdzwfw.gov.cn/sgoa/instance-web/minstone/wfDocBody/pdfCopyDoc?flowInid=9117515&amp;stepInco=57349218&amp;dealIndx=0&amp;openType=1&amp;flowId=346&amp;stepCode=13&amp;readOnly=0&amp;curUserCode=17621491363&amp;sysCode=MD_SG_OA&amp;tenantCode=GDSXXZX&amp;r=0.3117835940877727&amp;fileCode=bff34a86ba9643cb85b412bd6f80d1ed&amp;id=bff34a86ba9643cb85b412bd6f80d1ed&amp;docTempCode=&amp;userUuid=b7f4a121250646a882ec1692c46f9657</vt:lpwstr>
  </property>
  <property fmtid="{D5CDD505-2E9C-101B-9397-08002B2CF9AE}" pid="22" name="unLockDocurl">
    <vt:lpwstr>https://xtbgsafe.gdzwfw.gov.cn/sgoa/instance-web/minstone/wfDocBody/unLockDoc?flowInid=9117515&amp;stepInco=57349218&amp;dealIndx=0&amp;openType=1&amp;flowId=346&amp;stepCode=13&amp;readOnly=0&amp;curUserCode=17621491363&amp;sysCode=MD_SG_OA&amp;tenantCode=GDSXXZX&amp;r=0.3117835940877727&amp;fileCode=bff34a86ba9643cb85b412bd6f80d1ed&amp;id=bff34a86ba9643cb85b412bd6f80d1ed&amp;docTempCode=&amp;userUuid=b7f4a121250646a882ec1692c46f9657</vt:lpwstr>
  </property>
  <property fmtid="{D5CDD505-2E9C-101B-9397-08002B2CF9AE}" pid="23" name="ribbonExt">
    <vt:lpwstr>{"WPSExtOfficeTab":{"OnGetEnabled":true,"OnGetVisible":true},"btnUploadOA":{"OnGetEnabled":true,"OnGetVisible":true,"OnGetLabel":"保存","GetImage":"icon/uploadoa.ico"},"btnSaveAsLocal":{"OnGetEnabled":true,"OnGetVisible":true,"OnGetLabel":"另存文件","GetImage":"icon/DecomposeDoc.ico"},"btnImportDoc":{"OnGetEnabled":true,"OnGetVisible":true,"OnGetLabel":"导入正文","GetImage":"icon/ImportDoc.ico"},"btnImportTemp":{"OnGetEnabled":false,"OnGetVisible":false,"OnGetLabel":"导入正文模板","GetImage":"icon/show.ico"},"btnInsertRedHeader":{"OnGetEnabled":false,"OnGetVisible":false,"OnGetLabel":"套红头","GetImage":"icon/red.ico"},"btnClearRevDoc":{"OnGetEnabled":false,"OnGetVisible":false,"OnGetLabel":"清除痕迹","GetImage":"icon/yes.ico"},"btnUploadOAbeifen":{"OnGetEnabled":true,"OnGetVisible":true,"OnGetLabel":"备份正文","GetImage":"icon/uploadoa.ico"},"btnPrintDOC":{"OnGetEnabled":false,"OnGetVisible":false,"OnGetLabel":"打印","GetImage":"icon/printdoc.ico"},"btnShowRevision":{"OnGetEnabled":true,"OnGetVisible":true,"OnGetLabel":"显示/隐藏痕迹","GetImage":"icon/ShowRevision.ico"},"btnOpenOA":{"OnGetEnabled":false,"OnGetVisible":false,"OnGetLabel":"打开OA","GetImage":"icon/oa.ico"},"btnOpenScan":{"OnGetEnabled":false,"OnGetVisible":false,"OnGetLabel":"打开扫描仪","GetImage":"icon/openscan.ico"},"btnPageSetup":{"OnGetEnabled":false,"OnGetVisible":false,"OnGetLabel":"页面设置","GetImage":"icon/pagesetup.ico"},"btnInsertDate":{"OnGetEnabled":false,"OnGetVisible":false,"OnGetLabel":"插入时间","GetImage":"icon/time.ico"},"btnInsertPic":{"OnGetEnabled":false,"OnGetVisible":false,"OnGetLabel":"插入图片","GetImage":"icon/erweima.ico"},"btnChangeToPDF":{"OnGetEnabled":false,"OnGetVisible":false,"OnGetLabel":"转PDF上传","GetImage":"icon/pdf.ico"},"btnChangeToUOT":{"OnGetEnabled":false,"OnGetVisible":false,"OnGetLabel":"转UOT上传","GetImage":"icon/show.ico"},"btnFilePath":{"OnGetVisible":false,"OnGetLabel":"OA文件信息："},"btnAboutAssist":{"OnGetEnabled":false,"GetImage":"icon/help.ico"},"btnDocCheck":{"OnGetEnabled":false,"GetImage":"icon/btnDocInfo.ico"},"btnSelectBookmark":{"OnGetEnabled":false,"GetImage":"icon/bookmark.ico"},"btnAcceptAllRevisions":{"OnGetEnabled":false,"OnGetVisible":false,"OnGetLabel":"接受修订","GetImage":"icon/yes.ico"},"btnRejectAllRevisions":{"OnGetEnabled":false,"OnGetVisible":false,"OnGetLabel":"拒绝修订","GetImage":"icon/no.ico"}}</vt:lpwstr>
  </property>
  <property fmtid="{D5CDD505-2E9C-101B-9397-08002B2CF9AE}" pid="24" name="showSavePromptFlag">
    <vt:lpwstr>true</vt:lpwstr>
  </property>
</Properties>
</file>