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rPr>
          <w:rFonts w:hint="default" w:ascii="仿宋" w:hAnsi="仿宋" w:eastAsia="仿宋" w:cs="仿宋"/>
          <w:color w:val="auto"/>
          <w:sz w:val="32"/>
          <w:szCs w:val="32"/>
          <w:lang w:val="en-US" w:eastAsia="zh-CN"/>
        </w:rPr>
      </w:pPr>
      <w:bookmarkStart w:id="0" w:name="_GoBack"/>
      <w:bookmarkEnd w:id="0"/>
      <w:r>
        <w:rPr>
          <w:rFonts w:hint="eastAsia" w:ascii="仿宋" w:hAnsi="仿宋" w:eastAsia="仿宋" w:cs="仿宋"/>
          <w:color w:val="auto"/>
          <w:sz w:val="32"/>
          <w:szCs w:val="32"/>
          <w:lang w:eastAsia="zh-CN"/>
        </w:rPr>
        <w:t>附件</w:t>
      </w:r>
      <w:r>
        <w:rPr>
          <w:rFonts w:hint="eastAsia" w:ascii="仿宋" w:hAnsi="仿宋" w:eastAsia="仿宋" w:cs="仿宋"/>
          <w:color w:val="auto"/>
          <w:sz w:val="32"/>
          <w:szCs w:val="32"/>
          <w:lang w:val="en-US" w:eastAsia="zh-CN"/>
        </w:rPr>
        <w:t>3：</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遴选</w:t>
      </w:r>
      <w:r>
        <w:rPr>
          <w:rFonts w:hint="eastAsia" w:ascii="仿宋" w:hAnsi="仿宋" w:eastAsia="仿宋" w:cs="仿宋"/>
          <w:color w:val="auto"/>
          <w:sz w:val="32"/>
          <w:szCs w:val="32"/>
          <w:lang w:val="en-US" w:eastAsia="zh-CN"/>
        </w:rPr>
        <w:t>2022年</w:t>
      </w:r>
      <w:r>
        <w:rPr>
          <w:rFonts w:hint="eastAsia" w:ascii="仿宋" w:hAnsi="仿宋" w:eastAsia="仿宋" w:cs="仿宋"/>
          <w:color w:val="auto"/>
          <w:sz w:val="32"/>
          <w:szCs w:val="32"/>
          <w:lang w:eastAsia="zh-CN"/>
        </w:rPr>
        <w:t>韶关</w:t>
      </w:r>
      <w:r>
        <w:rPr>
          <w:rFonts w:hint="eastAsia" w:ascii="仿宋" w:hAnsi="仿宋" w:eastAsia="仿宋" w:cs="仿宋"/>
          <w:color w:val="auto"/>
          <w:sz w:val="32"/>
          <w:szCs w:val="32"/>
        </w:rPr>
        <w:t>市职业技能</w:t>
      </w:r>
      <w:r>
        <w:rPr>
          <w:rFonts w:hint="eastAsia" w:ascii="仿宋" w:hAnsi="仿宋" w:eastAsia="仿宋" w:cs="仿宋"/>
          <w:color w:val="auto"/>
          <w:sz w:val="32"/>
          <w:szCs w:val="32"/>
          <w:lang w:eastAsia="zh-CN"/>
        </w:rPr>
        <w:t>鉴定考评员培训班工作承办单位评分表</w:t>
      </w:r>
    </w:p>
    <w:p>
      <w:pPr>
        <w:pStyle w:val="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eastAsia" w:ascii="仿宋" w:hAnsi="仿宋" w:eastAsia="仿宋" w:cs="仿宋"/>
          <w:color w:val="auto"/>
          <w:sz w:val="21"/>
          <w:szCs w:val="21"/>
          <w:lang w:eastAsia="zh-CN"/>
        </w:rPr>
      </w:pPr>
    </w:p>
    <w:tbl>
      <w:tblPr>
        <w:tblStyle w:val="5"/>
        <w:tblW w:w="104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687"/>
        <w:gridCol w:w="5738"/>
        <w:gridCol w:w="775"/>
        <w:gridCol w:w="750"/>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序号</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评分项</w:t>
            </w:r>
          </w:p>
        </w:tc>
        <w:tc>
          <w:tcPr>
            <w:tcW w:w="5738"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评分基准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c>
          <w:tcPr>
            <w:tcW w:w="750"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自评</w:t>
            </w:r>
          </w:p>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c>
          <w:tcPr>
            <w:tcW w:w="773" w:type="dxa"/>
            <w:vAlign w:val="center"/>
          </w:tcPr>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评审</w:t>
            </w:r>
          </w:p>
          <w:p>
            <w:pPr>
              <w:pStyle w:val="6"/>
              <w:keepNext w:val="0"/>
              <w:keepLines w:val="0"/>
              <w:pageBreakBefore w:val="0"/>
              <w:widowControl w:val="0"/>
              <w:kinsoku/>
              <w:wordWrap/>
              <w:overflowPunct/>
              <w:topLinePunct w:val="0"/>
              <w:autoSpaceDE/>
              <w:autoSpaceDN/>
              <w:bidi w:val="0"/>
              <w:adjustRightInd/>
              <w:snapToGrid/>
              <w:spacing w:after="0" w:line="12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所属地</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rPr>
              <w:t>市职业技能服务中心为更好地对承办单位进行指导和管理</w:t>
            </w:r>
            <w:r>
              <w:rPr>
                <w:rFonts w:hint="eastAsia" w:ascii="仿宋" w:hAnsi="仿宋" w:eastAsia="仿宋" w:cs="仿宋"/>
                <w:color w:val="auto"/>
                <w:sz w:val="24"/>
                <w:szCs w:val="24"/>
                <w:vertAlign w:val="baseline"/>
                <w:lang w:eastAsia="zh-CN"/>
              </w:rPr>
              <w:t>，申请机构所属地需为临近单位：</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1.浈江区和武江区，得10分；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2.曲江区，得7分；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3.乐昌市、南雄市、乳源县、始兴县、仁化县，得5分；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4、翁源县，得3分；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5、新丰县，得1分。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单位资质</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申请承办工作</w:t>
            </w:r>
            <w:r>
              <w:rPr>
                <w:rFonts w:hint="eastAsia" w:ascii="仿宋" w:hAnsi="仿宋" w:eastAsia="仿宋" w:cs="仿宋"/>
                <w:color w:val="auto"/>
                <w:sz w:val="24"/>
                <w:szCs w:val="24"/>
              </w:rPr>
              <w:t>的单位应为我市行业主管部门、</w:t>
            </w:r>
            <w:r>
              <w:rPr>
                <w:rFonts w:hint="eastAsia" w:ascii="仿宋" w:hAnsi="仿宋" w:eastAsia="仿宋" w:cs="仿宋"/>
                <w:color w:val="auto"/>
                <w:sz w:val="24"/>
                <w:szCs w:val="24"/>
                <w:lang w:eastAsia="zh-CN"/>
              </w:rPr>
              <w:t>经市（县、区）人力资源和社会保障部门备案并颁发办学许可证的培训机构和</w:t>
            </w:r>
            <w:r>
              <w:rPr>
                <w:rFonts w:hint="eastAsia" w:ascii="仿宋" w:hAnsi="仿宋" w:eastAsia="仿宋" w:cs="仿宋"/>
                <w:color w:val="auto"/>
                <w:sz w:val="24"/>
                <w:szCs w:val="24"/>
              </w:rPr>
              <w:t>具有法人资格的企</w:t>
            </w:r>
            <w:r>
              <w:rPr>
                <w:rFonts w:hint="eastAsia" w:ascii="仿宋" w:hAnsi="仿宋" w:eastAsia="仿宋" w:cs="仿宋"/>
                <w:color w:val="auto"/>
                <w:sz w:val="24"/>
                <w:szCs w:val="24"/>
                <w:lang w:eastAsia="zh-CN"/>
              </w:rPr>
              <w:t>、事</w:t>
            </w:r>
            <w:r>
              <w:rPr>
                <w:rFonts w:hint="eastAsia" w:ascii="仿宋" w:hAnsi="仿宋" w:eastAsia="仿宋" w:cs="仿宋"/>
                <w:color w:val="auto"/>
                <w:sz w:val="24"/>
                <w:szCs w:val="24"/>
              </w:rPr>
              <w:t>业</w:t>
            </w:r>
            <w:r>
              <w:rPr>
                <w:rFonts w:hint="eastAsia" w:ascii="仿宋" w:hAnsi="仿宋" w:eastAsia="仿宋" w:cs="仿宋"/>
                <w:color w:val="auto"/>
                <w:sz w:val="24"/>
                <w:szCs w:val="24"/>
                <w:lang w:eastAsia="zh-CN"/>
              </w:rPr>
              <w:t>单位</w:t>
            </w:r>
            <w:r>
              <w:rPr>
                <w:rFonts w:hint="eastAsia" w:ascii="仿宋" w:hAnsi="仿宋" w:eastAsia="仿宋" w:cs="仿宋"/>
                <w:color w:val="auto"/>
                <w:sz w:val="24"/>
                <w:szCs w:val="24"/>
              </w:rPr>
              <w:t>及社会组织等</w:t>
            </w:r>
            <w:r>
              <w:rPr>
                <w:rFonts w:hint="eastAsia" w:ascii="仿宋" w:hAnsi="仿宋" w:eastAsia="仿宋" w:cs="仿宋"/>
                <w:color w:val="auto"/>
                <w:sz w:val="24"/>
                <w:szCs w:val="24"/>
                <w:lang w:eastAsia="zh-CN"/>
              </w:rPr>
              <w:t>，需按照通知中申请条件提供相关作证资料：</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1.独立申请，得10分；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2.联合（合作）申请，得5分。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场地设施设备</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需</w:t>
            </w:r>
            <w:r>
              <w:rPr>
                <w:rFonts w:hint="eastAsia" w:ascii="仿宋" w:hAnsi="仿宋" w:eastAsia="仿宋" w:cs="仿宋"/>
                <w:color w:val="auto"/>
                <w:sz w:val="24"/>
                <w:szCs w:val="24"/>
              </w:rPr>
              <w:t>具备筹措满足</w:t>
            </w:r>
            <w:r>
              <w:rPr>
                <w:rFonts w:hint="eastAsia" w:ascii="仿宋" w:hAnsi="仿宋" w:eastAsia="仿宋" w:cs="仿宋"/>
                <w:color w:val="auto"/>
                <w:sz w:val="24"/>
                <w:szCs w:val="24"/>
                <w:lang w:eastAsia="zh-CN"/>
              </w:rPr>
              <w:t>培训工作</w:t>
            </w:r>
            <w:r>
              <w:rPr>
                <w:rFonts w:hint="eastAsia" w:ascii="仿宋" w:hAnsi="仿宋" w:eastAsia="仿宋" w:cs="仿宋"/>
                <w:color w:val="auto"/>
                <w:sz w:val="24"/>
                <w:szCs w:val="24"/>
              </w:rPr>
              <w:t>要求的场地、</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必要设施设备等硬性条件</w:t>
            </w:r>
            <w:r>
              <w:rPr>
                <w:rFonts w:hint="eastAsia" w:ascii="仿宋" w:hAnsi="仿宋" w:eastAsia="仿宋" w:cs="仿宋"/>
                <w:color w:val="auto"/>
                <w:sz w:val="24"/>
                <w:szCs w:val="24"/>
                <w:lang w:val="en-US" w:eastAsia="zh-CN"/>
              </w:rPr>
              <w:t>的</w:t>
            </w:r>
            <w:r>
              <w:rPr>
                <w:rFonts w:hint="eastAsia" w:ascii="仿宋" w:hAnsi="仿宋" w:eastAsia="仿宋" w:cs="仿宋"/>
                <w:color w:val="auto"/>
                <w:sz w:val="24"/>
                <w:szCs w:val="24"/>
              </w:rPr>
              <w:t>能力</w:t>
            </w:r>
            <w:r>
              <w:rPr>
                <w:rFonts w:hint="eastAsia" w:ascii="仿宋" w:hAnsi="仿宋" w:eastAsia="仿宋" w:cs="仿宋"/>
                <w:color w:val="auto"/>
                <w:sz w:val="24"/>
                <w:szCs w:val="24"/>
                <w:lang w:eastAsia="zh-CN"/>
              </w:rPr>
              <w:t>，并能承接所申请的专业（工种）至少</w:t>
            </w:r>
            <w:r>
              <w:rPr>
                <w:rFonts w:hint="eastAsia" w:ascii="仿宋" w:hAnsi="仿宋" w:eastAsia="仿宋" w:cs="仿宋"/>
                <w:color w:val="auto"/>
                <w:sz w:val="24"/>
                <w:szCs w:val="24"/>
                <w:lang w:val="en-US" w:eastAsia="zh-CN"/>
              </w:rPr>
              <w:t>100人的培训班，三个班为基础，得分10分，不超过6个培训班，每增加一个培训班，得2分；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12分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培训组织</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做好政策宣传、组织报名和制定工作方案，包括：实施方案、应急方案、收费标准和预算、课程安排等：</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1.工作方案能结合实际，能根据政府要求设置应急方案，收费标准合理设置，能预测成本支出，规范安排课程内容，得20分；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2.工作方案较能结合实际，能根据政府要求设置较好的应急方案，收费标准比较合理，比较能预测成本支出，较规范安排课程内容，得15分；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3.工作方案一般符合实际，能根据政府要求设置一般性的应急方案，收费标准一般合理，一般能预测成本支出，相对于规范安排课程内容，得10分。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20分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培训管理</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eastAsia="zh-CN"/>
              </w:rPr>
              <w:t>为更好地管理培训班，培训过程需提供照片作为培训依据，申请承办单位在培训期间需提供有教学经验的专职教务管理人员和后勤人员至少</w:t>
            </w:r>
            <w:r>
              <w:rPr>
                <w:rFonts w:hint="eastAsia" w:ascii="仿宋" w:hAnsi="仿宋" w:eastAsia="仿宋" w:cs="仿宋"/>
                <w:color w:val="auto"/>
                <w:sz w:val="24"/>
                <w:szCs w:val="24"/>
                <w:vertAlign w:val="baseline"/>
                <w:lang w:val="en-US" w:eastAsia="zh-CN"/>
              </w:rPr>
              <w:t>6人，得分10分，每增加1人，增加1分，最高10人；（需提供劳动合同和社保清单）</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14分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承办经历</w:t>
            </w:r>
          </w:p>
        </w:tc>
        <w:tc>
          <w:tcPr>
            <w:tcW w:w="5738" w:type="dxa"/>
            <w:vAlign w:val="top"/>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_GB2312" w:hAnsi="仿宋_GB2312" w:cs="仿宋_GB2312"/>
                <w:kern w:val="0"/>
                <w:sz w:val="24"/>
                <w:szCs w:val="24"/>
                <w:lang w:eastAsia="zh-CN"/>
              </w:rPr>
            </w:pPr>
            <w:r>
              <w:rPr>
                <w:rFonts w:hint="eastAsia" w:ascii="仿宋_GB2312" w:hAnsi="仿宋_GB2312" w:eastAsia="仿宋_GB2312" w:cs="仿宋_GB2312"/>
                <w:kern w:val="0"/>
                <w:sz w:val="24"/>
                <w:szCs w:val="24"/>
              </w:rPr>
              <w:t>具有职业技能</w:t>
            </w:r>
            <w:r>
              <w:rPr>
                <w:rFonts w:hint="eastAsia" w:ascii="仿宋_GB2312" w:hAnsi="仿宋_GB2312" w:cs="仿宋_GB2312"/>
                <w:kern w:val="0"/>
                <w:sz w:val="24"/>
                <w:szCs w:val="24"/>
                <w:lang w:eastAsia="zh-CN"/>
              </w:rPr>
              <w:t>鉴定考评员</w:t>
            </w:r>
            <w:r>
              <w:rPr>
                <w:rFonts w:hint="eastAsia" w:ascii="仿宋_GB2312" w:hAnsi="仿宋_GB2312" w:eastAsia="仿宋_GB2312" w:cs="仿宋_GB2312"/>
                <w:kern w:val="0"/>
                <w:sz w:val="24"/>
                <w:szCs w:val="24"/>
              </w:rPr>
              <w:t>培训相关服务经验，并附上合同</w:t>
            </w:r>
            <w:r>
              <w:rPr>
                <w:rFonts w:hint="eastAsia" w:ascii="仿宋_GB2312" w:hAnsi="仿宋_GB2312" w:eastAsia="仿宋_GB2312" w:cs="仿宋_GB2312"/>
                <w:kern w:val="0"/>
                <w:sz w:val="24"/>
                <w:szCs w:val="24"/>
                <w:lang w:eastAsia="zh-CN"/>
              </w:rPr>
              <w:t>或文件通知作为佐证</w:t>
            </w:r>
            <w:r>
              <w:rPr>
                <w:rFonts w:hint="eastAsia" w:ascii="仿宋_GB2312" w:hAnsi="仿宋_GB2312" w:cs="仿宋_GB2312"/>
                <w:kern w:val="0"/>
                <w:sz w:val="24"/>
                <w:szCs w:val="24"/>
                <w:lang w:eastAsia="zh-CN"/>
              </w:rPr>
              <w:t>：</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_GB2312" w:hAnsi="仿宋_GB2312" w:cs="仿宋_GB2312"/>
                <w:kern w:val="0"/>
                <w:sz w:val="24"/>
                <w:szCs w:val="24"/>
                <w:lang w:val="en-US" w:eastAsia="zh-CN"/>
              </w:rPr>
            </w:pPr>
            <w:r>
              <w:rPr>
                <w:rFonts w:hint="eastAsia" w:ascii="仿宋_GB2312" w:hAnsi="仿宋_GB2312" w:cs="仿宋_GB2312"/>
                <w:kern w:val="0"/>
                <w:sz w:val="24"/>
                <w:szCs w:val="24"/>
                <w:lang w:val="en-US" w:eastAsia="zh-CN"/>
              </w:rPr>
              <w:t>1.以往承办过职业技能鉴定考评员培训班，每承接一期得5分，不超过四期；</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2.以往协助开展过职业技能鉴定考评员培训班，每协助一期得3分，不超过四期。</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20分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师资队伍</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需有技术支撑能力，能</w:t>
            </w:r>
            <w:r>
              <w:rPr>
                <w:rFonts w:hint="eastAsia" w:ascii="仿宋" w:hAnsi="仿宋" w:eastAsia="仿宋" w:cs="仿宋"/>
                <w:color w:val="auto"/>
                <w:sz w:val="24"/>
                <w:szCs w:val="24"/>
              </w:rPr>
              <w:t>组建</w:t>
            </w:r>
            <w:r>
              <w:rPr>
                <w:rFonts w:hint="eastAsia" w:ascii="仿宋" w:hAnsi="仿宋" w:eastAsia="仿宋" w:cs="仿宋"/>
                <w:color w:val="auto"/>
                <w:sz w:val="24"/>
                <w:szCs w:val="24"/>
                <w:lang w:eastAsia="zh-CN"/>
              </w:rPr>
              <w:t>授课师资</w:t>
            </w:r>
            <w:r>
              <w:rPr>
                <w:rFonts w:hint="eastAsia" w:ascii="仿宋" w:hAnsi="仿宋" w:eastAsia="仿宋" w:cs="仿宋"/>
                <w:color w:val="auto"/>
                <w:sz w:val="24"/>
                <w:szCs w:val="24"/>
              </w:rPr>
              <w:t>等高水平专家队伍</w:t>
            </w:r>
            <w:r>
              <w:rPr>
                <w:rFonts w:hint="eastAsia" w:ascii="仿宋" w:hAnsi="仿宋" w:eastAsia="仿宋" w:cs="仿宋"/>
                <w:color w:val="auto"/>
                <w:sz w:val="24"/>
                <w:szCs w:val="24"/>
                <w:lang w:eastAsia="zh-CN"/>
              </w:rPr>
              <w:t>，需提供所申请承接专业的师资资质，每个专业（每个培训班）需提供一名，不超过</w:t>
            </w:r>
            <w:r>
              <w:rPr>
                <w:rFonts w:hint="eastAsia" w:ascii="仿宋" w:hAnsi="仿宋" w:eastAsia="仿宋" w:cs="仿宋"/>
                <w:color w:val="auto"/>
                <w:sz w:val="24"/>
                <w:szCs w:val="24"/>
                <w:lang w:val="en-US" w:eastAsia="zh-CN"/>
              </w:rPr>
              <w:t>6名</w:t>
            </w:r>
            <w:r>
              <w:rPr>
                <w:rFonts w:hint="eastAsia" w:ascii="仿宋" w:hAnsi="仿宋" w:eastAsia="仿宋" w:cs="仿宋"/>
                <w:color w:val="auto"/>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rPr>
              <w:t>副教授以上或高级职称</w:t>
            </w:r>
            <w:r>
              <w:rPr>
                <w:rFonts w:hint="eastAsia" w:ascii="仿宋_GB2312" w:hAnsi="仿宋_GB2312" w:eastAsia="仿宋_GB2312" w:cs="仿宋_GB2312"/>
                <w:kern w:val="0"/>
                <w:sz w:val="24"/>
                <w:szCs w:val="24"/>
                <w:lang w:eastAsia="zh-CN"/>
              </w:rPr>
              <w:t>或技师以上职业资格证</w:t>
            </w:r>
            <w:r>
              <w:rPr>
                <w:rFonts w:hint="eastAsia" w:ascii="仿宋_GB2312" w:hAnsi="仿宋_GB2312" w:eastAsia="仿宋_GB2312" w:cs="仿宋_GB2312"/>
                <w:kern w:val="0"/>
                <w:sz w:val="24"/>
                <w:szCs w:val="24"/>
              </w:rPr>
              <w:t>，每提供一名得2分</w:t>
            </w:r>
            <w:r>
              <w:rPr>
                <w:rFonts w:hint="eastAsia" w:ascii="仿宋_GB2312" w:hAnsi="仿宋_GB2312" w:eastAsia="仿宋_GB2312" w:cs="仿宋_GB2312"/>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outlineLvl w:val="9"/>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val="en-US" w:eastAsia="zh-CN"/>
              </w:rPr>
              <w:t>.</w:t>
            </w:r>
            <w:r>
              <w:rPr>
                <w:rFonts w:hint="eastAsia" w:ascii="仿宋_GB2312" w:hAnsi="仿宋_GB2312" w:eastAsia="仿宋_GB2312" w:cs="仿宋_GB2312"/>
                <w:kern w:val="0"/>
                <w:sz w:val="24"/>
                <w:szCs w:val="24"/>
              </w:rPr>
              <w:t>讲师或中级职称</w:t>
            </w:r>
            <w:r>
              <w:rPr>
                <w:rFonts w:hint="eastAsia" w:ascii="仿宋_GB2312" w:hAnsi="仿宋_GB2312" w:eastAsia="仿宋_GB2312" w:cs="仿宋_GB2312"/>
                <w:kern w:val="0"/>
                <w:sz w:val="24"/>
                <w:szCs w:val="24"/>
                <w:lang w:eastAsia="zh-CN"/>
              </w:rPr>
              <w:t>或高级职业资格证</w:t>
            </w:r>
            <w:r>
              <w:rPr>
                <w:rFonts w:hint="eastAsia" w:ascii="仿宋_GB2312" w:hAnsi="仿宋_GB2312" w:eastAsia="仿宋_GB2312" w:cs="仿宋_GB2312"/>
                <w:kern w:val="0"/>
                <w:sz w:val="24"/>
                <w:szCs w:val="24"/>
              </w:rPr>
              <w:t>，每提供一名得1分。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lang w:eastAsia="zh-CN"/>
              </w:rPr>
            </w:pPr>
            <w:r>
              <w:rPr>
                <w:rFonts w:hint="eastAsia" w:ascii="仿宋_GB2312" w:hAnsi="仿宋_GB2312" w:eastAsia="仿宋_GB2312" w:cs="仿宋_GB2312"/>
                <w:kern w:val="0"/>
                <w:sz w:val="24"/>
                <w:szCs w:val="24"/>
              </w:rPr>
              <w:t>（提供师资授权或签约书或合同书</w:t>
            </w:r>
            <w:r>
              <w:rPr>
                <w:rFonts w:hint="eastAsia" w:ascii="仿宋_GB2312" w:hAnsi="仿宋_GB2312" w:eastAsia="仿宋_GB2312" w:cs="仿宋_GB2312"/>
                <w:bCs/>
                <w:kern w:val="0"/>
                <w:sz w:val="24"/>
                <w:szCs w:val="24"/>
              </w:rPr>
              <w:t>复印件加盖公章，</w:t>
            </w:r>
            <w:r>
              <w:rPr>
                <w:rFonts w:hint="eastAsia" w:ascii="仿宋_GB2312" w:hAnsi="仿宋_GB2312" w:eastAsia="仿宋_GB2312" w:cs="仿宋_GB2312"/>
                <w:kern w:val="0"/>
                <w:sz w:val="24"/>
                <w:szCs w:val="24"/>
              </w:rPr>
              <w:t>未提供不得分。）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12分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8</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开具票据</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1.能独立开具培训发票或收据，得2分</w:t>
            </w:r>
          </w:p>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2.不能独立开具培训发票或收据，不得分。</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2分</w:t>
            </w: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9"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9</w:t>
            </w:r>
          </w:p>
        </w:tc>
        <w:tc>
          <w:tcPr>
            <w:tcW w:w="1687"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1"/>
                <w:szCs w:val="21"/>
                <w:vertAlign w:val="baseline"/>
                <w:lang w:eastAsia="zh-CN"/>
              </w:rPr>
            </w:pPr>
            <w:r>
              <w:rPr>
                <w:rFonts w:hint="eastAsia" w:ascii="仿宋" w:hAnsi="仿宋" w:eastAsia="仿宋" w:cs="仿宋"/>
                <w:color w:val="auto"/>
                <w:sz w:val="21"/>
                <w:szCs w:val="21"/>
                <w:vertAlign w:val="baseline"/>
                <w:lang w:eastAsia="zh-CN"/>
              </w:rPr>
              <w:t>规范开展培训</w:t>
            </w:r>
          </w:p>
        </w:tc>
        <w:tc>
          <w:tcPr>
            <w:tcW w:w="5738"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lang w:val="en-US" w:eastAsia="zh-CN"/>
              </w:rPr>
              <w:t>开展职业培训相关工作以来</w:t>
            </w:r>
            <w:r>
              <w:rPr>
                <w:rFonts w:hint="eastAsia" w:ascii="仿宋" w:hAnsi="仿宋" w:eastAsia="仿宋" w:cs="仿宋"/>
                <w:color w:val="auto"/>
                <w:sz w:val="24"/>
                <w:szCs w:val="24"/>
              </w:rPr>
              <w:t>无</w:t>
            </w:r>
            <w:r>
              <w:rPr>
                <w:rFonts w:hint="eastAsia" w:ascii="仿宋" w:hAnsi="仿宋" w:eastAsia="仿宋" w:cs="仿宋"/>
                <w:color w:val="auto"/>
                <w:sz w:val="24"/>
                <w:szCs w:val="24"/>
                <w:lang w:eastAsia="zh-CN"/>
              </w:rPr>
              <w:t>任何有关职业培训</w:t>
            </w:r>
            <w:r>
              <w:rPr>
                <w:rFonts w:hint="eastAsia" w:ascii="仿宋" w:hAnsi="仿宋" w:eastAsia="仿宋" w:cs="仿宋"/>
                <w:color w:val="auto"/>
                <w:sz w:val="24"/>
                <w:szCs w:val="24"/>
              </w:rPr>
              <w:t>违法违规</w:t>
            </w:r>
            <w:r>
              <w:rPr>
                <w:rFonts w:hint="eastAsia" w:ascii="仿宋" w:hAnsi="仿宋" w:eastAsia="仿宋" w:cs="仿宋"/>
                <w:color w:val="auto"/>
                <w:sz w:val="24"/>
                <w:szCs w:val="24"/>
                <w:lang w:eastAsia="zh-CN"/>
              </w:rPr>
              <w:t>的</w:t>
            </w:r>
            <w:r>
              <w:rPr>
                <w:rFonts w:hint="eastAsia" w:ascii="仿宋" w:hAnsi="仿宋" w:eastAsia="仿宋" w:cs="仿宋"/>
                <w:color w:val="auto"/>
                <w:sz w:val="24"/>
                <w:szCs w:val="24"/>
              </w:rPr>
              <w:t>情况</w:t>
            </w:r>
            <w:r>
              <w:rPr>
                <w:rFonts w:hint="eastAsia" w:ascii="仿宋" w:hAnsi="仿宋" w:eastAsia="仿宋" w:cs="仿宋"/>
                <w:color w:val="auto"/>
                <w:sz w:val="24"/>
                <w:szCs w:val="24"/>
                <w:lang w:eastAsia="zh-CN"/>
              </w:rPr>
              <w:t>。（一票否决项）</w:t>
            </w:r>
          </w:p>
        </w:tc>
        <w:tc>
          <w:tcPr>
            <w:tcW w:w="775" w:type="dxa"/>
            <w:vAlign w:val="center"/>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outlineLvl w:val="9"/>
              <w:rPr>
                <w:rFonts w:hint="eastAsia" w:ascii="仿宋" w:hAnsi="仿宋" w:eastAsia="仿宋" w:cs="仿宋"/>
                <w:color w:val="auto"/>
                <w:sz w:val="24"/>
                <w:szCs w:val="24"/>
                <w:vertAlign w:val="baseline"/>
              </w:rPr>
            </w:pPr>
          </w:p>
        </w:tc>
        <w:tc>
          <w:tcPr>
            <w:tcW w:w="750"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c>
          <w:tcPr>
            <w:tcW w:w="773" w:type="dxa"/>
          </w:tcPr>
          <w:p>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outlineLvl w:val="9"/>
              <w:rPr>
                <w:rFonts w:hint="eastAsia" w:ascii="仿宋" w:hAnsi="仿宋" w:eastAsia="仿宋" w:cs="仿宋"/>
                <w:color w:val="auto"/>
                <w:sz w:val="24"/>
                <w:szCs w:val="24"/>
                <w:vertAlign w:val="baseline"/>
              </w:rPr>
            </w:pPr>
          </w:p>
        </w:tc>
      </w:tr>
    </w:tbl>
    <w:p>
      <w:pPr>
        <w:pStyle w:val="6"/>
        <w:rPr>
          <w:rFonts w:hint="eastAsia" w:ascii="仿宋" w:hAnsi="仿宋" w:eastAsia="仿宋" w:cs="仿宋"/>
          <w:color w:val="auto"/>
          <w:sz w:val="24"/>
          <w:szCs w:val="24"/>
        </w:rPr>
      </w:pPr>
    </w:p>
    <w:p>
      <w:pPr>
        <w:pStyle w:val="6"/>
        <w:rPr>
          <w:rFonts w:hint="eastAsia" w:ascii="仿宋" w:hAnsi="仿宋" w:eastAsia="仿宋" w:cs="仿宋"/>
          <w:color w:val="auto"/>
          <w:sz w:val="24"/>
          <w:szCs w:val="24"/>
        </w:rPr>
      </w:pPr>
    </w:p>
    <w:p>
      <w:pPr>
        <w:pStyle w:val="6"/>
        <w:ind w:left="0" w:leftChars="0" w:firstLine="0" w:firstLineChars="0"/>
        <w:rPr>
          <w:rFonts w:hint="eastAsia" w:ascii="仿宋" w:hAnsi="仿宋" w:eastAsia="仿宋" w:cs="仿宋"/>
          <w:color w:val="auto"/>
          <w:sz w:val="24"/>
          <w:szCs w:val="24"/>
        </w:rPr>
      </w:pPr>
    </w:p>
    <w:sectPr>
      <w:footerReference r:id="rId3" w:type="default"/>
      <w:pgSz w:w="11906" w:h="16838"/>
      <w:pgMar w:top="567" w:right="850" w:bottom="567"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default" w:ascii="Times New Roman" w:hAnsi="Times New Roman" w:cs="Times New Roman"/>
                        <w:sz w:val="32"/>
                        <w:szCs w:val="32"/>
                        <w:lang w:eastAsia="zh-CN"/>
                      </w:rPr>
                      <w:fldChar w:fldCharType="begin"/>
                    </w:r>
                    <w:r>
                      <w:rPr>
                        <w:rFonts w:hint="default" w:ascii="Times New Roman" w:hAnsi="Times New Roman" w:cs="Times New Roman"/>
                        <w:sz w:val="32"/>
                        <w:szCs w:val="32"/>
                        <w:lang w:eastAsia="zh-CN"/>
                      </w:rPr>
                      <w:instrText xml:space="preserve"> PAGE  \* MERGEFORMAT </w:instrText>
                    </w:r>
                    <w:r>
                      <w:rPr>
                        <w:rFonts w:hint="default" w:ascii="Times New Roman" w:hAnsi="Times New Roman" w:cs="Times New Roman"/>
                        <w:sz w:val="32"/>
                        <w:szCs w:val="32"/>
                        <w:lang w:eastAsia="zh-CN"/>
                      </w:rPr>
                      <w:fldChar w:fldCharType="separate"/>
                    </w:r>
                    <w:r>
                      <w:rPr>
                        <w:rFonts w:hint="default" w:ascii="Times New Roman" w:hAnsi="Times New Roman" w:cs="Times New Roman"/>
                        <w:sz w:val="32"/>
                        <w:szCs w:val="32"/>
                        <w:lang w:eastAsia="zh-CN"/>
                      </w:rPr>
                      <w:t>1</w:t>
                    </w:r>
                    <w:r>
                      <w:rPr>
                        <w:rFonts w:hint="default" w:ascii="Times New Roman" w:hAnsi="Times New Roman" w:cs="Times New Roman"/>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5202F"/>
    <w:rsid w:val="02A93209"/>
    <w:rsid w:val="0CE24965"/>
    <w:rsid w:val="0D874B0E"/>
    <w:rsid w:val="104C3157"/>
    <w:rsid w:val="11284289"/>
    <w:rsid w:val="146632C7"/>
    <w:rsid w:val="15EE79AC"/>
    <w:rsid w:val="165153F6"/>
    <w:rsid w:val="16C35264"/>
    <w:rsid w:val="18A86796"/>
    <w:rsid w:val="1D021D99"/>
    <w:rsid w:val="22E5202F"/>
    <w:rsid w:val="24BA3C26"/>
    <w:rsid w:val="256A3126"/>
    <w:rsid w:val="26183950"/>
    <w:rsid w:val="28BF3700"/>
    <w:rsid w:val="292D63D6"/>
    <w:rsid w:val="2B907059"/>
    <w:rsid w:val="2E0131CA"/>
    <w:rsid w:val="338C2DCB"/>
    <w:rsid w:val="355645A5"/>
    <w:rsid w:val="393066B3"/>
    <w:rsid w:val="3CA272E4"/>
    <w:rsid w:val="44AC3421"/>
    <w:rsid w:val="49B52C62"/>
    <w:rsid w:val="50455D91"/>
    <w:rsid w:val="565569B6"/>
    <w:rsid w:val="5A5A7081"/>
    <w:rsid w:val="5DF105EA"/>
    <w:rsid w:val="62400DDA"/>
    <w:rsid w:val="6729424F"/>
    <w:rsid w:val="77872F88"/>
    <w:rsid w:val="7F85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样式1"/>
    <w:basedOn w:val="7"/>
    <w:qFormat/>
    <w:uiPriority w:val="0"/>
    <w:pPr>
      <w:spacing w:line="579" w:lineRule="exact"/>
      <w:ind w:firstLine="640" w:firstLineChars="200"/>
    </w:pPr>
    <w:rPr>
      <w:rFonts w:ascii="Calibri" w:hAnsi="Calibri" w:eastAsia="仿宋_GB2312" w:cs="Times New Roman"/>
    </w:rPr>
  </w:style>
  <w:style w:type="paragraph" w:customStyle="1" w:styleId="7">
    <w:name w:val="正文1"/>
    <w:basedOn w:val="1"/>
    <w:qFormat/>
    <w:uiPriority w:val="0"/>
    <w:pPr>
      <w:ind w:firstLine="708" w:firstLineChars="236"/>
    </w:pPr>
    <w:rPr>
      <w:rFonts w:ascii="仿宋_GB2312" w:hAnsi="Calibri" w:eastAsia="仿宋_GB2312" w:cs="仿宋_GB2312"/>
      <w:sz w:val="30"/>
      <w:szCs w:val="30"/>
    </w:rPr>
  </w:style>
  <w:style w:type="paragraph" w:customStyle="1" w:styleId="8">
    <w:name w:val="正文缩进 New"/>
    <w:basedOn w:val="9"/>
    <w:qFormat/>
    <w:uiPriority w:val="0"/>
    <w:pPr>
      <w:ind w:firstLine="420" w:firstLineChars="200"/>
    </w:pPr>
  </w:style>
  <w:style w:type="paragraph" w:customStyle="1" w:styleId="9">
    <w:name w:val="正文 New New New New New"/>
    <w:qFormat/>
    <w:uiPriority w:val="0"/>
    <w:pPr>
      <w:widowControl w:val="0"/>
      <w:jc w:val="both"/>
    </w:pPr>
    <w:rPr>
      <w:rFonts w:ascii="Times New Roman" w:hAnsi="Times New Roman" w:eastAsia="仿宋_GB2312" w:cs="Times New Roman"/>
      <w:color w:val="000000"/>
      <w:kern w:val="2"/>
      <w:sz w:val="3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2021-12-21T01:13:00Z</dcterms:created>
  <dc:creator>Administrator</dc:creator>
  <cp:lastModifiedBy>Administrator</cp:lastModifiedBy>
  <dcterms:modified xsi:type="dcterms:W3CDTF">2022-03-02T04:04:19Z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F19B6A3F41EB4A1890C0F37915AF2188</vt:lpwstr>
  </property>
  <property fmtid="{D5CDD505-2E9C-101B-9397-08002B2CF9AE}" pid="4" name="ribbonExt">
    <vt:lpwstr>{"WPSExtOfficeTab":{"OnGetEnabled":false,"OnGetVisible":false}}</vt:lpwstr>
  </property>
</Properties>
</file>