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22" w:name="_GoBack"/>
            <w:bookmarkEnd w:id="22"/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希世比能源科技（韶关）有限公司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韶关市翁源县翁城镇电源工业基地工业大道9号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sz w:val="24"/>
              </w:rPr>
              <w:t>113</w:t>
            </w:r>
            <w:r>
              <w:rPr>
                <w:rFonts w:hAnsi="宋体"/>
                <w:sz w:val="24"/>
              </w:rPr>
              <w:t>度</w:t>
            </w:r>
            <w:r>
              <w:rPr>
                <w:sz w:val="24"/>
              </w:rPr>
              <w:t>48</w:t>
            </w:r>
            <w:r>
              <w:rPr>
                <w:rFonts w:hAnsi="宋体"/>
                <w:sz w:val="24"/>
              </w:rPr>
              <w:t>分</w:t>
            </w: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4</w:t>
            </w:r>
            <w:r>
              <w:rPr>
                <w:rFonts w:hint="eastAsia" w:hAnsi="宋体"/>
                <w:sz w:val="24"/>
              </w:rPr>
              <w:t>秒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sz w:val="24"/>
              </w:rPr>
              <w:t>24</w:t>
            </w:r>
            <w:r>
              <w:rPr>
                <w:rFonts w:hAnsi="宋体"/>
                <w:sz w:val="24"/>
              </w:rPr>
              <w:t>度</w:t>
            </w:r>
            <w:r>
              <w:rPr>
                <w:sz w:val="24"/>
              </w:rPr>
              <w:t>25</w:t>
            </w:r>
            <w:r>
              <w:rPr>
                <w:rFonts w:hAnsi="宋体"/>
                <w:sz w:val="24"/>
              </w:rPr>
              <w:t>分</w:t>
            </w:r>
            <w:r>
              <w:rPr>
                <w:rFonts w:hint="eastAsia" w:hAnsi="宋体"/>
                <w:sz w:val="24"/>
              </w:rPr>
              <w:t>4</w:t>
            </w:r>
            <w:r>
              <w:rPr>
                <w:rFonts w:hAnsi="宋体"/>
                <w:sz w:val="24"/>
              </w:rPr>
              <w:t>3</w:t>
            </w:r>
            <w:r>
              <w:rPr>
                <w:rFonts w:hint="eastAsia" w:hAnsi="宋体"/>
                <w:sz w:val="24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2"/>
                <w:szCs w:val="22"/>
              </w:rPr>
              <w:t>张永淦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</w:rPr>
              <w:t>（无的填组织机构代码）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91440200MA4ULLCQ29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罗育玲/黄丽苹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3924275786/13043496251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751-2611000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产、加工、销售高容量全密封免维护铅酸蓄电池、起动用铅酸蓄电池、牵引用铅酸蓄电池、锂电池及相关原材料、零件与半制品等产品，提供技术咨询及售后服务；从事高容量全密封免维护铅酸蓄电池、起动用铅酸蓄电池、牵引用铅酸蓄电池及其生产原材料、半制品、生产设备、相关附属设备、设备零部件的批发、佣金代理（拍卖除外）、进出口及相关配套服务（不涉及国营贸易管理商品，涉及配额、许可证管理商品的，按国家要求办理申请）。(依法须经批准的项目，经相关部门批准后方可开展经营活动)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铅酸蓄电池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CS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15117</w:t>
            </w: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生活污水排放口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生活污水排放标准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GB30484-2013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间歇式排放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工业废水集中处理厂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厂区污水处理站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总磷、化学需氧量、总氮、动植物油、氨氮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mg/L)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.89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300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动植物油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.18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广东韶测 第（2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1121604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电池工业污染物排放标准G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B 30484-2013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铸造及铅粉车间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铅粉车间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DA003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练涂车间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DA004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练涂车间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硫酸雾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DA005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切断车间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DA006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组立车间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DA007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组立车间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挥发性有机物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DA008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充电车间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硫酸雾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DA009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包装车间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挥发性有机物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挥发性有机物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 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.15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挥发性有机物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120mg/m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.60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7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9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广东韶测 第（2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1121604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/>
    <w:p/>
    <w:p/>
    <w:p/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85"/>
        <w:gridCol w:w="1134"/>
        <w:gridCol w:w="1236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含铅废物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35吨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27.809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.104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26.705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含铅杂物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30吨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17.685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废极板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60吨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47.49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.717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42.773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废气处理回收的尘渣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20吨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13.749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.574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12.175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废铅渣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180吨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123.413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2.933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废铅膏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270吨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232.441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232.441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废电池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110吨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79.2225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.558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76.667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G</w:t>
            </w:r>
            <w:r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  <w:t>B12348-2008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年8月3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广东韶测第（2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1052401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）号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0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0"/>
      <w:bookmarkStart w:id="11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1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2" w:name="OLE_LINK18"/>
            <w:bookmarkStart w:id="13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2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DW001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生活污水排放口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年9月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吨/日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21000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BR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＞铅酸处理</w:t>
            </w:r>
          </w:p>
        </w:tc>
      </w:tr>
      <w:bookmarkEnd w:id="13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1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4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铸造及铅粉车间废气排放口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5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脉冲袋式除尘＞精密过滤＞水喷淋</w:t>
            </w:r>
          </w:p>
        </w:tc>
      </w:tr>
      <w:bookmarkEnd w:id="14"/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）废气防治污染设施2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A002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铅粉机废气排放口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袋式除尘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）废气防治污染设施3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练合机（干式）废气排放口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袋式除尘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4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喷淋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A004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练合机（湿式）废气排放口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水喷淋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）废气防治污染设施5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A005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切断设备废气排放口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脉冲袋式除尘＞精密过滤＞水喷淋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6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A006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组立线废气排放口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33000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脉冲袋式除尘＞精密过滤＞水喷淋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）废气防治污染设施7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A007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组立红黑药废气排放口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活性炭吸附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8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其他废气处理系统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A008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充电区废气排放口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碱式喷淋</w:t>
            </w:r>
          </w:p>
        </w:tc>
      </w:tr>
    </w:tbl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）废气防治污染设施9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吸附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A009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包装线废气排放口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希世比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活性炭吸附</w:t>
            </w:r>
          </w:p>
        </w:tc>
      </w:tr>
    </w:tbl>
    <w:p>
      <w:pPr>
        <w:jc w:val="center"/>
        <w:rPr>
          <w:rFonts w:eastAsia="宋体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6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（4</w:t>
            </w:r>
            <w:r>
              <w:rPr>
                <w:bCs/>
                <w:kern w:val="0"/>
                <w:sz w:val="22"/>
                <w:szCs w:val="22"/>
              </w:rPr>
              <w:t>40229-2019-026-L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  <w:bookmarkEnd w:id="16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7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7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8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9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2"/>
                <w:szCs w:val="22"/>
              </w:rPr>
            </w:pPr>
            <w:bookmarkStart w:id="20" w:name="OLE_LINK29"/>
            <w:r>
              <w:rPr>
                <w:bCs/>
                <w:kern w:val="0"/>
                <w:sz w:val="22"/>
                <w:szCs w:val="22"/>
              </w:rPr>
              <w:t>是</w:t>
            </w:r>
            <w:bookmarkEnd w:id="20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B17DC5"/>
    <w:rsid w:val="00052747"/>
    <w:rsid w:val="00060BF3"/>
    <w:rsid w:val="00065E40"/>
    <w:rsid w:val="00066A23"/>
    <w:rsid w:val="001634AA"/>
    <w:rsid w:val="00292185"/>
    <w:rsid w:val="002F16B8"/>
    <w:rsid w:val="003517CF"/>
    <w:rsid w:val="003C07C4"/>
    <w:rsid w:val="0040639A"/>
    <w:rsid w:val="00486BD6"/>
    <w:rsid w:val="004954A9"/>
    <w:rsid w:val="004A29DB"/>
    <w:rsid w:val="004B1BAC"/>
    <w:rsid w:val="005040BF"/>
    <w:rsid w:val="005461AE"/>
    <w:rsid w:val="005633A6"/>
    <w:rsid w:val="00567F40"/>
    <w:rsid w:val="006B41C7"/>
    <w:rsid w:val="00743978"/>
    <w:rsid w:val="007443D2"/>
    <w:rsid w:val="007575B2"/>
    <w:rsid w:val="007C51E4"/>
    <w:rsid w:val="0084239C"/>
    <w:rsid w:val="00866D80"/>
    <w:rsid w:val="008F2D8C"/>
    <w:rsid w:val="0098382E"/>
    <w:rsid w:val="009F4951"/>
    <w:rsid w:val="00A17507"/>
    <w:rsid w:val="00A3583C"/>
    <w:rsid w:val="00A866ED"/>
    <w:rsid w:val="00A91D19"/>
    <w:rsid w:val="00AB6B3F"/>
    <w:rsid w:val="00B900FA"/>
    <w:rsid w:val="00BA6855"/>
    <w:rsid w:val="00BC6339"/>
    <w:rsid w:val="00BD046F"/>
    <w:rsid w:val="00BD2A8B"/>
    <w:rsid w:val="00BE35D1"/>
    <w:rsid w:val="00C43921"/>
    <w:rsid w:val="00C60D32"/>
    <w:rsid w:val="00C76612"/>
    <w:rsid w:val="00CF0939"/>
    <w:rsid w:val="00D767CB"/>
    <w:rsid w:val="00E43D07"/>
    <w:rsid w:val="00EA4159"/>
    <w:rsid w:val="00EC0DC0"/>
    <w:rsid w:val="00F0040F"/>
    <w:rsid w:val="00F636B1"/>
    <w:rsid w:val="00F76698"/>
    <w:rsid w:val="00F85EC1"/>
    <w:rsid w:val="00F94E0A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AB17DC5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C8F1764"/>
    <w:rsid w:val="5E17142E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&#24180;&#24037;&#20316;\&#20449;&#24687;&#20844;&#24320;\&#24076;&#19990;&#27604;\&#24076;&#19990;&#27604;&#33021;&#28304;&#31185;&#25216;&#65288;&#38902;&#20851;&#65289;&#26377;&#38480;&#20844;&#21496;&#20225;&#19994;&#20107;&#19994;&#21333;&#20301;&#29615;&#22659;&#20449;&#24687;&#20844;&#24320;&#34920;&#65288;2021&#2418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希世比能源科技（韶关）有限公司企业事业单位环境信息公开表（2021年）.dotx</Template>
  <Pages>12</Pages>
  <Words>2752</Words>
  <Characters>3505</Characters>
  <Lines>30</Lines>
  <Paragraphs>8</Paragraphs>
  <TotalTime>128</TotalTime>
  <ScaleCrop>false</ScaleCrop>
  <LinksUpToDate>false</LinksUpToDate>
  <CharactersWithSpaces>3541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2022-03-04T03:22:00Z</dcterms:created>
  <dc:creator>WPS_1643246233</dc:creator>
  <cp:lastModifiedBy>WPS_1643246233</cp:lastModifiedBy>
  <dcterms:modified xsi:type="dcterms:W3CDTF">2022-03-04T03:22:49Z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BA8B42559484450DB61F1CA460AFBF35</vt:lpwstr>
  </property>
</Properties>
</file>