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inorHAnsi" w:hAnsiTheme="minorHAnsi" w:eastAsiaTheme="minorEastAsia" w:cstheme="minorBidi"/>
          <w:kern w:val="44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kern w:val="44"/>
          <w:sz w:val="36"/>
          <w:szCs w:val="36"/>
        </w:rPr>
        <w:t>翁源广业清怡食品科技有限公司自行监测方案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曾伟山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91440229586377613M-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91440229586377613M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广东省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韶关市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翁源县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广东省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韶关市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翁源县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县（区、市、旗）乡（镇）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广东省韶关市翁源县翁城镇翁城工业园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街（村）、门牌号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中心经度/中心纬度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113,46,53.72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>/24,25,14.45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2882109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黄韡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手机号码：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18819810911 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传真号码：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邮政编码：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 xml:space="preserve">  512627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食品及饲料添加剂制造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行业代码：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1495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2015-05-27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流域代码：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海域代码：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/>
    <w:p>
      <w:r>
        <w:br w:type="page"/>
      </w: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监测方案</w:t>
      </w:r>
    </w:p>
    <w:p>
      <w:pPr>
        <w:pStyle w:val="5"/>
      </w:pPr>
      <w:r>
        <w:rPr>
          <w:rFonts w:hint="eastAsia"/>
        </w:rPr>
        <w:t>废气监测方案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18"/>
        <w:gridCol w:w="1368"/>
        <w:gridCol w:w="1123"/>
        <w:gridCol w:w="1226"/>
        <w:gridCol w:w="2075"/>
        <w:gridCol w:w="2501"/>
        <w:gridCol w:w="686"/>
        <w:gridCol w:w="1186"/>
        <w:gridCol w:w="147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9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排放设备</w:t>
            </w:r>
          </w:p>
        </w:tc>
        <w:tc>
          <w:tcPr>
            <w:tcW w:w="13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设备类型</w:t>
            </w:r>
          </w:p>
        </w:tc>
        <w:tc>
          <w:tcPr>
            <w:tcW w:w="13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18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监测点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269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70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25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3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  <w:tc>
          <w:tcPr>
            <w:tcW w:w="139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反应釜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MF0031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废气监测点2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氯化氢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固定污染源排气中氯化氢的测定 硫氰酸汞分光光度法HJ/T 27-1999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反应釜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MF0031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废气监测点2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二氧化硫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上限:500mg/Nm3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固定污染源排气中二氧化硫的测定 碘量法 HJ/T 56-2000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DMF回收系统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MF0120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废气监测点1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固定污染源排气中氯化氢的测定 硫氰酸汞分光光度法HJ/T 27-1999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污水处理站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MF0198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废气监测点6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臭气浓度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上限:40000mg/Nm3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空气质量 恶臭的测定 三点比较式臭袋法 GB T 14675-1993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厨房厨具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MF0204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废气监测点3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油烟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上限:2.0mg/Nm3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真空干燥机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MF0232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废气监测点4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上限:30mg/Nm3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环境空气 苯系物的测定 固体吸附/热脱附-气相色谱法HJ 583-2010 代替GB/T 14677-93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真空干燥机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MF0232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废气监测点4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二甲苯（总量）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上限:70mg/Nm3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环境空气 苯系物的测定 固体吸附/热脱附-气相色谱法HJ 583-2010 代替GB/T 14677-93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燃煤锅炉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MF0271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废气监测点5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上限:50mg/Nm3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固定污染源排气中颗粒物测定与气态污染物采样方法 GB/T 16157-1996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燃煤锅炉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MF0271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废气监测点5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林格曼黑度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固定污染源排放烟气黑度的测定 林格曼烟气黑度图法HJ/T 398-2007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燃煤锅炉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MF0271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废气监测点5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氮氧化物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上限:300mg/Nm3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固定污染源废气 氮氧化物的测定 非分散红外吸收法HJ 692-2014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燃煤锅炉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MF0271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废气监测点5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二氧化硫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上限:300mg/Nm3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固定污染源废气 二氧化硫的测定 非分散红外吸收法HJ 629-2011</w:t>
            </w:r>
          </w:p>
        </w:tc>
        <w:tc>
          <w:tcPr>
            <w:tcW w:w="13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r>
              <w:rPr>
                <w:rFonts w:hint="eastAsia"/>
              </w:rPr>
              <w:t>燃煤锅炉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燃烧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MF0271</w:t>
            </w:r>
          </w:p>
        </w:tc>
        <w:tc>
          <w:tcPr>
            <w:tcW w:w="1186" w:type="dxa"/>
          </w:tcPr>
          <w:p>
            <w:r>
              <w:rPr>
                <w:rFonts w:hint="eastAsia"/>
              </w:rPr>
              <w:t>废气监测点5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汞及其化合物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上限:0.05mg/Nm3</w:t>
            </w:r>
          </w:p>
        </w:tc>
        <w:tc>
          <w:tcPr>
            <w:tcW w:w="2694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708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255" w:type="dxa"/>
          </w:tcPr>
          <w:p>
            <w:r>
              <w:rPr>
                <w:rFonts w:hint="eastAsia"/>
              </w:rPr>
              <w:t>1次/1月</w:t>
            </w:r>
          </w:p>
        </w:tc>
        <w:tc>
          <w:tcPr>
            <w:tcW w:w="1399" w:type="dxa"/>
          </w:tcPr>
          <w:p>
            <w:r>
              <w:rPr>
                <w:rFonts w:hint="eastAsia"/>
              </w:rPr>
              <w:t>固定污染源废气 汞的测定 冷原子吸收分光光度法 (暂行)HJ 543—2009</w:t>
            </w:r>
          </w:p>
        </w:tc>
        <w:tc>
          <w:tcPr>
            <w:tcW w:w="1399" w:type="dxa"/>
          </w:tcPr>
          <w:p/>
        </w:tc>
      </w:tr>
    </w:tbl>
    <w:p/>
    <w:p>
      <w:pPr>
        <w:widowControl/>
        <w:jc w:val="left"/>
      </w:pPr>
      <w:r>
        <w:br w:type="page"/>
      </w:r>
    </w:p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</w:pPr>
      <w:r>
        <w:rPr>
          <w:rFonts w:hint="eastAsia"/>
        </w:rPr>
        <w:t>废水监测方案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59"/>
        <w:gridCol w:w="1304"/>
        <w:gridCol w:w="2243"/>
        <w:gridCol w:w="1225"/>
        <w:gridCol w:w="1304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化学需氧量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上限:90mg/L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在线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1次/2小时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化学需氧量的测定 快速消解分光光度法 HJ/T 399-2007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五日生化需氧量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上限:20mg/L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五日生化需氧量（BOD5）的测定 稀释与接种法 HJ505-2009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pH值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上限:9mg/L下限:6mg/L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在线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1次/2小时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pH值的测定 玻璃电极法 GB 6920-1986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氨氮（NH3-N）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在线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1次/2小时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氨氮的测定 纳氏试剂分光光度法 HJ 535-2009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动植物油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上限:10mg/L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石油类和动植物油类的测定 红外分光光度法HJ 637-2012代替GB/T 16488-1996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悬浮物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上限:60mg/L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1次/1季度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水质 悬浮物的测定 重量法 GB 11901-1989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流量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在线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1次/2小时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手工监测为自行监测设备维修或故障时的补充监测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废水监测点1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流量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1次/1天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手工监测为自行监测设备维修或故障时的补充监测</w:t>
            </w:r>
          </w:p>
        </w:tc>
      </w:tr>
    </w:tbl>
    <w:p>
      <w:r>
        <w:br w:type="page"/>
      </w: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</w:pPr>
      <w:r>
        <w:rPr>
          <w:rFonts w:hint="eastAsia"/>
        </w:rPr>
        <w:t>无组织监测方案</w:t>
      </w:r>
    </w:p>
    <w:tbl>
      <w:tblPr>
        <w:tblStyle w:val="8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275"/>
        <w:gridCol w:w="2268"/>
        <w:gridCol w:w="1236"/>
        <w:gridCol w:w="13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监测点位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监测指标</w:t>
            </w:r>
          </w:p>
        </w:tc>
        <w:tc>
          <w:tcPr>
            <w:tcW w:w="12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排放限值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标准名称</w:t>
            </w:r>
          </w:p>
        </w:tc>
        <w:tc>
          <w:tcPr>
            <w:tcW w:w="123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监测方式</w:t>
            </w:r>
          </w:p>
        </w:tc>
        <w:tc>
          <w:tcPr>
            <w:tcW w:w="131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监测频次</w:t>
            </w:r>
          </w:p>
        </w:tc>
        <w:tc>
          <w:tcPr>
            <w:tcW w:w="198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臭气浓度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二甲苯（总量）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环境空气 苯系物的测定 固体吸附/热脱附-气相色谱法HJ 583-2010 代替GB/T 14677-93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颗粒物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环境空气 总悬浮颗粒物的测定 重量法 GB/T 15432-1995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r>
              <w:rPr>
                <w:rFonts w:hint="eastAsia"/>
              </w:rPr>
              <w:t>厂界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挥发性有机物</w:t>
            </w:r>
          </w:p>
        </w:tc>
        <w:tc>
          <w:tcPr>
            <w:tcW w:w="1275" w:type="dxa"/>
          </w:tcPr>
          <w:p/>
        </w:tc>
        <w:tc>
          <w:tcPr>
            <w:tcW w:w="2268" w:type="dxa"/>
          </w:tcPr>
          <w:p>
            <w:r>
              <w:rPr>
                <w:rFonts w:hint="eastAsia"/>
              </w:rPr>
              <w:t>排污许可证</w:t>
            </w:r>
          </w:p>
        </w:tc>
        <w:tc>
          <w:tcPr>
            <w:tcW w:w="1236" w:type="dxa"/>
          </w:tcPr>
          <w:p>
            <w:r>
              <w:rPr>
                <w:rFonts w:hint="eastAsia"/>
              </w:rPr>
              <w:t>手工</w:t>
            </w:r>
          </w:p>
        </w:tc>
        <w:tc>
          <w:tcPr>
            <w:tcW w:w="1316" w:type="dxa"/>
          </w:tcPr>
          <w:p>
            <w:r>
              <w:rPr>
                <w:rFonts w:hint="eastAsia"/>
              </w:rPr>
              <w:t>1次/1半年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/</w:t>
            </w:r>
          </w:p>
        </w:tc>
      </w:tr>
    </w:tbl>
    <w:p>
      <w:pPr>
        <w:rPr>
          <w:rFonts w:hint="eastAsia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  <w:bookmarkStart w:id="0" w:name="_GoBack"/>
      <w:bookmarkEnd w:id="0"/>
    </w:p>
    <w:p>
      <w:pPr>
        <w:pStyle w:val="5"/>
        <w:jc w:val="both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6594"/>
    <w:multiLevelType w:val="multilevel"/>
    <w:tmpl w:val="0BCA6594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  <w:rsid w:val="72F4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1">
    <w:name w:val="标题 1 字符"/>
    <w:basedOn w:val="9"/>
    <w:link w:val="2"/>
    <w:uiPriority w:val="9"/>
    <w:rPr>
      <w:b/>
      <w:bCs/>
      <w:kern w:val="44"/>
      <w:sz w:val="30"/>
      <w:szCs w:val="44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字符"/>
    <w:basedOn w:val="9"/>
    <w:link w:val="5"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</Words>
  <Characters>1154</Characters>
  <Lines>9</Lines>
  <Paragraphs>2</Paragraphs>
  <TotalTime>489</TotalTime>
  <ScaleCrop>false</ScaleCrop>
  <LinksUpToDate>false</LinksUpToDate>
  <CharactersWithSpaces>1354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2019-03-15T07:57:00Z</dcterms:created>
  <dc:creator>hz pan</dc:creator>
  <cp:lastModifiedBy>iu。</cp:lastModifiedBy>
  <dcterms:modified xsi:type="dcterms:W3CDTF">2022-01-20T06:56:06Z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526CD3DC6D534C0095BEBE608CD9B1E1</vt:lpwstr>
  </property>
</Properties>
</file>