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
      <w:pPr>
        <w:jc w:val="center"/>
        <w:rPr>
          <w:b/>
          <w:sz w:val="52"/>
          <w:szCs w:val="52"/>
        </w:rPr>
      </w:pPr>
    </w:p>
    <w:p>
      <w:pPr>
        <w:jc w:val="center"/>
        <w:rPr>
          <w:b/>
          <w:sz w:val="44"/>
          <w:szCs w:val="44"/>
        </w:rPr>
      </w:pPr>
      <w:r>
        <w:rPr>
          <w:rFonts w:hint="eastAsia"/>
          <w:b/>
          <w:sz w:val="44"/>
          <w:szCs w:val="44"/>
        </w:rPr>
        <w:t>始兴县大源水电站增效改造工程项目</w:t>
      </w:r>
    </w:p>
    <w:p>
      <w:pPr>
        <w:jc w:val="center"/>
        <w:rPr>
          <w:b/>
          <w:sz w:val="44"/>
          <w:szCs w:val="44"/>
        </w:rPr>
      </w:pPr>
      <w:r>
        <w:rPr>
          <w:rFonts w:hint="eastAsia"/>
          <w:b/>
          <w:sz w:val="44"/>
          <w:szCs w:val="44"/>
        </w:rPr>
        <w:t>后期经费第三方绩效评价报告</w:t>
      </w:r>
    </w:p>
    <w:p>
      <w:pPr>
        <w:rPr>
          <w:rFonts w:asciiTheme="minorEastAsia" w:hAnsiTheme="minorEastAsia" w:eastAsiaTheme="minorEastAsia"/>
          <w:sz w:val="32"/>
          <w:szCs w:val="32"/>
        </w:rPr>
      </w:pPr>
    </w:p>
    <w:p>
      <w:pPr>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报告号：韶中一专字[2021]21013340083号</w:t>
      </w:r>
    </w:p>
    <w:p/>
    <w:p/>
    <w:p/>
    <w:p/>
    <w:p/>
    <w:p/>
    <w:p/>
    <w:p/>
    <w:p/>
    <w:p/>
    <w:p/>
    <w:p/>
    <w:p/>
    <w:p/>
    <w:p/>
    <w:p/>
    <w:p/>
    <w:p/>
    <w:p>
      <w:pPr>
        <w:jc w:val="center"/>
        <w:rPr>
          <w:sz w:val="32"/>
          <w:szCs w:val="32"/>
        </w:rPr>
      </w:pPr>
      <w:r>
        <w:rPr>
          <w:rFonts w:hint="eastAsia"/>
          <w:sz w:val="32"/>
          <w:szCs w:val="32"/>
        </w:rPr>
        <w:t>委托单位：广东省始兴县财政局</w:t>
      </w:r>
    </w:p>
    <w:p>
      <w:pPr>
        <w:jc w:val="center"/>
        <w:rPr>
          <w:sz w:val="32"/>
          <w:szCs w:val="32"/>
        </w:rPr>
      </w:pPr>
      <w:r>
        <w:rPr>
          <w:rFonts w:hint="eastAsia"/>
          <w:sz w:val="32"/>
          <w:szCs w:val="32"/>
        </w:rPr>
        <w:t>评价机构：韶关中一会计师事务所有限公司</w:t>
      </w:r>
    </w:p>
    <w:p>
      <w:pPr>
        <w:spacing w:before="156" w:beforeLines="50" w:after="312" w:afterLines="100" w:line="500" w:lineRule="exact"/>
        <w:ind w:firstLine="640" w:firstLineChars="200"/>
        <w:jc w:val="center"/>
        <w:rPr>
          <w:sz w:val="32"/>
          <w:szCs w:val="32"/>
        </w:rPr>
      </w:pPr>
      <w:r>
        <w:rPr>
          <w:rFonts w:hint="eastAsia"/>
          <w:sz w:val="32"/>
          <w:szCs w:val="32"/>
        </w:rPr>
        <w:t>二〇二一年十二月三十一日</w:t>
      </w:r>
    </w:p>
    <w:p>
      <w:pPr>
        <w:ind w:firstLine="643" w:firstLineChars="200"/>
        <w:jc w:val="center"/>
        <w:rPr>
          <w:b/>
          <w:bCs/>
          <w:sz w:val="32"/>
          <w:szCs w:val="32"/>
          <w:lang w:val="zh-CN"/>
        </w:rPr>
      </w:pPr>
      <w:r>
        <w:rPr>
          <w:b/>
          <w:bCs/>
          <w:sz w:val="32"/>
          <w:szCs w:val="32"/>
          <w:lang w:val="zh-CN"/>
        </w:rPr>
        <w:t>目</w:t>
      </w:r>
      <w:r>
        <w:rPr>
          <w:rFonts w:hint="eastAsia"/>
          <w:b/>
          <w:bCs/>
          <w:sz w:val="32"/>
          <w:szCs w:val="32"/>
        </w:rPr>
        <w:t xml:space="preserve">  </w:t>
      </w:r>
      <w:r>
        <w:rPr>
          <w:b/>
          <w:bCs/>
          <w:sz w:val="32"/>
          <w:szCs w:val="32"/>
          <w:lang w:val="zh-CN"/>
        </w:rPr>
        <w:t>录</w:t>
      </w:r>
    </w:p>
    <w:p>
      <w:pPr>
        <w:ind w:firstLine="643" w:firstLineChars="200"/>
        <w:jc w:val="center"/>
        <w:rPr>
          <w:b/>
          <w:bCs/>
          <w:sz w:val="32"/>
          <w:szCs w:val="32"/>
          <w:lang w:val="zh-CN"/>
        </w:rPr>
      </w:pPr>
    </w:p>
    <w:p>
      <w:pPr>
        <w:ind w:firstLine="640" w:firstLineChars="200"/>
        <w:jc w:val="left"/>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说明  ……………………………………………………1</w:t>
      </w:r>
    </w:p>
    <w:p>
      <w:pPr>
        <w:spacing w:line="500" w:lineRule="exact"/>
        <w:ind w:firstLine="640" w:firstLineChars="200"/>
        <w:rPr>
          <w:rFonts w:asciiTheme="minorEastAsia" w:hAnsiTheme="minorEastAsia" w:eastAsiaTheme="minorEastAsia"/>
          <w:bCs/>
          <w:sz w:val="32"/>
          <w:szCs w:val="32"/>
          <w:lang w:val="zh-CN"/>
        </w:rPr>
      </w:pPr>
    </w:p>
    <w:p>
      <w:pPr>
        <w:spacing w:line="500" w:lineRule="exact"/>
        <w:ind w:firstLine="640" w:firstLineChars="200"/>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 xml:space="preserve">一、评价项目概要 </w:t>
      </w:r>
      <w:r>
        <w:rPr>
          <w:rFonts w:asciiTheme="minorEastAsia" w:hAnsiTheme="minorEastAsia" w:eastAsiaTheme="minorEastAsia"/>
          <w:bCs/>
          <w:sz w:val="32"/>
          <w:szCs w:val="32"/>
          <w:lang w:val="zh-CN"/>
        </w:rPr>
        <w:t>……………………………………</w:t>
      </w:r>
      <w:r>
        <w:rPr>
          <w:rFonts w:hint="eastAsia" w:asciiTheme="minorEastAsia" w:hAnsiTheme="minorEastAsia" w:eastAsiaTheme="minorEastAsia"/>
          <w:bCs/>
          <w:sz w:val="32"/>
          <w:szCs w:val="32"/>
          <w:lang w:val="zh-CN"/>
        </w:rPr>
        <w:t>2</w:t>
      </w:r>
      <w:r>
        <w:rPr>
          <w:rFonts w:asciiTheme="minorEastAsia" w:hAnsiTheme="minorEastAsia" w:eastAsiaTheme="minorEastAsia"/>
          <w:bCs/>
          <w:sz w:val="32"/>
          <w:szCs w:val="32"/>
          <w:lang w:val="zh-CN"/>
        </w:rPr>
        <w:t>-</w:t>
      </w:r>
      <w:r>
        <w:rPr>
          <w:rFonts w:hint="eastAsia" w:asciiTheme="minorEastAsia" w:hAnsiTheme="minorEastAsia" w:eastAsiaTheme="minorEastAsia"/>
          <w:bCs/>
          <w:sz w:val="32"/>
          <w:szCs w:val="32"/>
          <w:lang w:val="zh-CN"/>
        </w:rPr>
        <w:t>3</w:t>
      </w:r>
    </w:p>
    <w:p>
      <w:pPr>
        <w:spacing w:line="500" w:lineRule="exact"/>
        <w:ind w:firstLine="640" w:firstLineChars="200"/>
        <w:rPr>
          <w:rFonts w:asciiTheme="minorEastAsia" w:hAnsiTheme="minorEastAsia" w:eastAsiaTheme="minorEastAsia"/>
          <w:bCs/>
          <w:sz w:val="32"/>
          <w:szCs w:val="32"/>
          <w:lang w:val="zh-CN"/>
        </w:rPr>
      </w:pPr>
    </w:p>
    <w:p>
      <w:pPr>
        <w:spacing w:line="500" w:lineRule="exact"/>
        <w:ind w:firstLine="640" w:firstLineChars="200"/>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 xml:space="preserve">二、绩效目标  </w:t>
      </w:r>
      <w:r>
        <w:rPr>
          <w:rFonts w:asciiTheme="minorEastAsia" w:hAnsiTheme="minorEastAsia" w:eastAsiaTheme="minorEastAsia"/>
          <w:bCs/>
          <w:sz w:val="32"/>
          <w:szCs w:val="32"/>
          <w:lang w:val="zh-CN"/>
        </w:rPr>
        <w:t>…………………………………………</w:t>
      </w:r>
      <w:r>
        <w:rPr>
          <w:rFonts w:hint="eastAsia" w:asciiTheme="minorEastAsia" w:hAnsiTheme="minorEastAsia" w:eastAsiaTheme="minorEastAsia"/>
          <w:bCs/>
          <w:sz w:val="32"/>
          <w:szCs w:val="32"/>
          <w:lang w:val="zh-CN"/>
        </w:rPr>
        <w:t xml:space="preserve"> 3</w:t>
      </w:r>
    </w:p>
    <w:p>
      <w:pPr>
        <w:spacing w:line="500" w:lineRule="exact"/>
        <w:ind w:firstLine="960" w:firstLineChars="300"/>
        <w:rPr>
          <w:rFonts w:asciiTheme="minorEastAsia" w:hAnsiTheme="minorEastAsia" w:eastAsiaTheme="minorEastAsia"/>
          <w:bCs/>
          <w:sz w:val="32"/>
          <w:szCs w:val="32"/>
          <w:lang w:val="zh-CN"/>
        </w:rPr>
      </w:pPr>
    </w:p>
    <w:p>
      <w:pPr>
        <w:spacing w:line="500" w:lineRule="exact"/>
        <w:ind w:firstLine="640" w:firstLineChars="200"/>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 xml:space="preserve">三、评价金额及支出情况 </w:t>
      </w:r>
      <w:r>
        <w:rPr>
          <w:rFonts w:asciiTheme="minorEastAsia" w:hAnsiTheme="minorEastAsia" w:eastAsiaTheme="minorEastAsia"/>
          <w:bCs/>
          <w:sz w:val="32"/>
          <w:szCs w:val="32"/>
          <w:lang w:val="zh-CN"/>
        </w:rPr>
        <w:t>……………………………</w:t>
      </w:r>
      <w:r>
        <w:rPr>
          <w:rFonts w:hint="eastAsia" w:asciiTheme="minorEastAsia" w:hAnsiTheme="minorEastAsia" w:eastAsiaTheme="minorEastAsia"/>
          <w:bCs/>
          <w:sz w:val="32"/>
          <w:szCs w:val="32"/>
          <w:lang w:val="zh-CN"/>
        </w:rPr>
        <w:t>3-5</w:t>
      </w:r>
    </w:p>
    <w:p>
      <w:pPr>
        <w:spacing w:line="500" w:lineRule="exact"/>
        <w:ind w:firstLine="960" w:firstLineChars="300"/>
        <w:rPr>
          <w:rFonts w:asciiTheme="minorEastAsia" w:hAnsiTheme="minorEastAsia" w:eastAsiaTheme="minorEastAsia"/>
          <w:bCs/>
          <w:sz w:val="32"/>
          <w:szCs w:val="32"/>
          <w:lang w:val="zh-CN"/>
        </w:rPr>
      </w:pPr>
    </w:p>
    <w:p>
      <w:pPr>
        <w:spacing w:line="500" w:lineRule="exact"/>
        <w:ind w:firstLine="640" w:firstLineChars="200"/>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 xml:space="preserve">四、主要绩效   </w:t>
      </w:r>
      <w:r>
        <w:rPr>
          <w:rFonts w:asciiTheme="minorEastAsia" w:hAnsiTheme="minorEastAsia" w:eastAsiaTheme="minorEastAsia"/>
          <w:bCs/>
          <w:sz w:val="32"/>
          <w:szCs w:val="32"/>
          <w:lang w:val="zh-CN"/>
        </w:rPr>
        <w:t>…………………………………………</w:t>
      </w:r>
      <w:r>
        <w:rPr>
          <w:rFonts w:hint="eastAsia" w:asciiTheme="minorEastAsia" w:hAnsiTheme="minorEastAsia" w:eastAsiaTheme="minorEastAsia"/>
          <w:bCs/>
          <w:sz w:val="32"/>
          <w:szCs w:val="32"/>
          <w:lang w:val="zh-CN"/>
        </w:rPr>
        <w:t>6</w:t>
      </w:r>
    </w:p>
    <w:p>
      <w:pPr>
        <w:spacing w:line="500" w:lineRule="exact"/>
        <w:ind w:firstLine="640" w:firstLineChars="200"/>
        <w:rPr>
          <w:rFonts w:asciiTheme="minorEastAsia" w:hAnsiTheme="minorEastAsia" w:eastAsiaTheme="minorEastAsia"/>
          <w:bCs/>
          <w:sz w:val="32"/>
          <w:szCs w:val="32"/>
          <w:lang w:val="zh-CN"/>
        </w:rPr>
      </w:pPr>
    </w:p>
    <w:p>
      <w:pPr>
        <w:spacing w:line="500" w:lineRule="exact"/>
        <w:ind w:firstLine="640" w:firstLineChars="200"/>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 xml:space="preserve">五、主要问题 </w:t>
      </w:r>
      <w:r>
        <w:rPr>
          <w:rFonts w:asciiTheme="minorEastAsia" w:hAnsiTheme="minorEastAsia" w:eastAsiaTheme="minorEastAsia"/>
          <w:bCs/>
          <w:sz w:val="32"/>
          <w:szCs w:val="32"/>
          <w:lang w:val="zh-CN"/>
        </w:rPr>
        <w:t>……………………………………………</w:t>
      </w:r>
      <w:r>
        <w:rPr>
          <w:rFonts w:hint="eastAsia" w:asciiTheme="minorEastAsia" w:hAnsiTheme="minorEastAsia" w:eastAsiaTheme="minorEastAsia"/>
          <w:bCs/>
          <w:sz w:val="32"/>
          <w:szCs w:val="32"/>
          <w:lang w:val="zh-CN"/>
        </w:rPr>
        <w:t>6</w:t>
      </w:r>
    </w:p>
    <w:p>
      <w:pPr>
        <w:spacing w:line="500" w:lineRule="exact"/>
        <w:ind w:firstLine="960" w:firstLineChars="300"/>
        <w:rPr>
          <w:rFonts w:asciiTheme="minorEastAsia" w:hAnsiTheme="minorEastAsia" w:eastAsiaTheme="minorEastAsia"/>
          <w:bCs/>
          <w:sz w:val="32"/>
          <w:szCs w:val="32"/>
          <w:lang w:val="zh-CN"/>
        </w:rPr>
      </w:pPr>
    </w:p>
    <w:p>
      <w:pPr>
        <w:spacing w:line="500" w:lineRule="exact"/>
        <w:ind w:firstLine="640" w:firstLineChars="200"/>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 xml:space="preserve">六、主要建议   </w:t>
      </w:r>
      <w:r>
        <w:rPr>
          <w:rFonts w:asciiTheme="minorEastAsia" w:hAnsiTheme="minorEastAsia" w:eastAsiaTheme="minorEastAsia"/>
          <w:bCs/>
          <w:sz w:val="32"/>
          <w:szCs w:val="32"/>
          <w:lang w:val="zh-CN"/>
        </w:rPr>
        <w:t>…………………………………………</w:t>
      </w:r>
      <w:r>
        <w:rPr>
          <w:rFonts w:hint="eastAsia" w:asciiTheme="minorEastAsia" w:hAnsiTheme="minorEastAsia" w:eastAsiaTheme="minorEastAsia"/>
          <w:bCs/>
          <w:sz w:val="32"/>
          <w:szCs w:val="32"/>
          <w:lang w:val="zh-CN"/>
        </w:rPr>
        <w:t>6</w:t>
      </w:r>
    </w:p>
    <w:p>
      <w:pPr>
        <w:spacing w:line="500" w:lineRule="exact"/>
        <w:ind w:firstLine="960" w:firstLineChars="300"/>
        <w:rPr>
          <w:rFonts w:asciiTheme="minorEastAsia" w:hAnsiTheme="minorEastAsia" w:eastAsiaTheme="minorEastAsia"/>
          <w:bCs/>
          <w:sz w:val="32"/>
          <w:szCs w:val="32"/>
          <w:lang w:val="zh-CN"/>
        </w:rPr>
      </w:pPr>
    </w:p>
    <w:p>
      <w:pPr>
        <w:spacing w:line="500" w:lineRule="exact"/>
        <w:ind w:firstLine="640" w:firstLineChars="200"/>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七、其他需要说明的问题 ………………………………7</w:t>
      </w:r>
    </w:p>
    <w:p>
      <w:pPr>
        <w:spacing w:line="620" w:lineRule="exact"/>
        <w:ind w:firstLine="640" w:firstLineChars="200"/>
        <w:rPr>
          <w:rFonts w:asciiTheme="minorEastAsia" w:hAnsiTheme="minorEastAsia" w:eastAsiaTheme="minorEastAsia"/>
          <w:bCs/>
          <w:sz w:val="32"/>
          <w:szCs w:val="32"/>
          <w:lang w:val="zh-CN"/>
        </w:rPr>
      </w:pPr>
    </w:p>
    <w:p>
      <w:pPr>
        <w:spacing w:line="620" w:lineRule="exact"/>
        <w:rPr>
          <w:rFonts w:asciiTheme="minorEastAsia" w:hAnsiTheme="minorEastAsia" w:eastAsiaTheme="minorEastAsia"/>
          <w:spacing w:val="5"/>
          <w:kern w:val="0"/>
          <w:sz w:val="32"/>
          <w:szCs w:val="32"/>
        </w:rPr>
      </w:pPr>
      <w:bookmarkStart w:id="0" w:name="_GoBack"/>
      <w:bookmarkEnd w:id="0"/>
      <w:r>
        <w:rPr>
          <w:rFonts w:hint="eastAsia" w:asciiTheme="minorEastAsia" w:hAnsiTheme="minorEastAsia" w:eastAsiaTheme="minorEastAsia"/>
          <w:spacing w:val="5"/>
          <w:kern w:val="0"/>
          <w:sz w:val="32"/>
          <w:szCs w:val="32"/>
        </w:rPr>
        <w:t xml:space="preserve">     </w:t>
      </w:r>
    </w:p>
    <w:p>
      <w:pPr>
        <w:spacing w:line="620" w:lineRule="exact"/>
        <w:rPr>
          <w:rFonts w:ascii="仿宋_GB2312" w:hAnsi="仿宋_GB2312" w:eastAsia="仿宋_GB2312"/>
          <w:spacing w:val="5"/>
          <w:kern w:val="0"/>
          <w:sz w:val="32"/>
          <w:szCs w:val="32"/>
        </w:rPr>
        <w:sectPr>
          <w:footerReference r:id="rId3" w:type="default"/>
          <w:pgSz w:w="11906" w:h="16838"/>
          <w:pgMar w:top="1440" w:right="1800" w:bottom="1440" w:left="1800" w:header="851" w:footer="992" w:gutter="0"/>
          <w:pgNumType w:start="3" w:chapStyle="1"/>
          <w:cols w:space="425" w:num="1"/>
          <w:docGrid w:type="lines" w:linePitch="312" w:charSpace="0"/>
        </w:sectPr>
      </w:pPr>
    </w:p>
    <w:p>
      <w:pPr>
        <w:spacing w:before="156" w:beforeLines="50" w:after="156" w:afterLines="50"/>
        <w:ind w:firstLine="663" w:firstLineChars="200"/>
        <w:jc w:val="center"/>
        <w:outlineLvl w:val="1"/>
        <w:rPr>
          <w:rFonts w:ascii="仿宋" w:hAnsi="仿宋" w:eastAsia="仿宋"/>
          <w:b/>
          <w:spacing w:val="5"/>
          <w:kern w:val="0"/>
          <w:sz w:val="32"/>
          <w:szCs w:val="32"/>
        </w:rPr>
      </w:pPr>
      <w:r>
        <w:rPr>
          <w:rFonts w:hint="eastAsia" w:ascii="仿宋" w:hAnsi="仿宋" w:eastAsia="仿宋"/>
          <w:b/>
          <w:spacing w:val="5"/>
          <w:kern w:val="0"/>
          <w:sz w:val="32"/>
          <w:szCs w:val="32"/>
        </w:rPr>
        <w:t>说  明</w:t>
      </w:r>
    </w:p>
    <w:p>
      <w:pPr>
        <w:spacing w:before="156" w:beforeLines="50" w:after="156" w:afterLines="50"/>
        <w:ind w:firstLine="660" w:firstLineChars="200"/>
        <w:outlineLvl w:val="1"/>
        <w:rPr>
          <w:rFonts w:ascii="仿宋" w:hAnsi="仿宋" w:eastAsia="仿宋"/>
          <w:spacing w:val="5"/>
          <w:kern w:val="0"/>
          <w:sz w:val="32"/>
          <w:szCs w:val="32"/>
        </w:rPr>
      </w:pPr>
      <w:r>
        <w:rPr>
          <w:rFonts w:hint="eastAsia" w:ascii="仿宋" w:hAnsi="仿宋" w:eastAsia="仿宋"/>
          <w:spacing w:val="5"/>
          <w:kern w:val="0"/>
          <w:sz w:val="32"/>
          <w:szCs w:val="32"/>
        </w:rPr>
        <w:t>为加强财政资金支出管理，促进资金主管部门树立绩效观念，进一步规范和完善财政资金支出绩效评价工作，始兴县财政局委托韶关中一会计师事务所有限公司（以下简称“中一事务所”）对始兴县大源水电站增效改造工程项目后期经费开展绩效评价。</w:t>
      </w:r>
    </w:p>
    <w:p>
      <w:pPr>
        <w:spacing w:before="156" w:beforeLines="50" w:after="156" w:afterLines="50"/>
        <w:ind w:firstLine="660" w:firstLineChars="200"/>
        <w:outlineLvl w:val="1"/>
        <w:rPr>
          <w:rFonts w:ascii="仿宋" w:hAnsi="仿宋" w:eastAsia="仿宋"/>
          <w:spacing w:val="5"/>
          <w:kern w:val="0"/>
          <w:sz w:val="32"/>
          <w:szCs w:val="32"/>
        </w:rPr>
      </w:pPr>
      <w:r>
        <w:rPr>
          <w:rFonts w:hint="eastAsia" w:ascii="仿宋" w:hAnsi="仿宋" w:eastAsia="仿宋"/>
          <w:spacing w:val="5"/>
          <w:kern w:val="0"/>
          <w:sz w:val="32"/>
          <w:szCs w:val="32"/>
        </w:rPr>
        <w:t>2021年11月20日至2021年12月10日，中一事务所对始兴县大源水电站增效改造工程项目后期经费绩效评价。本次增效改造工程项目后期经费绩效评价工作遵循“客观、公正、科学、规范”的原则，根据始兴县大源水电站2020年初设定的绩效目标，设置合理的评价指标及标准，运用比较法、成本效益分析法和公众评判法等评价方法，对始兴县大源水电站增效改造工程项目后期经费支出的全过程及其履行职责的经济性、效率性、效果性和公平性进行评价。</w:t>
      </w:r>
    </w:p>
    <w:p>
      <w:pPr>
        <w:spacing w:before="156" w:beforeLines="50" w:after="156" w:afterLines="50"/>
        <w:ind w:firstLine="660" w:firstLineChars="200"/>
        <w:outlineLvl w:val="1"/>
        <w:rPr>
          <w:rFonts w:ascii="仿宋" w:hAnsi="仿宋" w:eastAsia="仿宋"/>
          <w:spacing w:val="5"/>
          <w:kern w:val="0"/>
          <w:sz w:val="32"/>
          <w:szCs w:val="32"/>
        </w:rPr>
      </w:pPr>
      <w:r>
        <w:rPr>
          <w:rFonts w:hint="eastAsia" w:ascii="仿宋" w:hAnsi="仿宋" w:eastAsia="仿宋"/>
          <w:spacing w:val="5"/>
          <w:kern w:val="0"/>
          <w:sz w:val="32"/>
          <w:szCs w:val="32"/>
        </w:rPr>
        <w:t>本报告由中一事务所独立完成。</w:t>
      </w:r>
    </w:p>
    <w:p>
      <w:pPr>
        <w:spacing w:before="156" w:beforeLines="50" w:after="156" w:afterLines="50"/>
        <w:ind w:firstLine="660" w:firstLineChars="200"/>
        <w:outlineLvl w:val="1"/>
        <w:rPr>
          <w:rFonts w:ascii="仿宋" w:hAnsi="仿宋" w:eastAsia="仿宋"/>
          <w:spacing w:val="5"/>
          <w:kern w:val="0"/>
          <w:sz w:val="32"/>
          <w:szCs w:val="32"/>
        </w:rPr>
      </w:pPr>
    </w:p>
    <w:p>
      <w:pPr>
        <w:spacing w:before="156" w:beforeLines="50" w:after="156" w:afterLines="50"/>
        <w:ind w:firstLine="660" w:firstLineChars="200"/>
        <w:outlineLvl w:val="1"/>
        <w:rPr>
          <w:rFonts w:ascii="仿宋" w:hAnsi="仿宋" w:eastAsia="仿宋"/>
          <w:spacing w:val="5"/>
          <w:kern w:val="0"/>
          <w:sz w:val="32"/>
          <w:szCs w:val="32"/>
        </w:rPr>
      </w:pPr>
    </w:p>
    <w:p>
      <w:pPr>
        <w:spacing w:before="156" w:beforeLines="50" w:after="156" w:afterLines="50"/>
        <w:ind w:firstLine="660" w:firstLineChars="200"/>
        <w:outlineLvl w:val="1"/>
        <w:rPr>
          <w:rFonts w:ascii="仿宋" w:hAnsi="仿宋" w:eastAsia="仿宋"/>
          <w:spacing w:val="5"/>
          <w:kern w:val="0"/>
          <w:sz w:val="32"/>
          <w:szCs w:val="32"/>
        </w:rPr>
      </w:pPr>
    </w:p>
    <w:p>
      <w:pPr>
        <w:spacing w:before="156" w:beforeLines="50" w:after="156" w:afterLines="50"/>
        <w:outlineLvl w:val="1"/>
        <w:rPr>
          <w:rFonts w:ascii="仿宋" w:hAnsi="仿宋" w:eastAsia="仿宋"/>
          <w:b/>
          <w:spacing w:val="5"/>
          <w:kern w:val="0"/>
          <w:sz w:val="32"/>
          <w:szCs w:val="32"/>
        </w:rPr>
      </w:pPr>
    </w:p>
    <w:p>
      <w:pPr>
        <w:spacing w:before="156" w:beforeLines="50" w:after="156" w:afterLines="50"/>
        <w:ind w:firstLine="663" w:firstLineChars="200"/>
        <w:outlineLvl w:val="1"/>
        <w:rPr>
          <w:rFonts w:ascii="仿宋" w:hAnsi="仿宋" w:eastAsia="仿宋"/>
          <w:b/>
          <w:spacing w:val="5"/>
          <w:kern w:val="0"/>
          <w:sz w:val="32"/>
          <w:szCs w:val="32"/>
        </w:rPr>
      </w:pPr>
      <w:r>
        <w:rPr>
          <w:rFonts w:hint="eastAsia" w:ascii="仿宋" w:hAnsi="仿宋" w:eastAsia="仿宋"/>
          <w:b/>
          <w:spacing w:val="5"/>
          <w:kern w:val="0"/>
          <w:sz w:val="32"/>
          <w:szCs w:val="32"/>
        </w:rPr>
        <w:t>一、评价项目概要</w:t>
      </w:r>
    </w:p>
    <w:p>
      <w:pPr>
        <w:ind w:firstLine="660" w:firstLineChars="200"/>
        <w:outlineLvl w:val="1"/>
        <w:rPr>
          <w:rFonts w:ascii="仿宋" w:hAnsi="仿宋" w:eastAsia="仿宋"/>
          <w:spacing w:val="5"/>
          <w:kern w:val="0"/>
          <w:sz w:val="32"/>
          <w:szCs w:val="32"/>
        </w:rPr>
      </w:pPr>
      <w:r>
        <w:rPr>
          <w:rFonts w:hint="eastAsia" w:ascii="仿宋" w:hAnsi="仿宋" w:eastAsia="仿宋"/>
          <w:spacing w:val="5"/>
          <w:kern w:val="0"/>
          <w:sz w:val="32"/>
          <w:szCs w:val="32"/>
        </w:rPr>
        <w:t>（一）项目背景</w:t>
      </w:r>
    </w:p>
    <w:p>
      <w:pPr>
        <w:ind w:firstLine="660" w:firstLineChars="200"/>
        <w:outlineLvl w:val="1"/>
        <w:rPr>
          <w:rFonts w:ascii="仿宋" w:hAnsi="仿宋" w:eastAsia="仿宋"/>
          <w:spacing w:val="5"/>
          <w:kern w:val="0"/>
          <w:sz w:val="32"/>
          <w:szCs w:val="32"/>
        </w:rPr>
      </w:pPr>
      <w:r>
        <w:rPr>
          <w:rFonts w:hint="eastAsia" w:ascii="仿宋" w:hAnsi="仿宋" w:eastAsia="仿宋"/>
          <w:spacing w:val="5"/>
          <w:kern w:val="0"/>
          <w:sz w:val="32"/>
          <w:szCs w:val="32"/>
        </w:rPr>
        <w:t>始兴县大源水电站位于始兴县马市镇候陂管理区辖区，是全民所有制企业，于1979年12月建成投产,分二级发电,电站大坝集雨面积11.6平方公里，总水头高398米，设计流量1.134m</w:t>
      </w:r>
      <w:r>
        <w:rPr>
          <w:rFonts w:hint="eastAsia" w:ascii="宋体" w:hAnsi="宋体" w:cs="宋体"/>
          <w:spacing w:val="5"/>
          <w:kern w:val="0"/>
          <w:sz w:val="32"/>
          <w:szCs w:val="32"/>
        </w:rPr>
        <w:t>³</w:t>
      </w:r>
      <w:r>
        <w:rPr>
          <w:rFonts w:hint="eastAsia" w:ascii="仿宋" w:hAnsi="仿宋" w:eastAsia="仿宋"/>
          <w:spacing w:val="5"/>
          <w:kern w:val="0"/>
          <w:sz w:val="32"/>
          <w:szCs w:val="32"/>
        </w:rPr>
        <w:t>/s，总装机容量为3200KW (4×800kw)。水库于2000年2月建成使用，投产运营发电已三十多年，发供电设备设施残旧，严重影响电站运行的安全和效益。</w:t>
      </w:r>
    </w:p>
    <w:p>
      <w:pPr>
        <w:ind w:firstLine="660" w:firstLineChars="200"/>
        <w:outlineLvl w:val="1"/>
        <w:rPr>
          <w:rFonts w:ascii="仿宋" w:hAnsi="仿宋" w:eastAsia="仿宋"/>
          <w:spacing w:val="5"/>
          <w:kern w:val="0"/>
          <w:sz w:val="32"/>
          <w:szCs w:val="32"/>
        </w:rPr>
      </w:pPr>
      <w:r>
        <w:rPr>
          <w:rFonts w:hint="eastAsia" w:ascii="仿宋" w:hAnsi="仿宋" w:eastAsia="仿宋"/>
          <w:spacing w:val="5"/>
          <w:kern w:val="0"/>
          <w:sz w:val="32"/>
          <w:szCs w:val="32"/>
        </w:rPr>
        <w:t>为响应中央、省、市、县关于全国小水电“节能减排、扩容增效”的号召，根据粤水农电[2013]18号文件关于广东省农村水电增效扩容改造实施方案批复的通知，始兴县大源水电站于2015年进行了增效改造工程项目。</w:t>
      </w:r>
    </w:p>
    <w:p>
      <w:pPr>
        <w:ind w:firstLine="660" w:firstLineChars="200"/>
        <w:outlineLvl w:val="1"/>
        <w:rPr>
          <w:rFonts w:ascii="仿宋" w:hAnsi="仿宋" w:eastAsia="仿宋"/>
          <w:spacing w:val="5"/>
          <w:kern w:val="0"/>
          <w:sz w:val="32"/>
          <w:szCs w:val="32"/>
        </w:rPr>
      </w:pPr>
      <w:r>
        <w:rPr>
          <w:rFonts w:hint="eastAsia" w:ascii="仿宋" w:hAnsi="仿宋" w:eastAsia="仿宋"/>
          <w:spacing w:val="5"/>
          <w:kern w:val="0"/>
          <w:sz w:val="32"/>
          <w:szCs w:val="32"/>
        </w:rPr>
        <w:t>该项目升级改造包含：厂房土建工程、压力管道工程、水轮发电机组设备及安装工程、电气设备及安装工程。于2016年6月竣工并验收合格，工程结算金额为6,537,835.88元，已付项目工程款金额6,153,231.86元，尚欠付土建工程质保金、设备质保金384,604.02元。</w:t>
      </w:r>
    </w:p>
    <w:p>
      <w:pPr>
        <w:ind w:firstLine="660" w:firstLineChars="200"/>
        <w:outlineLvl w:val="1"/>
        <w:rPr>
          <w:rFonts w:ascii="仿宋" w:hAnsi="仿宋" w:eastAsia="仿宋"/>
          <w:spacing w:val="5"/>
          <w:kern w:val="0"/>
          <w:sz w:val="32"/>
          <w:szCs w:val="32"/>
        </w:rPr>
      </w:pPr>
      <w:r>
        <w:rPr>
          <w:rFonts w:hint="eastAsia" w:ascii="仿宋" w:hAnsi="仿宋" w:eastAsia="仿宋"/>
          <w:spacing w:val="5"/>
          <w:kern w:val="0"/>
          <w:sz w:val="32"/>
          <w:szCs w:val="32"/>
        </w:rPr>
        <w:t>2020年7月，根据“始兴县2020年国有资本经营预算安排方案”，县财政安排国有资本资金384,604.02元，用于支付电站增效改造工程质保金。2020年8月26日由国库直接拨付“广东洪源众力发电设备有限公司”工程款284,604.02元，拨付“韶关市华源水电建设有限公司”工程款100,000.00元。</w:t>
      </w:r>
    </w:p>
    <w:p>
      <w:pPr>
        <w:spacing w:before="156" w:beforeLines="50" w:after="156" w:afterLines="50"/>
        <w:ind w:firstLine="663" w:firstLineChars="200"/>
        <w:outlineLvl w:val="1"/>
        <w:rPr>
          <w:rFonts w:ascii="仿宋" w:hAnsi="仿宋" w:eastAsia="仿宋"/>
          <w:b/>
          <w:spacing w:val="5"/>
          <w:kern w:val="0"/>
          <w:sz w:val="32"/>
          <w:szCs w:val="32"/>
        </w:rPr>
      </w:pPr>
      <w:r>
        <w:rPr>
          <w:rFonts w:hint="eastAsia" w:ascii="仿宋" w:hAnsi="仿宋" w:eastAsia="仿宋"/>
          <w:b/>
          <w:spacing w:val="5"/>
          <w:kern w:val="0"/>
          <w:sz w:val="32"/>
          <w:szCs w:val="32"/>
        </w:rPr>
        <w:t>二、绩效目标</w:t>
      </w:r>
    </w:p>
    <w:p>
      <w:pPr>
        <w:ind w:firstLine="660" w:firstLineChars="200"/>
        <w:outlineLvl w:val="1"/>
        <w:rPr>
          <w:rFonts w:ascii="仿宋" w:hAnsi="仿宋" w:eastAsia="仿宋"/>
          <w:spacing w:val="5"/>
          <w:kern w:val="0"/>
          <w:sz w:val="32"/>
          <w:szCs w:val="32"/>
        </w:rPr>
      </w:pPr>
      <w:r>
        <w:rPr>
          <w:rFonts w:hint="eastAsia" w:ascii="仿宋" w:hAnsi="仿宋" w:eastAsia="仿宋"/>
          <w:spacing w:val="5"/>
          <w:kern w:val="0"/>
          <w:sz w:val="32"/>
          <w:szCs w:val="32"/>
        </w:rPr>
        <w:t>始兴县大源水电站发供电设备设施残旧,通过增效扩容改造后,对电站水轮机,发电机等设备进行更换，压力管道更新、厂房的新建及维修。从根本上解决电站机械设备,电气,监测,控制及保护系统存在的严重问题,提高设备运行的可靠性和安全性。本次财政资金安排拨付384,604.02元，解决了增效扩容工程尚欠工程款质保金。</w:t>
      </w:r>
    </w:p>
    <w:p>
      <w:pPr>
        <w:spacing w:before="156" w:beforeLines="50" w:after="156" w:afterLines="50"/>
        <w:ind w:firstLine="663" w:firstLineChars="200"/>
        <w:outlineLvl w:val="1"/>
        <w:rPr>
          <w:rFonts w:ascii="仿宋" w:hAnsi="仿宋" w:eastAsia="仿宋"/>
          <w:spacing w:val="5"/>
          <w:kern w:val="0"/>
          <w:sz w:val="32"/>
          <w:szCs w:val="32"/>
        </w:rPr>
      </w:pPr>
      <w:r>
        <w:rPr>
          <w:rFonts w:hint="eastAsia" w:ascii="仿宋" w:hAnsi="仿宋" w:eastAsia="仿宋"/>
          <w:b/>
          <w:spacing w:val="5"/>
          <w:kern w:val="0"/>
          <w:sz w:val="32"/>
          <w:szCs w:val="32"/>
        </w:rPr>
        <w:t>三、评价金额及支出情况</w:t>
      </w:r>
    </w:p>
    <w:p>
      <w:pPr>
        <w:ind w:firstLine="660" w:firstLineChars="200"/>
        <w:jc w:val="center"/>
        <w:outlineLvl w:val="1"/>
        <w:rPr>
          <w:rFonts w:ascii="仿宋" w:hAnsi="仿宋" w:eastAsia="仿宋"/>
          <w:spacing w:val="5"/>
          <w:kern w:val="0"/>
          <w:sz w:val="32"/>
          <w:szCs w:val="32"/>
        </w:rPr>
      </w:pPr>
      <w:r>
        <w:rPr>
          <w:rFonts w:hint="eastAsia" w:ascii="仿宋" w:hAnsi="仿宋" w:eastAsia="仿宋"/>
          <w:spacing w:val="5"/>
          <w:kern w:val="0"/>
          <w:sz w:val="32"/>
          <w:szCs w:val="32"/>
        </w:rPr>
        <w:t>评审得分情况汇总表</w:t>
      </w:r>
    </w:p>
    <w:tbl>
      <w:tblPr>
        <w:tblStyle w:val="8"/>
        <w:tblW w:w="8569" w:type="dxa"/>
        <w:tblInd w:w="93" w:type="dxa"/>
        <w:tblLayout w:type="autofit"/>
        <w:tblCellMar>
          <w:top w:w="0" w:type="dxa"/>
          <w:left w:w="108" w:type="dxa"/>
          <w:bottom w:w="0" w:type="dxa"/>
          <w:right w:w="108" w:type="dxa"/>
        </w:tblCellMar>
      </w:tblPr>
      <w:tblGrid>
        <w:gridCol w:w="2701"/>
        <w:gridCol w:w="1787"/>
        <w:gridCol w:w="1827"/>
        <w:gridCol w:w="2254"/>
      </w:tblGrid>
      <w:tr>
        <w:tblPrEx>
          <w:tblCellMar>
            <w:top w:w="0" w:type="dxa"/>
            <w:left w:w="108" w:type="dxa"/>
            <w:bottom w:w="0" w:type="dxa"/>
            <w:right w:w="108" w:type="dxa"/>
          </w:tblCellMar>
        </w:tblPrEx>
        <w:trPr>
          <w:trHeight w:val="541" w:hRule="atLeast"/>
        </w:trPr>
        <w:tc>
          <w:tcPr>
            <w:tcW w:w="27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评价指标</w:t>
            </w:r>
          </w:p>
        </w:tc>
        <w:tc>
          <w:tcPr>
            <w:tcW w:w="178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总分值</w:t>
            </w:r>
          </w:p>
        </w:tc>
        <w:tc>
          <w:tcPr>
            <w:tcW w:w="182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评审得分</w:t>
            </w:r>
          </w:p>
        </w:tc>
        <w:tc>
          <w:tcPr>
            <w:tcW w:w="225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得分率</w:t>
            </w:r>
          </w:p>
        </w:tc>
      </w:tr>
      <w:tr>
        <w:tblPrEx>
          <w:tblCellMar>
            <w:top w:w="0" w:type="dxa"/>
            <w:left w:w="108" w:type="dxa"/>
            <w:bottom w:w="0" w:type="dxa"/>
            <w:right w:w="108" w:type="dxa"/>
          </w:tblCellMar>
        </w:tblPrEx>
        <w:trPr>
          <w:trHeight w:val="541" w:hRule="atLeast"/>
        </w:trPr>
        <w:tc>
          <w:tcPr>
            <w:tcW w:w="2701"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sz w:val="32"/>
                <w:szCs w:val="32"/>
              </w:rPr>
            </w:pPr>
            <w:r>
              <w:rPr>
                <w:rFonts w:hint="eastAsia" w:ascii="仿宋" w:hAnsi="仿宋" w:eastAsia="仿宋"/>
                <w:sz w:val="32"/>
                <w:szCs w:val="32"/>
              </w:rPr>
              <w:t>一、投入合理性</w:t>
            </w:r>
          </w:p>
        </w:tc>
        <w:tc>
          <w:tcPr>
            <w:tcW w:w="178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20</w:t>
            </w:r>
          </w:p>
        </w:tc>
        <w:tc>
          <w:tcPr>
            <w:tcW w:w="182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18</w:t>
            </w:r>
          </w:p>
        </w:tc>
        <w:tc>
          <w:tcPr>
            <w:tcW w:w="22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90%</w:t>
            </w:r>
          </w:p>
        </w:tc>
      </w:tr>
      <w:tr>
        <w:tblPrEx>
          <w:tblCellMar>
            <w:top w:w="0" w:type="dxa"/>
            <w:left w:w="108" w:type="dxa"/>
            <w:bottom w:w="0" w:type="dxa"/>
            <w:right w:w="108" w:type="dxa"/>
          </w:tblCellMar>
        </w:tblPrEx>
        <w:trPr>
          <w:trHeight w:val="541" w:hRule="atLeast"/>
        </w:trPr>
        <w:tc>
          <w:tcPr>
            <w:tcW w:w="2701"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sz w:val="32"/>
                <w:szCs w:val="32"/>
              </w:rPr>
            </w:pPr>
            <w:r>
              <w:rPr>
                <w:rFonts w:hint="eastAsia" w:ascii="仿宋" w:hAnsi="仿宋" w:eastAsia="仿宋"/>
                <w:sz w:val="32"/>
                <w:szCs w:val="32"/>
              </w:rPr>
              <w:t>二、过程管理有效性</w:t>
            </w:r>
          </w:p>
        </w:tc>
        <w:tc>
          <w:tcPr>
            <w:tcW w:w="178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20</w:t>
            </w:r>
          </w:p>
        </w:tc>
        <w:tc>
          <w:tcPr>
            <w:tcW w:w="182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18</w:t>
            </w:r>
          </w:p>
        </w:tc>
        <w:tc>
          <w:tcPr>
            <w:tcW w:w="22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90%</w:t>
            </w:r>
          </w:p>
        </w:tc>
      </w:tr>
      <w:tr>
        <w:tblPrEx>
          <w:tblCellMar>
            <w:top w:w="0" w:type="dxa"/>
            <w:left w:w="108" w:type="dxa"/>
            <w:bottom w:w="0" w:type="dxa"/>
            <w:right w:w="108" w:type="dxa"/>
          </w:tblCellMar>
        </w:tblPrEx>
        <w:trPr>
          <w:trHeight w:val="541" w:hRule="atLeast"/>
        </w:trPr>
        <w:tc>
          <w:tcPr>
            <w:tcW w:w="2701"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sz w:val="32"/>
                <w:szCs w:val="32"/>
              </w:rPr>
            </w:pPr>
            <w:r>
              <w:rPr>
                <w:rFonts w:hint="eastAsia" w:ascii="仿宋" w:hAnsi="仿宋" w:eastAsia="仿宋"/>
                <w:sz w:val="32"/>
                <w:szCs w:val="32"/>
              </w:rPr>
              <w:t>三、产出质量</w:t>
            </w:r>
          </w:p>
        </w:tc>
        <w:tc>
          <w:tcPr>
            <w:tcW w:w="178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30</w:t>
            </w:r>
          </w:p>
        </w:tc>
        <w:tc>
          <w:tcPr>
            <w:tcW w:w="182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29</w:t>
            </w:r>
          </w:p>
        </w:tc>
        <w:tc>
          <w:tcPr>
            <w:tcW w:w="22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96.67%</w:t>
            </w:r>
          </w:p>
        </w:tc>
      </w:tr>
      <w:tr>
        <w:tblPrEx>
          <w:tblCellMar>
            <w:top w:w="0" w:type="dxa"/>
            <w:left w:w="108" w:type="dxa"/>
            <w:bottom w:w="0" w:type="dxa"/>
            <w:right w:w="108" w:type="dxa"/>
          </w:tblCellMar>
        </w:tblPrEx>
        <w:trPr>
          <w:trHeight w:val="541" w:hRule="atLeast"/>
        </w:trPr>
        <w:tc>
          <w:tcPr>
            <w:tcW w:w="2701"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sz w:val="32"/>
                <w:szCs w:val="32"/>
              </w:rPr>
            </w:pPr>
            <w:r>
              <w:rPr>
                <w:rFonts w:hint="eastAsia" w:ascii="仿宋" w:hAnsi="仿宋" w:eastAsia="仿宋"/>
                <w:sz w:val="32"/>
                <w:szCs w:val="32"/>
              </w:rPr>
              <w:t>四、效益实现度</w:t>
            </w:r>
          </w:p>
        </w:tc>
        <w:tc>
          <w:tcPr>
            <w:tcW w:w="178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30</w:t>
            </w:r>
          </w:p>
        </w:tc>
        <w:tc>
          <w:tcPr>
            <w:tcW w:w="182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25</w:t>
            </w:r>
          </w:p>
        </w:tc>
        <w:tc>
          <w:tcPr>
            <w:tcW w:w="22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83.33%</w:t>
            </w:r>
          </w:p>
        </w:tc>
      </w:tr>
      <w:tr>
        <w:tblPrEx>
          <w:tblCellMar>
            <w:top w:w="0" w:type="dxa"/>
            <w:left w:w="108" w:type="dxa"/>
            <w:bottom w:w="0" w:type="dxa"/>
            <w:right w:w="108" w:type="dxa"/>
          </w:tblCellMar>
        </w:tblPrEx>
        <w:trPr>
          <w:trHeight w:val="541" w:hRule="atLeast"/>
        </w:trPr>
        <w:tc>
          <w:tcPr>
            <w:tcW w:w="270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合计</w:t>
            </w:r>
          </w:p>
        </w:tc>
        <w:tc>
          <w:tcPr>
            <w:tcW w:w="178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100</w:t>
            </w:r>
          </w:p>
        </w:tc>
        <w:tc>
          <w:tcPr>
            <w:tcW w:w="182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90</w:t>
            </w:r>
          </w:p>
        </w:tc>
        <w:tc>
          <w:tcPr>
            <w:tcW w:w="22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90%</w:t>
            </w:r>
          </w:p>
        </w:tc>
      </w:tr>
    </w:tbl>
    <w:p>
      <w:pPr>
        <w:ind w:firstLine="660" w:firstLineChars="200"/>
        <w:outlineLvl w:val="1"/>
        <w:rPr>
          <w:rFonts w:ascii="仿宋" w:hAnsi="仿宋" w:eastAsia="仿宋"/>
          <w:spacing w:val="5"/>
          <w:kern w:val="0"/>
          <w:sz w:val="32"/>
          <w:szCs w:val="32"/>
        </w:rPr>
      </w:pPr>
    </w:p>
    <w:p>
      <w:pPr>
        <w:ind w:firstLine="660" w:firstLineChars="200"/>
        <w:outlineLvl w:val="1"/>
        <w:rPr>
          <w:rFonts w:ascii="仿宋" w:hAnsi="仿宋" w:eastAsia="仿宋"/>
          <w:spacing w:val="5"/>
          <w:kern w:val="0"/>
          <w:sz w:val="32"/>
          <w:szCs w:val="32"/>
        </w:rPr>
      </w:pPr>
      <w:r>
        <w:rPr>
          <w:rFonts w:hint="eastAsia" w:ascii="仿宋" w:hAnsi="仿宋" w:eastAsia="仿宋"/>
          <w:spacing w:val="5"/>
          <w:kern w:val="0"/>
          <w:sz w:val="32"/>
          <w:szCs w:val="32"/>
        </w:rPr>
        <w:t>本次评价涉及的始兴县大源水电站增效扩容改造工程项目支付尾款合同金额</w:t>
      </w:r>
      <w:r>
        <w:rPr>
          <w:rFonts w:ascii="仿宋" w:hAnsi="仿宋" w:eastAsia="仿宋"/>
          <w:spacing w:val="5"/>
          <w:kern w:val="0"/>
          <w:sz w:val="32"/>
          <w:szCs w:val="32"/>
        </w:rPr>
        <w:t>384</w:t>
      </w:r>
      <w:r>
        <w:rPr>
          <w:rFonts w:hint="eastAsia" w:ascii="仿宋" w:hAnsi="仿宋" w:eastAsia="仿宋"/>
          <w:spacing w:val="5"/>
          <w:kern w:val="0"/>
          <w:sz w:val="32"/>
          <w:szCs w:val="32"/>
        </w:rPr>
        <w:t>,</w:t>
      </w:r>
      <w:r>
        <w:rPr>
          <w:rFonts w:ascii="仿宋" w:hAnsi="仿宋" w:eastAsia="仿宋"/>
          <w:spacing w:val="5"/>
          <w:kern w:val="0"/>
          <w:sz w:val="32"/>
          <w:szCs w:val="32"/>
        </w:rPr>
        <w:t>604.02</w:t>
      </w:r>
      <w:r>
        <w:rPr>
          <w:rFonts w:hint="eastAsia" w:ascii="仿宋" w:hAnsi="仿宋" w:eastAsia="仿宋"/>
          <w:spacing w:val="5"/>
          <w:kern w:val="0"/>
          <w:sz w:val="32"/>
          <w:szCs w:val="32"/>
        </w:rPr>
        <w:t>元。具体评价资金明细为：2020年8月26日由国库直接拨付“广东洪源众力发电设备有限公司”工程款284,604.02元，拨付“韶关市华源水电建设有限公司”工程款100,000.00元。</w:t>
      </w:r>
    </w:p>
    <w:p>
      <w:pPr>
        <w:ind w:firstLine="660" w:firstLineChars="200"/>
        <w:outlineLvl w:val="1"/>
        <w:rPr>
          <w:rFonts w:ascii="仿宋" w:hAnsi="仿宋" w:eastAsia="仿宋"/>
          <w:spacing w:val="5"/>
          <w:kern w:val="0"/>
          <w:sz w:val="32"/>
          <w:szCs w:val="32"/>
        </w:rPr>
      </w:pPr>
      <w:r>
        <w:rPr>
          <w:rFonts w:hint="eastAsia" w:ascii="仿宋" w:hAnsi="仿宋" w:eastAsia="仿宋"/>
          <w:spacing w:val="5"/>
          <w:kern w:val="0"/>
          <w:sz w:val="32"/>
          <w:szCs w:val="32"/>
        </w:rPr>
        <w:t>（一）总体结论</w:t>
      </w:r>
    </w:p>
    <w:p>
      <w:pPr>
        <w:ind w:firstLine="660" w:firstLineChars="200"/>
        <w:outlineLvl w:val="1"/>
        <w:rPr>
          <w:rFonts w:ascii="仿宋" w:hAnsi="仿宋" w:eastAsia="仿宋"/>
          <w:spacing w:val="5"/>
          <w:kern w:val="0"/>
          <w:sz w:val="32"/>
          <w:szCs w:val="32"/>
        </w:rPr>
      </w:pPr>
      <w:r>
        <w:rPr>
          <w:rFonts w:hint="eastAsia" w:ascii="仿宋" w:hAnsi="仿宋" w:eastAsia="仿宋"/>
          <w:spacing w:val="5"/>
          <w:kern w:val="0"/>
          <w:sz w:val="32"/>
          <w:szCs w:val="32"/>
        </w:rPr>
        <w:t>根据《始兴县县级全面实施预算绩效管理工作方案》（始财［2019］67号）、《始兴县财政支出项目资金绩效评价办法（试行）（始府办［2011］24号）的有关要求，</w:t>
      </w:r>
      <w:r>
        <w:rPr>
          <w:rFonts w:hint="eastAsia" w:ascii="仿宋" w:hAnsi="仿宋" w:eastAsia="仿宋"/>
          <w:spacing w:val="5"/>
          <w:sz w:val="32"/>
          <w:szCs w:val="32"/>
        </w:rPr>
        <w:t>通过对项目主管部门、资金使用单位提供的相关材料进行书面评价，总体看来，</w:t>
      </w:r>
      <w:r>
        <w:rPr>
          <w:rFonts w:hint="eastAsia" w:ascii="仿宋" w:hAnsi="仿宋" w:eastAsia="仿宋"/>
          <w:spacing w:val="5"/>
          <w:kern w:val="0"/>
          <w:sz w:val="32"/>
          <w:szCs w:val="32"/>
        </w:rPr>
        <w:t>项目主管单位进行的增效改造项目，提高了电站的经济效益，为电站的安全生产增加了保障。但在目标设置、资金分配、监督管理、预计效益方面存在一定的问题。本项目自评得分为91分，评审得分为90分，等级为“优”。</w:t>
      </w:r>
    </w:p>
    <w:p>
      <w:pPr>
        <w:ind w:firstLine="660" w:firstLineChars="200"/>
        <w:outlineLvl w:val="1"/>
        <w:rPr>
          <w:rFonts w:ascii="仿宋" w:hAnsi="仿宋" w:eastAsia="仿宋"/>
          <w:spacing w:val="5"/>
          <w:kern w:val="0"/>
          <w:sz w:val="32"/>
          <w:szCs w:val="32"/>
        </w:rPr>
      </w:pPr>
      <w:r>
        <w:rPr>
          <w:rFonts w:hint="eastAsia" w:ascii="仿宋" w:hAnsi="仿宋" w:eastAsia="仿宋"/>
          <w:spacing w:val="5"/>
          <w:kern w:val="0"/>
          <w:sz w:val="32"/>
          <w:szCs w:val="32"/>
        </w:rPr>
        <w:t>（二）各项目评价指标分析</w:t>
      </w:r>
    </w:p>
    <w:p>
      <w:pPr>
        <w:ind w:firstLine="660" w:firstLineChars="200"/>
        <w:outlineLvl w:val="1"/>
        <w:rPr>
          <w:rFonts w:ascii="仿宋" w:hAnsi="仿宋" w:eastAsia="仿宋"/>
          <w:spacing w:val="5"/>
          <w:kern w:val="0"/>
          <w:sz w:val="32"/>
          <w:szCs w:val="32"/>
        </w:rPr>
      </w:pPr>
      <w:r>
        <w:rPr>
          <w:rFonts w:hint="eastAsia" w:ascii="仿宋" w:hAnsi="仿宋" w:eastAsia="仿宋"/>
          <w:spacing w:val="5"/>
          <w:kern w:val="0"/>
          <w:sz w:val="32"/>
          <w:szCs w:val="32"/>
        </w:rPr>
        <w:t>1、投入合理性分析</w:t>
      </w:r>
    </w:p>
    <w:p>
      <w:pPr>
        <w:ind w:firstLine="660" w:firstLineChars="200"/>
        <w:outlineLvl w:val="1"/>
        <w:rPr>
          <w:rFonts w:ascii="仿宋" w:hAnsi="仿宋" w:eastAsia="仿宋"/>
          <w:spacing w:val="5"/>
          <w:kern w:val="0"/>
          <w:sz w:val="32"/>
          <w:szCs w:val="32"/>
        </w:rPr>
      </w:pPr>
      <w:r>
        <w:rPr>
          <w:rFonts w:hint="eastAsia" w:ascii="仿宋" w:hAnsi="仿宋" w:eastAsia="仿宋"/>
          <w:spacing w:val="5"/>
          <w:kern w:val="0"/>
          <w:sz w:val="32"/>
          <w:szCs w:val="32"/>
        </w:rPr>
        <w:t>该指标分值20分，评审得分18分，得分率为100%。从评价指标得分情况看，论证决策、保障措施、资金落实及分配等方面完成都较好。论证决策过程完备、资金到位及时、分配合理，但目标设置上不够完整。</w:t>
      </w:r>
      <w:r>
        <w:rPr>
          <w:rFonts w:ascii="仿宋" w:hAnsi="仿宋" w:eastAsia="仿宋"/>
          <w:spacing w:val="5"/>
          <w:kern w:val="0"/>
          <w:sz w:val="32"/>
          <w:szCs w:val="32"/>
        </w:rPr>
        <w:t xml:space="preserve"> </w:t>
      </w:r>
    </w:p>
    <w:p>
      <w:pPr>
        <w:ind w:firstLine="660" w:firstLineChars="200"/>
        <w:outlineLvl w:val="1"/>
        <w:rPr>
          <w:rFonts w:ascii="仿宋" w:hAnsi="仿宋" w:eastAsia="仿宋"/>
          <w:spacing w:val="5"/>
          <w:kern w:val="0"/>
          <w:sz w:val="32"/>
          <w:szCs w:val="32"/>
        </w:rPr>
      </w:pPr>
      <w:r>
        <w:rPr>
          <w:rFonts w:hint="eastAsia" w:ascii="仿宋" w:hAnsi="仿宋" w:eastAsia="仿宋"/>
          <w:spacing w:val="5"/>
          <w:kern w:val="0"/>
          <w:sz w:val="32"/>
          <w:szCs w:val="32"/>
        </w:rPr>
        <w:t>2、过程分析</w:t>
      </w:r>
    </w:p>
    <w:p>
      <w:pPr>
        <w:ind w:firstLine="660" w:firstLineChars="200"/>
        <w:outlineLvl w:val="1"/>
        <w:rPr>
          <w:rFonts w:ascii="仿宋" w:hAnsi="仿宋" w:eastAsia="仿宋"/>
          <w:spacing w:val="5"/>
          <w:kern w:val="0"/>
          <w:sz w:val="32"/>
          <w:szCs w:val="32"/>
        </w:rPr>
      </w:pPr>
      <w:r>
        <w:rPr>
          <w:rFonts w:hint="eastAsia" w:ascii="仿宋" w:hAnsi="仿宋" w:eastAsia="仿宋"/>
          <w:spacing w:val="5"/>
          <w:kern w:val="0"/>
          <w:sz w:val="32"/>
          <w:szCs w:val="32"/>
        </w:rPr>
        <w:t>该指标分值20分，评审得分18分，得分率为90%。从评价指标得分情况看，该项目在资金支付、程序规范性方面都做的较好，在支出规范性、监管有效性方面存在不足。具体而言，此次支付尾款工程质保金，未见相关领导审核可支付质保金的会议资料等；监管有效性方面未对资金使用单位进行必要的资金监管。</w:t>
      </w:r>
    </w:p>
    <w:p>
      <w:pPr>
        <w:ind w:firstLine="660" w:firstLineChars="200"/>
        <w:outlineLvl w:val="1"/>
        <w:rPr>
          <w:rFonts w:ascii="仿宋" w:hAnsi="仿宋" w:eastAsia="仿宋"/>
          <w:spacing w:val="5"/>
          <w:kern w:val="0"/>
          <w:sz w:val="32"/>
          <w:szCs w:val="32"/>
        </w:rPr>
      </w:pPr>
      <w:r>
        <w:rPr>
          <w:rFonts w:hint="eastAsia" w:ascii="仿宋" w:hAnsi="仿宋" w:eastAsia="仿宋"/>
          <w:spacing w:val="5"/>
          <w:kern w:val="0"/>
          <w:sz w:val="32"/>
          <w:szCs w:val="32"/>
        </w:rPr>
        <w:t>3、产出分析</w:t>
      </w:r>
    </w:p>
    <w:p>
      <w:pPr>
        <w:ind w:firstLine="660" w:firstLineChars="200"/>
        <w:outlineLvl w:val="1"/>
        <w:rPr>
          <w:rFonts w:ascii="仿宋" w:hAnsi="仿宋" w:eastAsia="仿宋"/>
          <w:spacing w:val="5"/>
          <w:kern w:val="0"/>
          <w:sz w:val="32"/>
          <w:szCs w:val="32"/>
        </w:rPr>
      </w:pPr>
      <w:r>
        <w:rPr>
          <w:rFonts w:hint="eastAsia" w:ascii="仿宋" w:hAnsi="仿宋" w:eastAsia="仿宋"/>
          <w:spacing w:val="5"/>
          <w:kern w:val="0"/>
          <w:sz w:val="32"/>
          <w:szCs w:val="32"/>
        </w:rPr>
        <w:t>该指标分值30分，评审得分29分，得分率为96.67%。产出得分未取得满分的原因为项目完成进度方面有所拖延，项目进度不达标，未能在2015年底完成竣工验收。在预算控制方面实际支出未超过预算计划，成本控制合理。</w:t>
      </w:r>
    </w:p>
    <w:p>
      <w:pPr>
        <w:ind w:firstLine="660" w:firstLineChars="200"/>
        <w:outlineLvl w:val="1"/>
        <w:rPr>
          <w:rFonts w:ascii="仿宋" w:hAnsi="仿宋" w:eastAsia="仿宋"/>
          <w:spacing w:val="5"/>
          <w:kern w:val="0"/>
          <w:sz w:val="32"/>
          <w:szCs w:val="32"/>
        </w:rPr>
      </w:pPr>
      <w:r>
        <w:rPr>
          <w:rFonts w:hint="eastAsia" w:ascii="仿宋" w:hAnsi="仿宋" w:eastAsia="仿宋"/>
          <w:spacing w:val="5"/>
          <w:kern w:val="0"/>
          <w:sz w:val="32"/>
          <w:szCs w:val="32"/>
        </w:rPr>
        <w:t>4、效益分析</w:t>
      </w:r>
    </w:p>
    <w:p>
      <w:pPr>
        <w:ind w:firstLine="660" w:firstLineChars="200"/>
        <w:outlineLvl w:val="1"/>
        <w:rPr>
          <w:rFonts w:ascii="仿宋" w:hAnsi="仿宋" w:eastAsia="仿宋"/>
          <w:spacing w:val="5"/>
          <w:kern w:val="0"/>
          <w:sz w:val="32"/>
          <w:szCs w:val="32"/>
        </w:rPr>
      </w:pPr>
      <w:r>
        <w:rPr>
          <w:rFonts w:hint="eastAsia" w:ascii="仿宋" w:hAnsi="仿宋" w:eastAsia="仿宋"/>
          <w:spacing w:val="5"/>
          <w:kern w:val="0"/>
          <w:sz w:val="32"/>
          <w:szCs w:val="32"/>
        </w:rPr>
        <w:t>该指标分值30分，评审得分25分，得分率为83.33%。产出效益情况较好，社会效益、可持续发展、满意度表现都较好，但在经济效益、生态效益方面有不足之处。 经济方面没有达到最大化的产出效果，生态方面水库蓄水在一定程度上影响了水上生物的自然生长。</w:t>
      </w:r>
      <w:r>
        <w:rPr>
          <w:rFonts w:ascii="仿宋" w:hAnsi="仿宋" w:eastAsia="仿宋"/>
          <w:spacing w:val="5"/>
          <w:kern w:val="0"/>
          <w:sz w:val="32"/>
          <w:szCs w:val="32"/>
        </w:rPr>
        <w:t xml:space="preserve"> </w:t>
      </w:r>
    </w:p>
    <w:p>
      <w:pPr>
        <w:ind w:firstLine="660" w:firstLineChars="200"/>
        <w:outlineLvl w:val="1"/>
        <w:rPr>
          <w:rFonts w:ascii="仿宋" w:hAnsi="仿宋" w:eastAsia="仿宋"/>
          <w:spacing w:val="5"/>
          <w:kern w:val="0"/>
          <w:sz w:val="32"/>
          <w:szCs w:val="32"/>
        </w:rPr>
      </w:pPr>
      <w:r>
        <w:rPr>
          <w:rFonts w:hint="eastAsia" w:ascii="仿宋" w:hAnsi="仿宋" w:eastAsia="仿宋"/>
          <w:spacing w:val="5"/>
          <w:kern w:val="0"/>
          <w:sz w:val="32"/>
          <w:szCs w:val="32"/>
        </w:rPr>
        <w:t>5、绩效综合分析</w:t>
      </w:r>
    </w:p>
    <w:p>
      <w:pPr>
        <w:ind w:firstLine="660" w:firstLineChars="200"/>
        <w:outlineLvl w:val="1"/>
        <w:rPr>
          <w:rFonts w:ascii="仿宋" w:hAnsi="仿宋" w:eastAsia="仿宋"/>
          <w:spacing w:val="5"/>
          <w:kern w:val="0"/>
          <w:sz w:val="32"/>
          <w:szCs w:val="32"/>
        </w:rPr>
      </w:pPr>
      <w:r>
        <w:rPr>
          <w:rFonts w:hint="eastAsia" w:ascii="仿宋" w:hAnsi="仿宋" w:eastAsia="仿宋"/>
          <w:spacing w:val="5"/>
          <w:kern w:val="0"/>
          <w:sz w:val="32"/>
          <w:szCs w:val="32"/>
        </w:rPr>
        <w:t>结合投入、过程、产出、效益四方面综合对项目资金使用进行比较分析，总体上各个方面的表现都相对较好，本项目的总投资金额为6,153,131.86元，截止2020年8月26日，由始兴县财政局直接拨付至各相关单位工程质保金合计金额384,604.02元。真正意义上实现了本次改造工程项目的完成。</w:t>
      </w:r>
    </w:p>
    <w:p>
      <w:pPr>
        <w:ind w:firstLine="660" w:firstLineChars="200"/>
        <w:outlineLvl w:val="1"/>
        <w:rPr>
          <w:rFonts w:ascii="仿宋" w:hAnsi="仿宋" w:eastAsia="仿宋"/>
          <w:spacing w:val="5"/>
          <w:kern w:val="0"/>
          <w:sz w:val="32"/>
          <w:szCs w:val="32"/>
        </w:rPr>
      </w:pPr>
    </w:p>
    <w:p>
      <w:pPr>
        <w:ind w:firstLine="663" w:firstLineChars="200"/>
        <w:outlineLvl w:val="1"/>
        <w:rPr>
          <w:rFonts w:ascii="仿宋" w:hAnsi="仿宋" w:eastAsia="仿宋"/>
          <w:b/>
          <w:spacing w:val="5"/>
          <w:kern w:val="0"/>
          <w:sz w:val="32"/>
          <w:szCs w:val="32"/>
        </w:rPr>
      </w:pPr>
      <w:r>
        <w:rPr>
          <w:rFonts w:hint="eastAsia" w:ascii="仿宋" w:hAnsi="仿宋" w:eastAsia="仿宋"/>
          <w:b/>
          <w:spacing w:val="5"/>
          <w:kern w:val="0"/>
          <w:sz w:val="32"/>
          <w:szCs w:val="32"/>
        </w:rPr>
        <w:t>四、主要绩效</w:t>
      </w:r>
    </w:p>
    <w:p>
      <w:pPr>
        <w:ind w:firstLine="660" w:firstLineChars="200"/>
        <w:outlineLvl w:val="1"/>
        <w:rPr>
          <w:rFonts w:ascii="仿宋" w:hAnsi="仿宋" w:eastAsia="仿宋"/>
          <w:spacing w:val="5"/>
          <w:kern w:val="0"/>
          <w:sz w:val="32"/>
          <w:szCs w:val="32"/>
        </w:rPr>
      </w:pPr>
      <w:r>
        <w:rPr>
          <w:rFonts w:hint="eastAsia" w:ascii="仿宋" w:hAnsi="仿宋" w:eastAsia="仿宋"/>
          <w:spacing w:val="5"/>
          <w:kern w:val="0"/>
          <w:sz w:val="32"/>
          <w:szCs w:val="32"/>
        </w:rPr>
        <w:t>始兴县大源水电站发供电设备设施残旧,通过增效扩容改造后,对电站水轮机,发电机等设备进行更换，压力管道更新、厂房的新建及维修。保障了生产安全，提高了经济效益。为周边农作物生长提供了充足的水资源，提高了周边农户的经济收入，带动了经济发展。</w:t>
      </w:r>
    </w:p>
    <w:p>
      <w:pPr>
        <w:ind w:firstLine="663" w:firstLineChars="200"/>
        <w:outlineLvl w:val="1"/>
        <w:rPr>
          <w:rFonts w:ascii="仿宋" w:hAnsi="仿宋" w:eastAsia="仿宋"/>
          <w:b/>
          <w:spacing w:val="5"/>
          <w:kern w:val="0"/>
          <w:sz w:val="32"/>
          <w:szCs w:val="32"/>
        </w:rPr>
      </w:pPr>
      <w:r>
        <w:rPr>
          <w:rFonts w:hint="eastAsia" w:ascii="仿宋" w:hAnsi="仿宋" w:eastAsia="仿宋"/>
          <w:b/>
          <w:spacing w:val="5"/>
          <w:kern w:val="0"/>
          <w:sz w:val="32"/>
          <w:szCs w:val="32"/>
        </w:rPr>
        <w:t>五、主要问题</w:t>
      </w:r>
    </w:p>
    <w:p>
      <w:pPr>
        <w:ind w:firstLine="660" w:firstLineChars="200"/>
        <w:outlineLvl w:val="1"/>
        <w:rPr>
          <w:rFonts w:ascii="仿宋" w:hAnsi="仿宋" w:eastAsia="仿宋"/>
          <w:spacing w:val="5"/>
          <w:kern w:val="0"/>
          <w:sz w:val="32"/>
          <w:szCs w:val="32"/>
        </w:rPr>
      </w:pPr>
      <w:r>
        <w:rPr>
          <w:rFonts w:hint="eastAsia" w:ascii="仿宋" w:hAnsi="仿宋" w:eastAsia="仿宋"/>
          <w:spacing w:val="5"/>
          <w:kern w:val="0"/>
          <w:sz w:val="32"/>
          <w:szCs w:val="32"/>
        </w:rPr>
        <w:t>1、目标设置不够科学完善，多次进行工程设计修编，在整体上影响了项目完成进度。</w:t>
      </w:r>
    </w:p>
    <w:p>
      <w:pPr>
        <w:ind w:firstLine="660" w:firstLineChars="200"/>
        <w:outlineLvl w:val="1"/>
        <w:rPr>
          <w:rFonts w:ascii="仿宋" w:hAnsi="仿宋" w:eastAsia="仿宋"/>
          <w:spacing w:val="5"/>
          <w:kern w:val="0"/>
          <w:sz w:val="32"/>
          <w:szCs w:val="32"/>
        </w:rPr>
      </w:pPr>
      <w:r>
        <w:rPr>
          <w:rFonts w:hint="eastAsia" w:ascii="仿宋" w:hAnsi="仿宋" w:eastAsia="仿宋"/>
          <w:spacing w:val="5"/>
          <w:kern w:val="0"/>
          <w:sz w:val="32"/>
          <w:szCs w:val="32"/>
        </w:rPr>
        <w:t>2、工程质保金支付手续不够规范，未见承包单位提出返还申请书。</w:t>
      </w:r>
    </w:p>
    <w:p>
      <w:pPr>
        <w:ind w:firstLine="663" w:firstLineChars="200"/>
        <w:outlineLvl w:val="1"/>
        <w:rPr>
          <w:rFonts w:ascii="仿宋" w:hAnsi="仿宋" w:eastAsia="仿宋"/>
          <w:b/>
          <w:spacing w:val="5"/>
          <w:kern w:val="0"/>
          <w:sz w:val="32"/>
          <w:szCs w:val="32"/>
        </w:rPr>
      </w:pPr>
      <w:r>
        <w:rPr>
          <w:rFonts w:hint="eastAsia" w:ascii="仿宋" w:hAnsi="仿宋" w:eastAsia="仿宋"/>
          <w:b/>
          <w:spacing w:val="5"/>
          <w:kern w:val="0"/>
          <w:sz w:val="32"/>
          <w:szCs w:val="32"/>
        </w:rPr>
        <w:t>六、主要建议</w:t>
      </w:r>
    </w:p>
    <w:p>
      <w:pPr>
        <w:ind w:firstLine="660" w:firstLineChars="200"/>
        <w:outlineLvl w:val="1"/>
        <w:rPr>
          <w:rFonts w:ascii="仿宋" w:hAnsi="仿宋" w:eastAsia="仿宋"/>
          <w:spacing w:val="5"/>
          <w:kern w:val="0"/>
          <w:sz w:val="32"/>
          <w:szCs w:val="32"/>
        </w:rPr>
      </w:pPr>
      <w:r>
        <w:rPr>
          <w:rFonts w:hint="eastAsia" w:ascii="仿宋" w:hAnsi="仿宋" w:eastAsia="仿宋"/>
          <w:spacing w:val="5"/>
          <w:kern w:val="0"/>
          <w:sz w:val="32"/>
          <w:szCs w:val="32"/>
        </w:rPr>
        <w:t>1、建议项目主管部门根据实际情况科学设置目标，设计完善可行的项目实施方案，并严格按照方案计划实施，推进项目按时保质保量的完成。</w:t>
      </w:r>
    </w:p>
    <w:p>
      <w:pPr>
        <w:ind w:firstLine="660" w:firstLineChars="200"/>
        <w:outlineLvl w:val="1"/>
        <w:rPr>
          <w:rFonts w:ascii="仿宋" w:hAnsi="仿宋" w:eastAsia="仿宋"/>
          <w:spacing w:val="5"/>
          <w:kern w:val="0"/>
          <w:sz w:val="32"/>
          <w:szCs w:val="32"/>
        </w:rPr>
      </w:pPr>
      <w:r>
        <w:rPr>
          <w:rFonts w:hint="eastAsia" w:ascii="仿宋" w:hAnsi="仿宋" w:eastAsia="仿宋"/>
          <w:spacing w:val="5"/>
          <w:kern w:val="0"/>
          <w:sz w:val="32"/>
          <w:szCs w:val="32"/>
        </w:rPr>
        <w:t>2、加强预算管理，严格落实各项财务法规制度，实行专项资金专款专用，完善资金使用计划。加强对资金的使用情况的跟踪和了解，督促资金使用部门实现既定的绩效目标。并定期进行实地检查考核，严格按照预算计划规范支出专项经费。</w:t>
      </w:r>
    </w:p>
    <w:p>
      <w:pPr>
        <w:ind w:firstLine="660" w:firstLineChars="200"/>
        <w:outlineLvl w:val="1"/>
        <w:rPr>
          <w:rFonts w:ascii="仿宋" w:hAnsi="仿宋" w:eastAsia="仿宋"/>
          <w:spacing w:val="5"/>
          <w:kern w:val="0"/>
          <w:sz w:val="32"/>
          <w:szCs w:val="32"/>
        </w:rPr>
      </w:pPr>
      <w:r>
        <w:rPr>
          <w:rFonts w:hint="eastAsia" w:ascii="仿宋" w:hAnsi="仿宋" w:eastAsia="仿宋"/>
          <w:spacing w:val="5"/>
          <w:kern w:val="0"/>
          <w:sz w:val="32"/>
          <w:szCs w:val="32"/>
        </w:rPr>
        <w:t>3、建议财政部门要充分发挥职能作用，加强对资金使用的管理和监督，确保资金安全，并产生最大使用效益。</w:t>
      </w:r>
    </w:p>
    <w:p>
      <w:pPr>
        <w:ind w:firstLine="663" w:firstLineChars="200"/>
        <w:outlineLvl w:val="1"/>
        <w:rPr>
          <w:rFonts w:ascii="仿宋" w:hAnsi="仿宋" w:eastAsia="仿宋"/>
          <w:b/>
          <w:spacing w:val="5"/>
          <w:kern w:val="0"/>
          <w:sz w:val="32"/>
          <w:szCs w:val="32"/>
        </w:rPr>
      </w:pPr>
      <w:r>
        <w:rPr>
          <w:rFonts w:hint="eastAsia" w:ascii="仿宋" w:hAnsi="仿宋" w:eastAsia="仿宋"/>
          <w:b/>
          <w:spacing w:val="5"/>
          <w:kern w:val="0"/>
          <w:sz w:val="32"/>
          <w:szCs w:val="32"/>
        </w:rPr>
        <w:t>七、其他需要说明的问题</w:t>
      </w:r>
    </w:p>
    <w:p>
      <w:pPr>
        <w:ind w:firstLine="660" w:firstLineChars="200"/>
        <w:outlineLvl w:val="1"/>
        <w:rPr>
          <w:rFonts w:ascii="仿宋" w:hAnsi="仿宋" w:eastAsia="仿宋"/>
          <w:spacing w:val="5"/>
          <w:kern w:val="0"/>
          <w:sz w:val="32"/>
          <w:szCs w:val="32"/>
        </w:rPr>
      </w:pPr>
      <w:r>
        <w:rPr>
          <w:rFonts w:hint="eastAsia" w:ascii="仿宋" w:hAnsi="仿宋" w:eastAsia="仿宋"/>
          <w:spacing w:val="5"/>
          <w:kern w:val="0"/>
          <w:sz w:val="32"/>
          <w:szCs w:val="32"/>
        </w:rPr>
        <w:t>（一）有关评价责任的说明</w:t>
      </w:r>
    </w:p>
    <w:p>
      <w:pPr>
        <w:ind w:firstLine="660" w:firstLineChars="200"/>
        <w:outlineLvl w:val="1"/>
        <w:rPr>
          <w:rFonts w:ascii="仿宋" w:hAnsi="仿宋" w:eastAsia="仿宋"/>
          <w:spacing w:val="5"/>
          <w:kern w:val="0"/>
          <w:sz w:val="32"/>
          <w:szCs w:val="32"/>
        </w:rPr>
      </w:pPr>
      <w:r>
        <w:rPr>
          <w:rFonts w:hint="eastAsia" w:ascii="仿宋" w:hAnsi="仿宋" w:eastAsia="仿宋"/>
          <w:spacing w:val="5"/>
          <w:kern w:val="0"/>
          <w:sz w:val="32"/>
          <w:szCs w:val="32"/>
        </w:rPr>
        <w:t>始兴县大源水电站的责任是:提供与本次绩效评价相关的资料和数据，并对其真实性、准确性、完整性负责；</w:t>
      </w:r>
    </w:p>
    <w:p>
      <w:pPr>
        <w:ind w:firstLine="660" w:firstLineChars="200"/>
        <w:outlineLvl w:val="1"/>
        <w:rPr>
          <w:rFonts w:ascii="仿宋" w:hAnsi="仿宋" w:eastAsia="仿宋"/>
          <w:spacing w:val="5"/>
          <w:kern w:val="0"/>
          <w:sz w:val="32"/>
          <w:szCs w:val="32"/>
        </w:rPr>
      </w:pPr>
      <w:r>
        <w:rPr>
          <w:rFonts w:hint="eastAsia" w:ascii="仿宋" w:hAnsi="仿宋" w:eastAsia="仿宋"/>
          <w:spacing w:val="5"/>
          <w:kern w:val="0"/>
          <w:sz w:val="32"/>
          <w:szCs w:val="32"/>
        </w:rPr>
        <w:t xml:space="preserve">中一事务所的责任是：在绩效评价工作中遵循绩效评价基本原则，采用科学的评价方法，实施合理的评价程序，保证评价结论的客观、公正。 </w:t>
      </w:r>
    </w:p>
    <w:p>
      <w:pPr>
        <w:ind w:firstLine="660" w:firstLineChars="200"/>
        <w:outlineLvl w:val="1"/>
        <w:rPr>
          <w:rFonts w:ascii="仿宋" w:hAnsi="仿宋" w:eastAsia="仿宋"/>
          <w:spacing w:val="5"/>
          <w:kern w:val="0"/>
          <w:sz w:val="32"/>
          <w:szCs w:val="32"/>
        </w:rPr>
      </w:pPr>
      <w:r>
        <w:rPr>
          <w:rFonts w:hint="eastAsia" w:ascii="仿宋" w:hAnsi="仿宋" w:eastAsia="仿宋"/>
          <w:spacing w:val="5"/>
          <w:kern w:val="0"/>
          <w:sz w:val="32"/>
          <w:szCs w:val="32"/>
        </w:rPr>
        <w:t>（二）本次绩效评价的局限性</w:t>
      </w:r>
    </w:p>
    <w:p>
      <w:pPr>
        <w:ind w:firstLine="660" w:firstLineChars="200"/>
        <w:outlineLvl w:val="1"/>
        <w:rPr>
          <w:rFonts w:ascii="仿宋" w:hAnsi="仿宋" w:eastAsia="仿宋"/>
          <w:spacing w:val="5"/>
          <w:kern w:val="0"/>
          <w:sz w:val="32"/>
          <w:szCs w:val="32"/>
        </w:rPr>
      </w:pPr>
      <w:r>
        <w:rPr>
          <w:rFonts w:hint="eastAsia" w:ascii="仿宋" w:hAnsi="仿宋" w:eastAsia="仿宋"/>
          <w:spacing w:val="5"/>
          <w:kern w:val="0"/>
          <w:sz w:val="32"/>
          <w:szCs w:val="32"/>
        </w:rPr>
        <w:t>1、由于时间关系，中一事务所采取抽样的方式核查，样本点绩效优劣直接关系到整体绩效综合评分。</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spacing w:val="5"/>
          <w:sz w:val="32"/>
          <w:szCs w:val="32"/>
        </w:rPr>
        <w:t>2、中一事务所的评价依据是被评价单位提供的资料和基础数据，其真实性、完整性、准确性受到资料提供方制约。</w:t>
      </w:r>
    </w:p>
    <w:sectPr>
      <w:footerReference r:id="rId4"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0932502"/>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E6"/>
    <w:rsid w:val="0000387B"/>
    <w:rsid w:val="00005353"/>
    <w:rsid w:val="0000781C"/>
    <w:rsid w:val="00010507"/>
    <w:rsid w:val="00010630"/>
    <w:rsid w:val="0001133C"/>
    <w:rsid w:val="00011B40"/>
    <w:rsid w:val="0001258F"/>
    <w:rsid w:val="00014494"/>
    <w:rsid w:val="00014EF1"/>
    <w:rsid w:val="00017401"/>
    <w:rsid w:val="0002052C"/>
    <w:rsid w:val="00021000"/>
    <w:rsid w:val="0002171E"/>
    <w:rsid w:val="00021C2A"/>
    <w:rsid w:val="00022CDA"/>
    <w:rsid w:val="00025E3A"/>
    <w:rsid w:val="000302C9"/>
    <w:rsid w:val="00034909"/>
    <w:rsid w:val="00037DC8"/>
    <w:rsid w:val="00044026"/>
    <w:rsid w:val="00044B0E"/>
    <w:rsid w:val="00045F38"/>
    <w:rsid w:val="00047AF3"/>
    <w:rsid w:val="000529AD"/>
    <w:rsid w:val="00057542"/>
    <w:rsid w:val="00064D42"/>
    <w:rsid w:val="00065D74"/>
    <w:rsid w:val="000708E7"/>
    <w:rsid w:val="000762DA"/>
    <w:rsid w:val="00083042"/>
    <w:rsid w:val="00086C72"/>
    <w:rsid w:val="00092A33"/>
    <w:rsid w:val="00094030"/>
    <w:rsid w:val="00094F9A"/>
    <w:rsid w:val="00095BEA"/>
    <w:rsid w:val="00095C8F"/>
    <w:rsid w:val="0009617C"/>
    <w:rsid w:val="000A376F"/>
    <w:rsid w:val="000A4655"/>
    <w:rsid w:val="000A4E82"/>
    <w:rsid w:val="000A6CC6"/>
    <w:rsid w:val="000A72EA"/>
    <w:rsid w:val="000B2779"/>
    <w:rsid w:val="000B539B"/>
    <w:rsid w:val="000B7A5F"/>
    <w:rsid w:val="000C13A8"/>
    <w:rsid w:val="000C3E58"/>
    <w:rsid w:val="000C57CF"/>
    <w:rsid w:val="000D184D"/>
    <w:rsid w:val="000E08A9"/>
    <w:rsid w:val="000E0D3A"/>
    <w:rsid w:val="000E24CD"/>
    <w:rsid w:val="000E2807"/>
    <w:rsid w:val="000E2ECB"/>
    <w:rsid w:val="000E4F3D"/>
    <w:rsid w:val="000E7025"/>
    <w:rsid w:val="000F009B"/>
    <w:rsid w:val="000F04C5"/>
    <w:rsid w:val="000F1636"/>
    <w:rsid w:val="000F1EB1"/>
    <w:rsid w:val="000F2809"/>
    <w:rsid w:val="000F2E0F"/>
    <w:rsid w:val="000F3F47"/>
    <w:rsid w:val="000F7408"/>
    <w:rsid w:val="001007D2"/>
    <w:rsid w:val="00102A8C"/>
    <w:rsid w:val="0010314D"/>
    <w:rsid w:val="00107391"/>
    <w:rsid w:val="00107D25"/>
    <w:rsid w:val="00113928"/>
    <w:rsid w:val="00123A15"/>
    <w:rsid w:val="00126087"/>
    <w:rsid w:val="0013365E"/>
    <w:rsid w:val="00133CD8"/>
    <w:rsid w:val="001379AD"/>
    <w:rsid w:val="00142496"/>
    <w:rsid w:val="001430F1"/>
    <w:rsid w:val="00150BFE"/>
    <w:rsid w:val="00152AD5"/>
    <w:rsid w:val="0015302C"/>
    <w:rsid w:val="00155A5F"/>
    <w:rsid w:val="001648A1"/>
    <w:rsid w:val="00165FFA"/>
    <w:rsid w:val="00166890"/>
    <w:rsid w:val="00167451"/>
    <w:rsid w:val="00177831"/>
    <w:rsid w:val="00185F06"/>
    <w:rsid w:val="00186DA8"/>
    <w:rsid w:val="00195E8A"/>
    <w:rsid w:val="001A1777"/>
    <w:rsid w:val="001A28D7"/>
    <w:rsid w:val="001A386A"/>
    <w:rsid w:val="001A4CCB"/>
    <w:rsid w:val="001A694E"/>
    <w:rsid w:val="001B1C10"/>
    <w:rsid w:val="001B3E21"/>
    <w:rsid w:val="001B439A"/>
    <w:rsid w:val="001B5B13"/>
    <w:rsid w:val="001B5B75"/>
    <w:rsid w:val="001B66CB"/>
    <w:rsid w:val="001C0AB3"/>
    <w:rsid w:val="001D16D9"/>
    <w:rsid w:val="001D2ECD"/>
    <w:rsid w:val="001D3955"/>
    <w:rsid w:val="001D4983"/>
    <w:rsid w:val="001D69B8"/>
    <w:rsid w:val="001D708B"/>
    <w:rsid w:val="001E329D"/>
    <w:rsid w:val="001E5FFE"/>
    <w:rsid w:val="001E63F5"/>
    <w:rsid w:val="001F0812"/>
    <w:rsid w:val="001F0C9E"/>
    <w:rsid w:val="001F1560"/>
    <w:rsid w:val="001F17E6"/>
    <w:rsid w:val="001F19A4"/>
    <w:rsid w:val="001F6653"/>
    <w:rsid w:val="001F712B"/>
    <w:rsid w:val="002002F5"/>
    <w:rsid w:val="0020137A"/>
    <w:rsid w:val="002018F3"/>
    <w:rsid w:val="00202D7C"/>
    <w:rsid w:val="0020602B"/>
    <w:rsid w:val="00207C03"/>
    <w:rsid w:val="002104BB"/>
    <w:rsid w:val="00212B9E"/>
    <w:rsid w:val="0021349C"/>
    <w:rsid w:val="00217294"/>
    <w:rsid w:val="0021759C"/>
    <w:rsid w:val="00220D1A"/>
    <w:rsid w:val="0022393F"/>
    <w:rsid w:val="00223D32"/>
    <w:rsid w:val="002261E5"/>
    <w:rsid w:val="00232BBA"/>
    <w:rsid w:val="0023314D"/>
    <w:rsid w:val="00235D52"/>
    <w:rsid w:val="00236AD7"/>
    <w:rsid w:val="00236E4A"/>
    <w:rsid w:val="00237B1C"/>
    <w:rsid w:val="002435A0"/>
    <w:rsid w:val="00250DA0"/>
    <w:rsid w:val="002533F1"/>
    <w:rsid w:val="00254691"/>
    <w:rsid w:val="00254706"/>
    <w:rsid w:val="0026165E"/>
    <w:rsid w:val="00262B7D"/>
    <w:rsid w:val="0026695B"/>
    <w:rsid w:val="002707E8"/>
    <w:rsid w:val="0027148F"/>
    <w:rsid w:val="00271D39"/>
    <w:rsid w:val="00273B05"/>
    <w:rsid w:val="0028305E"/>
    <w:rsid w:val="00283485"/>
    <w:rsid w:val="00285A7D"/>
    <w:rsid w:val="0029025E"/>
    <w:rsid w:val="00291C89"/>
    <w:rsid w:val="00291D74"/>
    <w:rsid w:val="0029278A"/>
    <w:rsid w:val="00292899"/>
    <w:rsid w:val="002930CE"/>
    <w:rsid w:val="002941F8"/>
    <w:rsid w:val="002951A9"/>
    <w:rsid w:val="0029650D"/>
    <w:rsid w:val="00296C3C"/>
    <w:rsid w:val="00297C96"/>
    <w:rsid w:val="002A27DE"/>
    <w:rsid w:val="002A2920"/>
    <w:rsid w:val="002A7054"/>
    <w:rsid w:val="002A754F"/>
    <w:rsid w:val="002A7D99"/>
    <w:rsid w:val="002A7FFA"/>
    <w:rsid w:val="002B02A6"/>
    <w:rsid w:val="002B234B"/>
    <w:rsid w:val="002B6E63"/>
    <w:rsid w:val="002C1C9F"/>
    <w:rsid w:val="002C3F05"/>
    <w:rsid w:val="002C4F1B"/>
    <w:rsid w:val="002C4F97"/>
    <w:rsid w:val="002D55FE"/>
    <w:rsid w:val="002D6261"/>
    <w:rsid w:val="002D6C56"/>
    <w:rsid w:val="002E01E5"/>
    <w:rsid w:val="002E1390"/>
    <w:rsid w:val="002E2C5D"/>
    <w:rsid w:val="002E6B20"/>
    <w:rsid w:val="002E6F89"/>
    <w:rsid w:val="002E71E3"/>
    <w:rsid w:val="002F1788"/>
    <w:rsid w:val="002F2E19"/>
    <w:rsid w:val="002F37D4"/>
    <w:rsid w:val="002F738F"/>
    <w:rsid w:val="003009E3"/>
    <w:rsid w:val="00300AF3"/>
    <w:rsid w:val="003060F3"/>
    <w:rsid w:val="00307C5D"/>
    <w:rsid w:val="0031168A"/>
    <w:rsid w:val="00311EB5"/>
    <w:rsid w:val="00312FF3"/>
    <w:rsid w:val="00314098"/>
    <w:rsid w:val="003152E1"/>
    <w:rsid w:val="003227C2"/>
    <w:rsid w:val="003247E1"/>
    <w:rsid w:val="00324B8A"/>
    <w:rsid w:val="00326EAD"/>
    <w:rsid w:val="0033025C"/>
    <w:rsid w:val="0033533E"/>
    <w:rsid w:val="00341BF6"/>
    <w:rsid w:val="0034295B"/>
    <w:rsid w:val="00342E19"/>
    <w:rsid w:val="00343415"/>
    <w:rsid w:val="00343BCB"/>
    <w:rsid w:val="003458AA"/>
    <w:rsid w:val="00354601"/>
    <w:rsid w:val="00357006"/>
    <w:rsid w:val="00362EAA"/>
    <w:rsid w:val="0036554B"/>
    <w:rsid w:val="003678B5"/>
    <w:rsid w:val="00370B3E"/>
    <w:rsid w:val="003739EB"/>
    <w:rsid w:val="00382C43"/>
    <w:rsid w:val="00383B54"/>
    <w:rsid w:val="00383F57"/>
    <w:rsid w:val="00384A05"/>
    <w:rsid w:val="0038636C"/>
    <w:rsid w:val="00392B86"/>
    <w:rsid w:val="0039449A"/>
    <w:rsid w:val="00394C34"/>
    <w:rsid w:val="003954AB"/>
    <w:rsid w:val="00395655"/>
    <w:rsid w:val="00396775"/>
    <w:rsid w:val="003A19EB"/>
    <w:rsid w:val="003A5F02"/>
    <w:rsid w:val="003A653B"/>
    <w:rsid w:val="003B36D1"/>
    <w:rsid w:val="003B678F"/>
    <w:rsid w:val="003C05E4"/>
    <w:rsid w:val="003C0AAA"/>
    <w:rsid w:val="003C4343"/>
    <w:rsid w:val="003C6849"/>
    <w:rsid w:val="003C694E"/>
    <w:rsid w:val="003C6FF3"/>
    <w:rsid w:val="003D0751"/>
    <w:rsid w:val="003D08C0"/>
    <w:rsid w:val="003D13BA"/>
    <w:rsid w:val="003D3EC3"/>
    <w:rsid w:val="003E0516"/>
    <w:rsid w:val="003E15CE"/>
    <w:rsid w:val="003E1A77"/>
    <w:rsid w:val="003E200C"/>
    <w:rsid w:val="003E3482"/>
    <w:rsid w:val="003E510C"/>
    <w:rsid w:val="003E6CD4"/>
    <w:rsid w:val="003F00AB"/>
    <w:rsid w:val="003F6953"/>
    <w:rsid w:val="004009C2"/>
    <w:rsid w:val="004017C3"/>
    <w:rsid w:val="00401A3D"/>
    <w:rsid w:val="00404039"/>
    <w:rsid w:val="00405AC2"/>
    <w:rsid w:val="004075F0"/>
    <w:rsid w:val="0041030C"/>
    <w:rsid w:val="0041039A"/>
    <w:rsid w:val="00410B8D"/>
    <w:rsid w:val="00417E4C"/>
    <w:rsid w:val="004236C3"/>
    <w:rsid w:val="00426C69"/>
    <w:rsid w:val="004302D7"/>
    <w:rsid w:val="004304C9"/>
    <w:rsid w:val="00431C7C"/>
    <w:rsid w:val="00432208"/>
    <w:rsid w:val="0043280F"/>
    <w:rsid w:val="00432D90"/>
    <w:rsid w:val="00435459"/>
    <w:rsid w:val="00435656"/>
    <w:rsid w:val="00436443"/>
    <w:rsid w:val="00440B59"/>
    <w:rsid w:val="00442FE2"/>
    <w:rsid w:val="004449D8"/>
    <w:rsid w:val="0044528F"/>
    <w:rsid w:val="00447EB9"/>
    <w:rsid w:val="00450311"/>
    <w:rsid w:val="004526EB"/>
    <w:rsid w:val="004574E4"/>
    <w:rsid w:val="00460E6A"/>
    <w:rsid w:val="00461A9E"/>
    <w:rsid w:val="00465850"/>
    <w:rsid w:val="0047108F"/>
    <w:rsid w:val="004716E6"/>
    <w:rsid w:val="004727AA"/>
    <w:rsid w:val="00474E18"/>
    <w:rsid w:val="00474EAD"/>
    <w:rsid w:val="0047606E"/>
    <w:rsid w:val="004764BA"/>
    <w:rsid w:val="00481D25"/>
    <w:rsid w:val="00482C6F"/>
    <w:rsid w:val="00483C3C"/>
    <w:rsid w:val="00484825"/>
    <w:rsid w:val="00484854"/>
    <w:rsid w:val="00484C95"/>
    <w:rsid w:val="00484D58"/>
    <w:rsid w:val="00487268"/>
    <w:rsid w:val="0048793F"/>
    <w:rsid w:val="0049066C"/>
    <w:rsid w:val="00490884"/>
    <w:rsid w:val="0049154D"/>
    <w:rsid w:val="0049448C"/>
    <w:rsid w:val="004958B5"/>
    <w:rsid w:val="00496F66"/>
    <w:rsid w:val="004A2F26"/>
    <w:rsid w:val="004A4BEC"/>
    <w:rsid w:val="004B391E"/>
    <w:rsid w:val="004B40B0"/>
    <w:rsid w:val="004B5FB4"/>
    <w:rsid w:val="004B758B"/>
    <w:rsid w:val="004B783B"/>
    <w:rsid w:val="004B7874"/>
    <w:rsid w:val="004C0EDD"/>
    <w:rsid w:val="004C11FD"/>
    <w:rsid w:val="004C1B17"/>
    <w:rsid w:val="004C2FC3"/>
    <w:rsid w:val="004C4C4B"/>
    <w:rsid w:val="004C4D5F"/>
    <w:rsid w:val="004C7CD5"/>
    <w:rsid w:val="004D051A"/>
    <w:rsid w:val="004D5070"/>
    <w:rsid w:val="004D5D0C"/>
    <w:rsid w:val="004E10F4"/>
    <w:rsid w:val="004E3345"/>
    <w:rsid w:val="004E5EB9"/>
    <w:rsid w:val="004E69B4"/>
    <w:rsid w:val="004F09FE"/>
    <w:rsid w:val="004F10A5"/>
    <w:rsid w:val="004F1350"/>
    <w:rsid w:val="004F1A63"/>
    <w:rsid w:val="00503497"/>
    <w:rsid w:val="00503AAA"/>
    <w:rsid w:val="005121EB"/>
    <w:rsid w:val="00512E7E"/>
    <w:rsid w:val="00512FA9"/>
    <w:rsid w:val="005233C3"/>
    <w:rsid w:val="00524066"/>
    <w:rsid w:val="00525FB8"/>
    <w:rsid w:val="005322FC"/>
    <w:rsid w:val="00533741"/>
    <w:rsid w:val="00533B39"/>
    <w:rsid w:val="00534BFA"/>
    <w:rsid w:val="00535259"/>
    <w:rsid w:val="00535651"/>
    <w:rsid w:val="00536625"/>
    <w:rsid w:val="0054047B"/>
    <w:rsid w:val="00541577"/>
    <w:rsid w:val="00541745"/>
    <w:rsid w:val="00544D3B"/>
    <w:rsid w:val="005470D7"/>
    <w:rsid w:val="00551F4A"/>
    <w:rsid w:val="0055572B"/>
    <w:rsid w:val="00556ADE"/>
    <w:rsid w:val="00560866"/>
    <w:rsid w:val="00560B9D"/>
    <w:rsid w:val="00560F7D"/>
    <w:rsid w:val="00561576"/>
    <w:rsid w:val="00561C82"/>
    <w:rsid w:val="005631DB"/>
    <w:rsid w:val="00563623"/>
    <w:rsid w:val="00563B37"/>
    <w:rsid w:val="005648E6"/>
    <w:rsid w:val="00565722"/>
    <w:rsid w:val="00570823"/>
    <w:rsid w:val="005727A1"/>
    <w:rsid w:val="00572B37"/>
    <w:rsid w:val="00572D5C"/>
    <w:rsid w:val="00573D81"/>
    <w:rsid w:val="00574E55"/>
    <w:rsid w:val="00575A90"/>
    <w:rsid w:val="0057645D"/>
    <w:rsid w:val="00577EFD"/>
    <w:rsid w:val="00584D67"/>
    <w:rsid w:val="00584EB1"/>
    <w:rsid w:val="00586241"/>
    <w:rsid w:val="005944CC"/>
    <w:rsid w:val="0059541D"/>
    <w:rsid w:val="0059598F"/>
    <w:rsid w:val="0059690E"/>
    <w:rsid w:val="0059791D"/>
    <w:rsid w:val="005A2CEF"/>
    <w:rsid w:val="005A3996"/>
    <w:rsid w:val="005A521B"/>
    <w:rsid w:val="005A69AE"/>
    <w:rsid w:val="005B0218"/>
    <w:rsid w:val="005B1459"/>
    <w:rsid w:val="005B2A0A"/>
    <w:rsid w:val="005B4669"/>
    <w:rsid w:val="005B4E84"/>
    <w:rsid w:val="005B56DE"/>
    <w:rsid w:val="005B6860"/>
    <w:rsid w:val="005C7E62"/>
    <w:rsid w:val="005D491C"/>
    <w:rsid w:val="005D74AC"/>
    <w:rsid w:val="005E2A47"/>
    <w:rsid w:val="005E3375"/>
    <w:rsid w:val="005E38BA"/>
    <w:rsid w:val="005E4214"/>
    <w:rsid w:val="005E534B"/>
    <w:rsid w:val="005E5656"/>
    <w:rsid w:val="005E7083"/>
    <w:rsid w:val="005F0CEB"/>
    <w:rsid w:val="005F17EE"/>
    <w:rsid w:val="005F46BA"/>
    <w:rsid w:val="005F60FB"/>
    <w:rsid w:val="005F695B"/>
    <w:rsid w:val="005F7CFF"/>
    <w:rsid w:val="00602B0E"/>
    <w:rsid w:val="006030BF"/>
    <w:rsid w:val="006031C0"/>
    <w:rsid w:val="006077E0"/>
    <w:rsid w:val="00610BCC"/>
    <w:rsid w:val="00614980"/>
    <w:rsid w:val="00615682"/>
    <w:rsid w:val="00617A11"/>
    <w:rsid w:val="00617D08"/>
    <w:rsid w:val="00626569"/>
    <w:rsid w:val="00626D83"/>
    <w:rsid w:val="006272CA"/>
    <w:rsid w:val="00627614"/>
    <w:rsid w:val="00627E64"/>
    <w:rsid w:val="00630D1B"/>
    <w:rsid w:val="00632EDB"/>
    <w:rsid w:val="00634A5C"/>
    <w:rsid w:val="006358C2"/>
    <w:rsid w:val="0063732F"/>
    <w:rsid w:val="0064186C"/>
    <w:rsid w:val="00644743"/>
    <w:rsid w:val="006451B3"/>
    <w:rsid w:val="0064545B"/>
    <w:rsid w:val="00645506"/>
    <w:rsid w:val="006471C0"/>
    <w:rsid w:val="00650594"/>
    <w:rsid w:val="00650BB5"/>
    <w:rsid w:val="00654475"/>
    <w:rsid w:val="00655FD7"/>
    <w:rsid w:val="00657D22"/>
    <w:rsid w:val="00657E0D"/>
    <w:rsid w:val="006611C6"/>
    <w:rsid w:val="00661896"/>
    <w:rsid w:val="00664476"/>
    <w:rsid w:val="00671B18"/>
    <w:rsid w:val="006725A0"/>
    <w:rsid w:val="00673033"/>
    <w:rsid w:val="00673BC3"/>
    <w:rsid w:val="00674059"/>
    <w:rsid w:val="00675CA9"/>
    <w:rsid w:val="00676F4B"/>
    <w:rsid w:val="0067741B"/>
    <w:rsid w:val="00694EBC"/>
    <w:rsid w:val="006A00F6"/>
    <w:rsid w:val="006A097D"/>
    <w:rsid w:val="006A2086"/>
    <w:rsid w:val="006A3248"/>
    <w:rsid w:val="006A35C4"/>
    <w:rsid w:val="006A71AB"/>
    <w:rsid w:val="006B0C24"/>
    <w:rsid w:val="006B0C7E"/>
    <w:rsid w:val="006B4312"/>
    <w:rsid w:val="006B5EA2"/>
    <w:rsid w:val="006B7981"/>
    <w:rsid w:val="006B7E7C"/>
    <w:rsid w:val="006C02D6"/>
    <w:rsid w:val="006C1366"/>
    <w:rsid w:val="006C1BF5"/>
    <w:rsid w:val="006C3BDE"/>
    <w:rsid w:val="006C3E1D"/>
    <w:rsid w:val="006C424B"/>
    <w:rsid w:val="006C7BC3"/>
    <w:rsid w:val="006C7FCF"/>
    <w:rsid w:val="006D55A0"/>
    <w:rsid w:val="006D6C59"/>
    <w:rsid w:val="006D74CC"/>
    <w:rsid w:val="006D7CA3"/>
    <w:rsid w:val="006E00D5"/>
    <w:rsid w:val="006E2EBF"/>
    <w:rsid w:val="006E3F14"/>
    <w:rsid w:val="006F0CAD"/>
    <w:rsid w:val="006F500F"/>
    <w:rsid w:val="006F6B22"/>
    <w:rsid w:val="00703376"/>
    <w:rsid w:val="007052F7"/>
    <w:rsid w:val="007118B2"/>
    <w:rsid w:val="00711FA9"/>
    <w:rsid w:val="00713B06"/>
    <w:rsid w:val="00727625"/>
    <w:rsid w:val="00727629"/>
    <w:rsid w:val="00732F66"/>
    <w:rsid w:val="0073430E"/>
    <w:rsid w:val="007351D0"/>
    <w:rsid w:val="0073586A"/>
    <w:rsid w:val="00735E4B"/>
    <w:rsid w:val="00736277"/>
    <w:rsid w:val="00736F05"/>
    <w:rsid w:val="007377DB"/>
    <w:rsid w:val="00742FD5"/>
    <w:rsid w:val="00745A87"/>
    <w:rsid w:val="00746048"/>
    <w:rsid w:val="00754550"/>
    <w:rsid w:val="00756704"/>
    <w:rsid w:val="00760293"/>
    <w:rsid w:val="007625C2"/>
    <w:rsid w:val="0076711C"/>
    <w:rsid w:val="00772487"/>
    <w:rsid w:val="007727C2"/>
    <w:rsid w:val="00773CBA"/>
    <w:rsid w:val="00773F62"/>
    <w:rsid w:val="0077748B"/>
    <w:rsid w:val="00781EFA"/>
    <w:rsid w:val="00787F68"/>
    <w:rsid w:val="007906AA"/>
    <w:rsid w:val="00794662"/>
    <w:rsid w:val="0079760F"/>
    <w:rsid w:val="007977DF"/>
    <w:rsid w:val="007A081A"/>
    <w:rsid w:val="007A09C5"/>
    <w:rsid w:val="007A0DFC"/>
    <w:rsid w:val="007A4C53"/>
    <w:rsid w:val="007A6FD5"/>
    <w:rsid w:val="007B5C07"/>
    <w:rsid w:val="007B7BD8"/>
    <w:rsid w:val="007C461F"/>
    <w:rsid w:val="007C4CB1"/>
    <w:rsid w:val="007C5C0A"/>
    <w:rsid w:val="007C5C9B"/>
    <w:rsid w:val="007D0BF1"/>
    <w:rsid w:val="007D16B5"/>
    <w:rsid w:val="007D3D5C"/>
    <w:rsid w:val="007D4237"/>
    <w:rsid w:val="007E15EB"/>
    <w:rsid w:val="007E20FE"/>
    <w:rsid w:val="007E3871"/>
    <w:rsid w:val="007E46E6"/>
    <w:rsid w:val="007E4752"/>
    <w:rsid w:val="007E7197"/>
    <w:rsid w:val="007F2EEF"/>
    <w:rsid w:val="007F31EA"/>
    <w:rsid w:val="007F40D1"/>
    <w:rsid w:val="007F419A"/>
    <w:rsid w:val="00801A4D"/>
    <w:rsid w:val="008049BD"/>
    <w:rsid w:val="008066D9"/>
    <w:rsid w:val="00810C9B"/>
    <w:rsid w:val="00812AB3"/>
    <w:rsid w:val="0082293D"/>
    <w:rsid w:val="00823B92"/>
    <w:rsid w:val="00823FCA"/>
    <w:rsid w:val="00824144"/>
    <w:rsid w:val="00824C13"/>
    <w:rsid w:val="00825819"/>
    <w:rsid w:val="00835A43"/>
    <w:rsid w:val="0083652A"/>
    <w:rsid w:val="00836EAF"/>
    <w:rsid w:val="00837970"/>
    <w:rsid w:val="0084057A"/>
    <w:rsid w:val="00842202"/>
    <w:rsid w:val="00842213"/>
    <w:rsid w:val="00842F00"/>
    <w:rsid w:val="008471B9"/>
    <w:rsid w:val="00847445"/>
    <w:rsid w:val="008514E3"/>
    <w:rsid w:val="00851D86"/>
    <w:rsid w:val="00853C18"/>
    <w:rsid w:val="00854EEB"/>
    <w:rsid w:val="00856B0B"/>
    <w:rsid w:val="00856EEE"/>
    <w:rsid w:val="0086079A"/>
    <w:rsid w:val="00864844"/>
    <w:rsid w:val="00871617"/>
    <w:rsid w:val="00871B1D"/>
    <w:rsid w:val="0088091F"/>
    <w:rsid w:val="00880C8A"/>
    <w:rsid w:val="008826EF"/>
    <w:rsid w:val="00884C98"/>
    <w:rsid w:val="008859D8"/>
    <w:rsid w:val="00892272"/>
    <w:rsid w:val="00892D20"/>
    <w:rsid w:val="0089405E"/>
    <w:rsid w:val="00894940"/>
    <w:rsid w:val="00897EF7"/>
    <w:rsid w:val="008A01AB"/>
    <w:rsid w:val="008A5175"/>
    <w:rsid w:val="008B42AF"/>
    <w:rsid w:val="008B4410"/>
    <w:rsid w:val="008B7ABB"/>
    <w:rsid w:val="008B7C42"/>
    <w:rsid w:val="008C1546"/>
    <w:rsid w:val="008C2D22"/>
    <w:rsid w:val="008C33E3"/>
    <w:rsid w:val="008C47AB"/>
    <w:rsid w:val="008C6534"/>
    <w:rsid w:val="008C77E6"/>
    <w:rsid w:val="008D1726"/>
    <w:rsid w:val="008D2D4B"/>
    <w:rsid w:val="008D4FBA"/>
    <w:rsid w:val="008D6CF1"/>
    <w:rsid w:val="008D7413"/>
    <w:rsid w:val="008D7AC3"/>
    <w:rsid w:val="008D7BBE"/>
    <w:rsid w:val="008E01B0"/>
    <w:rsid w:val="008E02A0"/>
    <w:rsid w:val="008E0450"/>
    <w:rsid w:val="008E17F2"/>
    <w:rsid w:val="008E5078"/>
    <w:rsid w:val="008E727E"/>
    <w:rsid w:val="008E74EF"/>
    <w:rsid w:val="008E7D9B"/>
    <w:rsid w:val="008F130D"/>
    <w:rsid w:val="008F21C1"/>
    <w:rsid w:val="008F32AD"/>
    <w:rsid w:val="008F4E7A"/>
    <w:rsid w:val="008F4F7C"/>
    <w:rsid w:val="008F51BD"/>
    <w:rsid w:val="00901AB2"/>
    <w:rsid w:val="0090545A"/>
    <w:rsid w:val="00906351"/>
    <w:rsid w:val="00907C0A"/>
    <w:rsid w:val="009118CC"/>
    <w:rsid w:val="00915325"/>
    <w:rsid w:val="00916988"/>
    <w:rsid w:val="009216CC"/>
    <w:rsid w:val="00921C1B"/>
    <w:rsid w:val="0092278E"/>
    <w:rsid w:val="0092285D"/>
    <w:rsid w:val="00923123"/>
    <w:rsid w:val="00923A84"/>
    <w:rsid w:val="00925064"/>
    <w:rsid w:val="00925116"/>
    <w:rsid w:val="009301F1"/>
    <w:rsid w:val="009311C5"/>
    <w:rsid w:val="0093220E"/>
    <w:rsid w:val="00936F56"/>
    <w:rsid w:val="00937A6B"/>
    <w:rsid w:val="009410EC"/>
    <w:rsid w:val="00945BCE"/>
    <w:rsid w:val="0094628F"/>
    <w:rsid w:val="0094692A"/>
    <w:rsid w:val="0094711C"/>
    <w:rsid w:val="009504B6"/>
    <w:rsid w:val="009510C0"/>
    <w:rsid w:val="009516A4"/>
    <w:rsid w:val="009561C9"/>
    <w:rsid w:val="00962DEA"/>
    <w:rsid w:val="00963339"/>
    <w:rsid w:val="0096648F"/>
    <w:rsid w:val="009738C3"/>
    <w:rsid w:val="0098114F"/>
    <w:rsid w:val="00983BB6"/>
    <w:rsid w:val="009865F8"/>
    <w:rsid w:val="00986C85"/>
    <w:rsid w:val="0098729D"/>
    <w:rsid w:val="00987DAC"/>
    <w:rsid w:val="00987E4B"/>
    <w:rsid w:val="00992C15"/>
    <w:rsid w:val="00992F90"/>
    <w:rsid w:val="0099300B"/>
    <w:rsid w:val="009935F1"/>
    <w:rsid w:val="00994692"/>
    <w:rsid w:val="00997133"/>
    <w:rsid w:val="00997E3F"/>
    <w:rsid w:val="009A027F"/>
    <w:rsid w:val="009A034C"/>
    <w:rsid w:val="009A3996"/>
    <w:rsid w:val="009A428B"/>
    <w:rsid w:val="009A518C"/>
    <w:rsid w:val="009A5CDB"/>
    <w:rsid w:val="009A7560"/>
    <w:rsid w:val="009A75C8"/>
    <w:rsid w:val="009B01C1"/>
    <w:rsid w:val="009B1670"/>
    <w:rsid w:val="009B24B6"/>
    <w:rsid w:val="009C0509"/>
    <w:rsid w:val="009C4639"/>
    <w:rsid w:val="009C548C"/>
    <w:rsid w:val="009D0666"/>
    <w:rsid w:val="009E181E"/>
    <w:rsid w:val="009E2BCB"/>
    <w:rsid w:val="009E3EF7"/>
    <w:rsid w:val="009F1F74"/>
    <w:rsid w:val="009F453D"/>
    <w:rsid w:val="009F7A7D"/>
    <w:rsid w:val="00A03C3C"/>
    <w:rsid w:val="00A03FF1"/>
    <w:rsid w:val="00A04EAF"/>
    <w:rsid w:val="00A061BD"/>
    <w:rsid w:val="00A069C0"/>
    <w:rsid w:val="00A1162D"/>
    <w:rsid w:val="00A15C27"/>
    <w:rsid w:val="00A16D08"/>
    <w:rsid w:val="00A1720C"/>
    <w:rsid w:val="00A17577"/>
    <w:rsid w:val="00A2353E"/>
    <w:rsid w:val="00A23549"/>
    <w:rsid w:val="00A23807"/>
    <w:rsid w:val="00A23E95"/>
    <w:rsid w:val="00A256E6"/>
    <w:rsid w:val="00A30503"/>
    <w:rsid w:val="00A31A67"/>
    <w:rsid w:val="00A32FB3"/>
    <w:rsid w:val="00A337B7"/>
    <w:rsid w:val="00A34890"/>
    <w:rsid w:val="00A354C7"/>
    <w:rsid w:val="00A400DD"/>
    <w:rsid w:val="00A424BA"/>
    <w:rsid w:val="00A43B71"/>
    <w:rsid w:val="00A4629E"/>
    <w:rsid w:val="00A46522"/>
    <w:rsid w:val="00A46D31"/>
    <w:rsid w:val="00A524A4"/>
    <w:rsid w:val="00A5633C"/>
    <w:rsid w:val="00A56523"/>
    <w:rsid w:val="00A569FE"/>
    <w:rsid w:val="00A57139"/>
    <w:rsid w:val="00A60F2E"/>
    <w:rsid w:val="00A62CCA"/>
    <w:rsid w:val="00A62EBB"/>
    <w:rsid w:val="00A66FCF"/>
    <w:rsid w:val="00A67C65"/>
    <w:rsid w:val="00A717E9"/>
    <w:rsid w:val="00A72989"/>
    <w:rsid w:val="00A72CC5"/>
    <w:rsid w:val="00A761F9"/>
    <w:rsid w:val="00A7696D"/>
    <w:rsid w:val="00A82C18"/>
    <w:rsid w:val="00A82F8E"/>
    <w:rsid w:val="00A87E81"/>
    <w:rsid w:val="00A92A3F"/>
    <w:rsid w:val="00A93D16"/>
    <w:rsid w:val="00A9494E"/>
    <w:rsid w:val="00A96AD0"/>
    <w:rsid w:val="00A97125"/>
    <w:rsid w:val="00AA070B"/>
    <w:rsid w:val="00AA2C4B"/>
    <w:rsid w:val="00AA4337"/>
    <w:rsid w:val="00AA7136"/>
    <w:rsid w:val="00AB1908"/>
    <w:rsid w:val="00AB1AE6"/>
    <w:rsid w:val="00AB2171"/>
    <w:rsid w:val="00AB2EC6"/>
    <w:rsid w:val="00AB4141"/>
    <w:rsid w:val="00AB463B"/>
    <w:rsid w:val="00AB4689"/>
    <w:rsid w:val="00AB4B10"/>
    <w:rsid w:val="00AC0509"/>
    <w:rsid w:val="00AC06EF"/>
    <w:rsid w:val="00AC07CB"/>
    <w:rsid w:val="00AC088E"/>
    <w:rsid w:val="00AC14F0"/>
    <w:rsid w:val="00AC3A64"/>
    <w:rsid w:val="00AC5C9F"/>
    <w:rsid w:val="00AC6361"/>
    <w:rsid w:val="00AD3EE2"/>
    <w:rsid w:val="00AE089B"/>
    <w:rsid w:val="00AE3373"/>
    <w:rsid w:val="00AE39C2"/>
    <w:rsid w:val="00AE3FDD"/>
    <w:rsid w:val="00AE44FE"/>
    <w:rsid w:val="00AE5CD2"/>
    <w:rsid w:val="00AE6D96"/>
    <w:rsid w:val="00AF0155"/>
    <w:rsid w:val="00AF4E84"/>
    <w:rsid w:val="00AF5921"/>
    <w:rsid w:val="00AF6375"/>
    <w:rsid w:val="00AF65B9"/>
    <w:rsid w:val="00AF6846"/>
    <w:rsid w:val="00B00BAB"/>
    <w:rsid w:val="00B02279"/>
    <w:rsid w:val="00B024FE"/>
    <w:rsid w:val="00B02B46"/>
    <w:rsid w:val="00B031FC"/>
    <w:rsid w:val="00B05B3C"/>
    <w:rsid w:val="00B0606E"/>
    <w:rsid w:val="00B06C8E"/>
    <w:rsid w:val="00B12319"/>
    <w:rsid w:val="00B156D6"/>
    <w:rsid w:val="00B23170"/>
    <w:rsid w:val="00B23DE0"/>
    <w:rsid w:val="00B24003"/>
    <w:rsid w:val="00B408F8"/>
    <w:rsid w:val="00B411F7"/>
    <w:rsid w:val="00B412D7"/>
    <w:rsid w:val="00B45B19"/>
    <w:rsid w:val="00B50CC1"/>
    <w:rsid w:val="00B51017"/>
    <w:rsid w:val="00B513CD"/>
    <w:rsid w:val="00B52757"/>
    <w:rsid w:val="00B5426D"/>
    <w:rsid w:val="00B55AA2"/>
    <w:rsid w:val="00B57828"/>
    <w:rsid w:val="00B6029D"/>
    <w:rsid w:val="00B61E7C"/>
    <w:rsid w:val="00B62C87"/>
    <w:rsid w:val="00B631A9"/>
    <w:rsid w:val="00B6365E"/>
    <w:rsid w:val="00B757E8"/>
    <w:rsid w:val="00B76CC0"/>
    <w:rsid w:val="00B77633"/>
    <w:rsid w:val="00B8314E"/>
    <w:rsid w:val="00B83DA9"/>
    <w:rsid w:val="00B85199"/>
    <w:rsid w:val="00B85F23"/>
    <w:rsid w:val="00B87F4A"/>
    <w:rsid w:val="00B93B14"/>
    <w:rsid w:val="00B93F2D"/>
    <w:rsid w:val="00BA03A7"/>
    <w:rsid w:val="00BA0AC6"/>
    <w:rsid w:val="00BB0247"/>
    <w:rsid w:val="00BB1435"/>
    <w:rsid w:val="00BB2644"/>
    <w:rsid w:val="00BB4403"/>
    <w:rsid w:val="00BB5DE3"/>
    <w:rsid w:val="00BB7A5E"/>
    <w:rsid w:val="00BC1953"/>
    <w:rsid w:val="00BC1B20"/>
    <w:rsid w:val="00BC2AE7"/>
    <w:rsid w:val="00BC4FC8"/>
    <w:rsid w:val="00BC5630"/>
    <w:rsid w:val="00BC5DA8"/>
    <w:rsid w:val="00BC6999"/>
    <w:rsid w:val="00BC7D6B"/>
    <w:rsid w:val="00BD5E29"/>
    <w:rsid w:val="00BD632F"/>
    <w:rsid w:val="00BD6CD7"/>
    <w:rsid w:val="00BE14E2"/>
    <w:rsid w:val="00BE2308"/>
    <w:rsid w:val="00BE7F50"/>
    <w:rsid w:val="00BF314B"/>
    <w:rsid w:val="00BF3815"/>
    <w:rsid w:val="00BF5AB8"/>
    <w:rsid w:val="00BF6046"/>
    <w:rsid w:val="00BF74B1"/>
    <w:rsid w:val="00C00493"/>
    <w:rsid w:val="00C04BF0"/>
    <w:rsid w:val="00C05ADC"/>
    <w:rsid w:val="00C069F6"/>
    <w:rsid w:val="00C15BE1"/>
    <w:rsid w:val="00C173BB"/>
    <w:rsid w:val="00C177AC"/>
    <w:rsid w:val="00C17C77"/>
    <w:rsid w:val="00C20963"/>
    <w:rsid w:val="00C22F83"/>
    <w:rsid w:val="00C23910"/>
    <w:rsid w:val="00C27869"/>
    <w:rsid w:val="00C31495"/>
    <w:rsid w:val="00C34B1F"/>
    <w:rsid w:val="00C350C1"/>
    <w:rsid w:val="00C37994"/>
    <w:rsid w:val="00C41116"/>
    <w:rsid w:val="00C452B2"/>
    <w:rsid w:val="00C4715A"/>
    <w:rsid w:val="00C51C36"/>
    <w:rsid w:val="00C53789"/>
    <w:rsid w:val="00C5380B"/>
    <w:rsid w:val="00C54B32"/>
    <w:rsid w:val="00C54BC4"/>
    <w:rsid w:val="00C6081E"/>
    <w:rsid w:val="00C615C1"/>
    <w:rsid w:val="00C64D73"/>
    <w:rsid w:val="00C67F0D"/>
    <w:rsid w:val="00C75B2D"/>
    <w:rsid w:val="00C75DF2"/>
    <w:rsid w:val="00C77009"/>
    <w:rsid w:val="00C83C42"/>
    <w:rsid w:val="00C85436"/>
    <w:rsid w:val="00C8633D"/>
    <w:rsid w:val="00C86F37"/>
    <w:rsid w:val="00C93E58"/>
    <w:rsid w:val="00C95D8A"/>
    <w:rsid w:val="00C97463"/>
    <w:rsid w:val="00CA117E"/>
    <w:rsid w:val="00CA41B8"/>
    <w:rsid w:val="00CA4731"/>
    <w:rsid w:val="00CA4BF6"/>
    <w:rsid w:val="00CA64CF"/>
    <w:rsid w:val="00CA6EA6"/>
    <w:rsid w:val="00CA78A6"/>
    <w:rsid w:val="00CB32F8"/>
    <w:rsid w:val="00CC06F8"/>
    <w:rsid w:val="00CC2EB7"/>
    <w:rsid w:val="00CC7285"/>
    <w:rsid w:val="00CD5321"/>
    <w:rsid w:val="00CD5690"/>
    <w:rsid w:val="00CD5DC7"/>
    <w:rsid w:val="00CD733C"/>
    <w:rsid w:val="00CE0CBB"/>
    <w:rsid w:val="00CE353A"/>
    <w:rsid w:val="00CE5A40"/>
    <w:rsid w:val="00CE75A9"/>
    <w:rsid w:val="00CF0AA4"/>
    <w:rsid w:val="00CF2EDE"/>
    <w:rsid w:val="00CF47D7"/>
    <w:rsid w:val="00CF4AB5"/>
    <w:rsid w:val="00D01CF4"/>
    <w:rsid w:val="00D05F80"/>
    <w:rsid w:val="00D07949"/>
    <w:rsid w:val="00D07E51"/>
    <w:rsid w:val="00D10FC6"/>
    <w:rsid w:val="00D1101A"/>
    <w:rsid w:val="00D165EF"/>
    <w:rsid w:val="00D27F69"/>
    <w:rsid w:val="00D320AB"/>
    <w:rsid w:val="00D33C0F"/>
    <w:rsid w:val="00D360CA"/>
    <w:rsid w:val="00D360F6"/>
    <w:rsid w:val="00D37F58"/>
    <w:rsid w:val="00D40BBD"/>
    <w:rsid w:val="00D4128A"/>
    <w:rsid w:val="00D438D0"/>
    <w:rsid w:val="00D43F0A"/>
    <w:rsid w:val="00D45682"/>
    <w:rsid w:val="00D50167"/>
    <w:rsid w:val="00D51E25"/>
    <w:rsid w:val="00D5202B"/>
    <w:rsid w:val="00D520EB"/>
    <w:rsid w:val="00D55C8C"/>
    <w:rsid w:val="00D56910"/>
    <w:rsid w:val="00D56CF4"/>
    <w:rsid w:val="00D6030F"/>
    <w:rsid w:val="00D625CF"/>
    <w:rsid w:val="00D639E9"/>
    <w:rsid w:val="00D675D5"/>
    <w:rsid w:val="00D70D0F"/>
    <w:rsid w:val="00D71712"/>
    <w:rsid w:val="00D7344B"/>
    <w:rsid w:val="00D739AE"/>
    <w:rsid w:val="00D73DF6"/>
    <w:rsid w:val="00D73F5F"/>
    <w:rsid w:val="00D7701F"/>
    <w:rsid w:val="00D77C77"/>
    <w:rsid w:val="00D814F0"/>
    <w:rsid w:val="00D925CD"/>
    <w:rsid w:val="00D93D6F"/>
    <w:rsid w:val="00D972B0"/>
    <w:rsid w:val="00DA0E7C"/>
    <w:rsid w:val="00DA0F6F"/>
    <w:rsid w:val="00DA7EAC"/>
    <w:rsid w:val="00DB208C"/>
    <w:rsid w:val="00DB252D"/>
    <w:rsid w:val="00DB4199"/>
    <w:rsid w:val="00DB56C2"/>
    <w:rsid w:val="00DC084B"/>
    <w:rsid w:val="00DD1927"/>
    <w:rsid w:val="00DD25B2"/>
    <w:rsid w:val="00DD2F41"/>
    <w:rsid w:val="00DD43F4"/>
    <w:rsid w:val="00DD4F0B"/>
    <w:rsid w:val="00DE67E3"/>
    <w:rsid w:val="00DE6D08"/>
    <w:rsid w:val="00DF0D8F"/>
    <w:rsid w:val="00DF2151"/>
    <w:rsid w:val="00DF3F52"/>
    <w:rsid w:val="00DF431C"/>
    <w:rsid w:val="00DF7B3C"/>
    <w:rsid w:val="00E00AF3"/>
    <w:rsid w:val="00E01414"/>
    <w:rsid w:val="00E048FA"/>
    <w:rsid w:val="00E04D20"/>
    <w:rsid w:val="00E12568"/>
    <w:rsid w:val="00E13212"/>
    <w:rsid w:val="00E1329B"/>
    <w:rsid w:val="00E14C6B"/>
    <w:rsid w:val="00E1563D"/>
    <w:rsid w:val="00E156FA"/>
    <w:rsid w:val="00E20059"/>
    <w:rsid w:val="00E211A0"/>
    <w:rsid w:val="00E22C90"/>
    <w:rsid w:val="00E2378D"/>
    <w:rsid w:val="00E244E8"/>
    <w:rsid w:val="00E2458C"/>
    <w:rsid w:val="00E25428"/>
    <w:rsid w:val="00E25486"/>
    <w:rsid w:val="00E27309"/>
    <w:rsid w:val="00E27B7A"/>
    <w:rsid w:val="00E30E87"/>
    <w:rsid w:val="00E3133B"/>
    <w:rsid w:val="00E31C58"/>
    <w:rsid w:val="00E335F2"/>
    <w:rsid w:val="00E337C4"/>
    <w:rsid w:val="00E3672E"/>
    <w:rsid w:val="00E37228"/>
    <w:rsid w:val="00E4026C"/>
    <w:rsid w:val="00E44946"/>
    <w:rsid w:val="00E51A4C"/>
    <w:rsid w:val="00E54F5E"/>
    <w:rsid w:val="00E571FA"/>
    <w:rsid w:val="00E64006"/>
    <w:rsid w:val="00E6469D"/>
    <w:rsid w:val="00E65E98"/>
    <w:rsid w:val="00E71B50"/>
    <w:rsid w:val="00E74C2B"/>
    <w:rsid w:val="00E82AB4"/>
    <w:rsid w:val="00E839D9"/>
    <w:rsid w:val="00E83C6C"/>
    <w:rsid w:val="00E86801"/>
    <w:rsid w:val="00E87917"/>
    <w:rsid w:val="00E87E11"/>
    <w:rsid w:val="00E87E70"/>
    <w:rsid w:val="00E91C8A"/>
    <w:rsid w:val="00E92F6D"/>
    <w:rsid w:val="00E93FC0"/>
    <w:rsid w:val="00E942D6"/>
    <w:rsid w:val="00E945B5"/>
    <w:rsid w:val="00EA0092"/>
    <w:rsid w:val="00EA1FEA"/>
    <w:rsid w:val="00EA305A"/>
    <w:rsid w:val="00EA3DE9"/>
    <w:rsid w:val="00EA4121"/>
    <w:rsid w:val="00EA48E5"/>
    <w:rsid w:val="00EA4FE9"/>
    <w:rsid w:val="00EB01FC"/>
    <w:rsid w:val="00EB3306"/>
    <w:rsid w:val="00EB333E"/>
    <w:rsid w:val="00EB59F0"/>
    <w:rsid w:val="00EB6222"/>
    <w:rsid w:val="00EB6DA6"/>
    <w:rsid w:val="00EB7BE3"/>
    <w:rsid w:val="00EC012A"/>
    <w:rsid w:val="00EC0722"/>
    <w:rsid w:val="00EC12CD"/>
    <w:rsid w:val="00EC2380"/>
    <w:rsid w:val="00EC71EA"/>
    <w:rsid w:val="00ED1A10"/>
    <w:rsid w:val="00ED32AA"/>
    <w:rsid w:val="00ED381F"/>
    <w:rsid w:val="00ED3CF1"/>
    <w:rsid w:val="00ED41FC"/>
    <w:rsid w:val="00EE0A1D"/>
    <w:rsid w:val="00EE109B"/>
    <w:rsid w:val="00EE4659"/>
    <w:rsid w:val="00EF6861"/>
    <w:rsid w:val="00EF68F2"/>
    <w:rsid w:val="00F04DDE"/>
    <w:rsid w:val="00F061EF"/>
    <w:rsid w:val="00F07564"/>
    <w:rsid w:val="00F11DD2"/>
    <w:rsid w:val="00F14DF0"/>
    <w:rsid w:val="00F1585F"/>
    <w:rsid w:val="00F16436"/>
    <w:rsid w:val="00F17A69"/>
    <w:rsid w:val="00F206AC"/>
    <w:rsid w:val="00F20A18"/>
    <w:rsid w:val="00F20AE3"/>
    <w:rsid w:val="00F20B9A"/>
    <w:rsid w:val="00F20CDB"/>
    <w:rsid w:val="00F20FC8"/>
    <w:rsid w:val="00F254D7"/>
    <w:rsid w:val="00F307E1"/>
    <w:rsid w:val="00F32DC5"/>
    <w:rsid w:val="00F342EF"/>
    <w:rsid w:val="00F34A8B"/>
    <w:rsid w:val="00F34EFB"/>
    <w:rsid w:val="00F3548D"/>
    <w:rsid w:val="00F358BE"/>
    <w:rsid w:val="00F37DFC"/>
    <w:rsid w:val="00F408E9"/>
    <w:rsid w:val="00F41127"/>
    <w:rsid w:val="00F4146B"/>
    <w:rsid w:val="00F4338B"/>
    <w:rsid w:val="00F45813"/>
    <w:rsid w:val="00F46093"/>
    <w:rsid w:val="00F47544"/>
    <w:rsid w:val="00F50241"/>
    <w:rsid w:val="00F50302"/>
    <w:rsid w:val="00F54646"/>
    <w:rsid w:val="00F54A24"/>
    <w:rsid w:val="00F55537"/>
    <w:rsid w:val="00F56057"/>
    <w:rsid w:val="00F56FEB"/>
    <w:rsid w:val="00F64B5D"/>
    <w:rsid w:val="00F656DC"/>
    <w:rsid w:val="00F66E53"/>
    <w:rsid w:val="00F7087F"/>
    <w:rsid w:val="00F70A97"/>
    <w:rsid w:val="00F7320F"/>
    <w:rsid w:val="00F73F09"/>
    <w:rsid w:val="00F761D5"/>
    <w:rsid w:val="00F77F21"/>
    <w:rsid w:val="00F80101"/>
    <w:rsid w:val="00F81780"/>
    <w:rsid w:val="00F8257A"/>
    <w:rsid w:val="00F8361A"/>
    <w:rsid w:val="00F84B7C"/>
    <w:rsid w:val="00F85AE5"/>
    <w:rsid w:val="00F87495"/>
    <w:rsid w:val="00F87B0A"/>
    <w:rsid w:val="00F9230D"/>
    <w:rsid w:val="00F92B3C"/>
    <w:rsid w:val="00F94099"/>
    <w:rsid w:val="00F947B0"/>
    <w:rsid w:val="00F94FA6"/>
    <w:rsid w:val="00F9633F"/>
    <w:rsid w:val="00FA2E4B"/>
    <w:rsid w:val="00FA4EE2"/>
    <w:rsid w:val="00FA6A9A"/>
    <w:rsid w:val="00FB1E4C"/>
    <w:rsid w:val="00FB3BF0"/>
    <w:rsid w:val="00FB466F"/>
    <w:rsid w:val="00FB60C4"/>
    <w:rsid w:val="00FC0B35"/>
    <w:rsid w:val="00FC12C4"/>
    <w:rsid w:val="00FC1794"/>
    <w:rsid w:val="00FC6E9D"/>
    <w:rsid w:val="00FC7D3D"/>
    <w:rsid w:val="00FD242E"/>
    <w:rsid w:val="00FD3F7F"/>
    <w:rsid w:val="00FD6682"/>
    <w:rsid w:val="00FD7AE1"/>
    <w:rsid w:val="00FE0032"/>
    <w:rsid w:val="00FE26CA"/>
    <w:rsid w:val="00FE2B05"/>
    <w:rsid w:val="00FE41A6"/>
    <w:rsid w:val="00FE59AC"/>
    <w:rsid w:val="00FE7358"/>
    <w:rsid w:val="00FE7798"/>
    <w:rsid w:val="00FE7CAE"/>
    <w:rsid w:val="00FF05A9"/>
    <w:rsid w:val="00FF5149"/>
    <w:rsid w:val="00FF5414"/>
    <w:rsid w:val="00FF5603"/>
    <w:rsid w:val="00FF58A9"/>
    <w:rsid w:val="00FF62E0"/>
    <w:rsid w:val="00FF66D3"/>
    <w:rsid w:val="01C5767F"/>
    <w:rsid w:val="0246740F"/>
    <w:rsid w:val="02706FBF"/>
    <w:rsid w:val="02EC4D68"/>
    <w:rsid w:val="03AD7FE7"/>
    <w:rsid w:val="03BE1425"/>
    <w:rsid w:val="05B50DD5"/>
    <w:rsid w:val="06621930"/>
    <w:rsid w:val="09E66EBB"/>
    <w:rsid w:val="0B702572"/>
    <w:rsid w:val="0BCD191C"/>
    <w:rsid w:val="0C1658F0"/>
    <w:rsid w:val="0EFB7241"/>
    <w:rsid w:val="15413BD2"/>
    <w:rsid w:val="17E44BF7"/>
    <w:rsid w:val="1F0C1F90"/>
    <w:rsid w:val="2267299D"/>
    <w:rsid w:val="29AA10E6"/>
    <w:rsid w:val="2A3B12E9"/>
    <w:rsid w:val="2A417BBA"/>
    <w:rsid w:val="2C644E4F"/>
    <w:rsid w:val="2E5614BA"/>
    <w:rsid w:val="3069514C"/>
    <w:rsid w:val="326B22E9"/>
    <w:rsid w:val="34BE179F"/>
    <w:rsid w:val="393E2B07"/>
    <w:rsid w:val="3BA15166"/>
    <w:rsid w:val="471E5594"/>
    <w:rsid w:val="48371032"/>
    <w:rsid w:val="491331C9"/>
    <w:rsid w:val="49154CF5"/>
    <w:rsid w:val="49E50B28"/>
    <w:rsid w:val="4DFE2791"/>
    <w:rsid w:val="4F7915AC"/>
    <w:rsid w:val="50AA13EF"/>
    <w:rsid w:val="50B210A0"/>
    <w:rsid w:val="5192354A"/>
    <w:rsid w:val="52195FF1"/>
    <w:rsid w:val="523D26EA"/>
    <w:rsid w:val="54BB72A2"/>
    <w:rsid w:val="59A035EB"/>
    <w:rsid w:val="5C0C0EFC"/>
    <w:rsid w:val="60300DDA"/>
    <w:rsid w:val="64422839"/>
    <w:rsid w:val="65741154"/>
    <w:rsid w:val="689948F2"/>
    <w:rsid w:val="6B2D3152"/>
    <w:rsid w:val="6D9B3FB9"/>
    <w:rsid w:val="70314A3F"/>
    <w:rsid w:val="70E5303A"/>
    <w:rsid w:val="75B82431"/>
    <w:rsid w:val="75F52494"/>
    <w:rsid w:val="7B01619D"/>
    <w:rsid w:val="7DB84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7"/>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unhideWhenUsed/>
    <w:qFormat/>
    <w:uiPriority w:val="39"/>
    <w:pPr>
      <w:ind w:left="420" w:leftChars="200"/>
    </w:pPr>
  </w:style>
  <w:style w:type="paragraph" w:styleId="7">
    <w:name w:val="Normal (Web)"/>
    <w:basedOn w:val="1"/>
    <w:qFormat/>
    <w:uiPriority w:val="0"/>
    <w:pPr>
      <w:widowControl/>
      <w:adjustRightInd w:val="0"/>
      <w:spacing w:before="100" w:beforeAutospacing="1" w:after="100" w:afterAutospacing="1" w:line="312" w:lineRule="atLeast"/>
      <w:jc w:val="left"/>
    </w:pPr>
    <w:rPr>
      <w:rFonts w:ascii="宋体" w:hAnsi="宋体" w:cs="宋体"/>
      <w:kern w:val="0"/>
      <w:sz w:val="24"/>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paragraph" w:styleId="11">
    <w:name w:val="List Paragraph"/>
    <w:basedOn w:val="1"/>
    <w:qFormat/>
    <w:uiPriority w:val="34"/>
    <w:pPr>
      <w:ind w:firstLine="420" w:firstLineChars="200"/>
    </w:pPr>
  </w:style>
  <w:style w:type="character" w:customStyle="1" w:styleId="12">
    <w:name w:val="页眉 Char"/>
    <w:basedOn w:val="9"/>
    <w:link w:val="5"/>
    <w:qFormat/>
    <w:uiPriority w:val="99"/>
    <w:rPr>
      <w:kern w:val="2"/>
      <w:sz w:val="18"/>
      <w:szCs w:val="18"/>
    </w:rPr>
  </w:style>
  <w:style w:type="character" w:customStyle="1" w:styleId="13">
    <w:name w:val="页脚 Char"/>
    <w:basedOn w:val="9"/>
    <w:link w:val="4"/>
    <w:qFormat/>
    <w:uiPriority w:val="99"/>
    <w:rPr>
      <w:kern w:val="2"/>
      <w:sz w:val="18"/>
      <w:szCs w:val="18"/>
    </w:rPr>
  </w:style>
  <w:style w:type="character" w:customStyle="1" w:styleId="14">
    <w:name w:val="日期 Char"/>
    <w:basedOn w:val="9"/>
    <w:link w:val="2"/>
    <w:semiHidden/>
    <w:qFormat/>
    <w:uiPriority w:val="99"/>
    <w:rPr>
      <w:kern w:val="2"/>
      <w:sz w:val="21"/>
    </w:rPr>
  </w:style>
  <w:style w:type="paragraph" w:customStyle="1" w:styleId="15">
    <w:name w:val="Char Char1 Char Char Char Char"/>
    <w:basedOn w:val="1"/>
    <w:qFormat/>
    <w:uiPriority w:val="0"/>
    <w:rPr>
      <w:rFonts w:eastAsia="仿宋_GB2312"/>
      <w:sz w:val="32"/>
      <w:szCs w:val="32"/>
    </w:rPr>
  </w:style>
  <w:style w:type="paragraph" w:customStyle="1" w:styleId="16">
    <w:name w:val="Char Char Char Char"/>
    <w:basedOn w:val="1"/>
    <w:qFormat/>
    <w:uiPriority w:val="0"/>
    <w:pPr>
      <w:widowControl/>
      <w:adjustRightInd w:val="0"/>
      <w:snapToGrid w:val="0"/>
      <w:spacing w:after="160" w:line="240" w:lineRule="exact"/>
      <w:jc w:val="left"/>
    </w:pPr>
    <w:rPr>
      <w:kern w:val="0"/>
    </w:rPr>
  </w:style>
  <w:style w:type="character" w:customStyle="1" w:styleId="17">
    <w:name w:val="批注框文本 Char"/>
    <w:basedOn w:val="9"/>
    <w:link w:val="3"/>
    <w:semiHidden/>
    <w:qFormat/>
    <w:uiPriority w:val="99"/>
    <w:rPr>
      <w:kern w:val="2"/>
      <w:sz w:val="18"/>
      <w:szCs w:val="18"/>
    </w:rPr>
  </w:style>
  <w:style w:type="paragraph" w:customStyle="1" w:styleId="18">
    <w:name w:val="Char Char Char Char Char Char Char Char Char Char Char Char Char Char Char Char"/>
    <w:basedOn w:val="1"/>
    <w:qFormat/>
    <w:uiPriority w:val="0"/>
    <w:pPr>
      <w:widowControl/>
      <w:adjustRightInd w:val="0"/>
      <w:spacing w:after="160" w:line="240" w:lineRule="exact"/>
      <w:jc w:val="left"/>
    </w:pPr>
    <w:rPr>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DCB8F4-2DB1-4238-B807-92386C5ACBC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496</Words>
  <Characters>2829</Characters>
  <Lines>23</Lines>
  <Paragraphs>6</Paragraphs>
  <TotalTime>7650</TotalTime>
  <ScaleCrop>false</ScaleCrop>
  <LinksUpToDate>false</LinksUpToDate>
  <CharactersWithSpaces>3319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2017-09-12T01:55:00Z</dcterms:created>
  <dc:creator>pc</dc:creator>
  <cp:lastModifiedBy>Administrator</cp:lastModifiedBy>
  <cp:lastPrinted>2021-12-24T03:24:00Z</cp:lastPrinted>
  <dcterms:modified xsi:type="dcterms:W3CDTF">2021-12-30T01:04:59Z</dcterms:modified>
  <cp:revision>1116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A514C81579B04933AA35DDAAA5863D0B</vt:lpwstr>
  </property>
</Properties>
</file>