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
    <w:p>
      <w:pPr>
        <w:jc w:val="center"/>
        <w:rPr>
          <w:b/>
          <w:sz w:val="52"/>
          <w:szCs w:val="52"/>
        </w:rPr>
      </w:pPr>
    </w:p>
    <w:p>
      <w:pPr>
        <w:jc w:val="center"/>
        <w:rPr>
          <w:b/>
          <w:sz w:val="44"/>
          <w:szCs w:val="44"/>
        </w:rPr>
      </w:pPr>
      <w:r>
        <w:rPr>
          <w:rFonts w:hint="eastAsia"/>
          <w:b/>
          <w:sz w:val="44"/>
          <w:szCs w:val="44"/>
        </w:rPr>
        <w:t xml:space="preserve">  始兴县民政局孤儿基本生活</w:t>
      </w:r>
    </w:p>
    <w:p>
      <w:pPr>
        <w:jc w:val="center"/>
        <w:rPr>
          <w:b/>
          <w:sz w:val="44"/>
          <w:szCs w:val="44"/>
        </w:rPr>
      </w:pPr>
      <w:r>
        <w:rPr>
          <w:rFonts w:hint="eastAsia"/>
          <w:b/>
          <w:sz w:val="44"/>
          <w:szCs w:val="44"/>
        </w:rPr>
        <w:t xml:space="preserve">   保障经费绩效评价报告</w:t>
      </w:r>
    </w:p>
    <w:p>
      <w:pPr>
        <w:jc w:val="center"/>
        <w:rPr>
          <w:b/>
          <w:sz w:val="24"/>
          <w:szCs w:val="24"/>
        </w:rPr>
      </w:pPr>
    </w:p>
    <w:p>
      <w:pPr>
        <w:jc w:val="center"/>
        <w:rPr>
          <w:b/>
          <w:sz w:val="24"/>
          <w:szCs w:val="24"/>
        </w:rPr>
      </w:pPr>
    </w:p>
    <w:p>
      <w:pPr>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 xml:space="preserve">报告号：韶中一专字[2021]21013340059号 </w:t>
      </w:r>
    </w:p>
    <w:p>
      <w:pPr>
        <w:jc w:val="center"/>
        <w:rPr>
          <w:b/>
          <w:sz w:val="52"/>
          <w:szCs w:val="52"/>
        </w:rPr>
      </w:pPr>
    </w:p>
    <w:p>
      <w:pPr>
        <w:jc w:val="center"/>
        <w:rPr>
          <w:b/>
          <w:sz w:val="52"/>
          <w:szCs w:val="52"/>
        </w:rPr>
      </w:pPr>
    </w:p>
    <w:p>
      <w:pPr>
        <w:jc w:val="center"/>
        <w:rPr>
          <w:b/>
          <w:sz w:val="52"/>
          <w:szCs w:val="52"/>
        </w:rPr>
      </w:pPr>
      <w:r>
        <w:rPr>
          <w:b/>
          <w:sz w:val="52"/>
          <w:szCs w:val="52"/>
        </w:rPr>
        <w:t xml:space="preserve"> </w:t>
      </w:r>
    </w:p>
    <w:p/>
    <w:p/>
    <w:p/>
    <w:p/>
    <w:p/>
    <w:p/>
    <w:p/>
    <w:p/>
    <w:p/>
    <w:p/>
    <w:p/>
    <w:p>
      <w:pPr>
        <w:ind w:firstLine="1920" w:firstLineChars="600"/>
        <w:rPr>
          <w:sz w:val="32"/>
          <w:szCs w:val="32"/>
        </w:rPr>
      </w:pPr>
      <w:r>
        <w:rPr>
          <w:rFonts w:hint="eastAsia"/>
          <w:sz w:val="32"/>
          <w:szCs w:val="32"/>
        </w:rPr>
        <w:t xml:space="preserve"> </w:t>
      </w:r>
    </w:p>
    <w:p>
      <w:pPr>
        <w:ind w:firstLine="640" w:firstLineChars="200"/>
        <w:rPr>
          <w:sz w:val="32"/>
          <w:szCs w:val="32"/>
        </w:rPr>
      </w:pPr>
      <w:r>
        <w:rPr>
          <w:rFonts w:hint="eastAsia"/>
          <w:sz w:val="32"/>
          <w:szCs w:val="32"/>
        </w:rPr>
        <w:t>评价单位：韶关中一会计师事务所有限公司</w:t>
      </w:r>
    </w:p>
    <w:p>
      <w:pPr>
        <w:jc w:val="center"/>
        <w:rPr>
          <w:sz w:val="32"/>
          <w:szCs w:val="32"/>
        </w:rPr>
        <w:sectPr>
          <w:footerReference r:id="rId3" w:type="default"/>
          <w:pgSz w:w="11906" w:h="16838"/>
          <w:pgMar w:top="1440" w:right="1800" w:bottom="1440" w:left="1800" w:header="851" w:footer="992" w:gutter="0"/>
          <w:pgNumType w:start="3"/>
          <w:cols w:space="425" w:num="1"/>
          <w:docGrid w:type="lines" w:linePitch="312" w:charSpace="0"/>
        </w:sectPr>
      </w:pPr>
      <w:r>
        <w:rPr>
          <w:rFonts w:hint="eastAsia"/>
          <w:sz w:val="32"/>
          <w:szCs w:val="32"/>
        </w:rPr>
        <w:t>二〇二一年十二月三十一日</w:t>
      </w:r>
    </w:p>
    <w:p>
      <w:pPr>
        <w:spacing w:before="156" w:beforeLines="50" w:after="312" w:afterLines="100" w:line="500" w:lineRule="exact"/>
        <w:ind w:firstLine="643" w:firstLineChars="200"/>
        <w:jc w:val="center"/>
        <w:rPr>
          <w:b/>
          <w:bCs/>
          <w:sz w:val="32"/>
          <w:szCs w:val="32"/>
          <w:lang w:val="zh-CN"/>
        </w:rPr>
      </w:pPr>
      <w:r>
        <w:rPr>
          <w:b/>
          <w:bCs/>
          <w:sz w:val="32"/>
          <w:szCs w:val="32"/>
          <w:lang w:val="zh-CN"/>
        </w:rPr>
        <w:t>目</w:t>
      </w:r>
      <w:r>
        <w:rPr>
          <w:rFonts w:hint="eastAsia"/>
          <w:b/>
          <w:bCs/>
          <w:sz w:val="32"/>
          <w:szCs w:val="32"/>
        </w:rPr>
        <w:t xml:space="preserve">  </w:t>
      </w:r>
      <w:r>
        <w:rPr>
          <w:b/>
          <w:bCs/>
          <w:sz w:val="32"/>
          <w:szCs w:val="32"/>
          <w:lang w:val="zh-CN"/>
        </w:rPr>
        <w:t>录</w:t>
      </w:r>
    </w:p>
    <w:p>
      <w:pPr>
        <w:spacing w:line="500" w:lineRule="exact"/>
        <w:ind w:firstLine="640" w:firstLineChars="200"/>
        <w:rPr>
          <w:rFonts w:asciiTheme="minorEastAsia" w:hAnsiTheme="minorEastAsia" w:eastAsiaTheme="minorEastAsia"/>
          <w:bCs/>
          <w:sz w:val="32"/>
          <w:szCs w:val="32"/>
          <w:lang w:val="zh-CN"/>
        </w:rPr>
      </w:pPr>
      <w:r>
        <w:rPr>
          <w:rFonts w:hint="eastAsia" w:asciiTheme="minorEastAsia" w:hAnsiTheme="minorEastAsia" w:eastAsiaTheme="minorEastAsia"/>
          <w:bCs/>
          <w:sz w:val="32"/>
          <w:szCs w:val="32"/>
          <w:lang w:val="zh-CN"/>
        </w:rPr>
        <w:t>说明  ……………………………………………………1</w:t>
      </w:r>
    </w:p>
    <w:p>
      <w:pPr>
        <w:spacing w:line="500" w:lineRule="exact"/>
        <w:ind w:firstLine="640" w:firstLineChars="200"/>
        <w:rPr>
          <w:rFonts w:asciiTheme="minorEastAsia" w:hAnsiTheme="minorEastAsia" w:eastAsiaTheme="minorEastAsia"/>
          <w:bCs/>
          <w:sz w:val="32"/>
          <w:szCs w:val="32"/>
          <w:lang w:val="zh-CN"/>
        </w:rPr>
      </w:pPr>
    </w:p>
    <w:p>
      <w:pPr>
        <w:spacing w:line="500" w:lineRule="exact"/>
        <w:ind w:firstLine="640" w:firstLineChars="200"/>
        <w:rPr>
          <w:rFonts w:asciiTheme="minorEastAsia" w:hAnsiTheme="minorEastAsia" w:eastAsiaTheme="minorEastAsia"/>
          <w:bCs/>
          <w:sz w:val="32"/>
          <w:szCs w:val="32"/>
          <w:lang w:val="zh-CN"/>
        </w:rPr>
      </w:pPr>
      <w:r>
        <w:rPr>
          <w:rFonts w:hint="eastAsia" w:asciiTheme="minorEastAsia" w:hAnsiTheme="minorEastAsia" w:eastAsiaTheme="minorEastAsia"/>
          <w:bCs/>
          <w:sz w:val="32"/>
          <w:szCs w:val="32"/>
          <w:lang w:val="zh-CN"/>
        </w:rPr>
        <w:t>一、评价项目概述</w:t>
      </w:r>
      <w:r>
        <w:rPr>
          <w:rFonts w:asciiTheme="minorEastAsia" w:hAnsiTheme="minorEastAsia" w:eastAsiaTheme="minorEastAsia"/>
          <w:bCs/>
          <w:sz w:val="32"/>
          <w:szCs w:val="32"/>
          <w:lang w:val="zh-CN"/>
        </w:rPr>
        <w:t>……………………………………</w:t>
      </w:r>
      <w:r>
        <w:rPr>
          <w:rFonts w:hint="eastAsia" w:asciiTheme="minorEastAsia" w:hAnsiTheme="minorEastAsia" w:eastAsiaTheme="minorEastAsia"/>
          <w:bCs/>
          <w:sz w:val="32"/>
          <w:szCs w:val="32"/>
          <w:lang w:val="zh-CN"/>
        </w:rPr>
        <w:t xml:space="preserve"> 2</w:t>
      </w:r>
      <w:r>
        <w:rPr>
          <w:rFonts w:asciiTheme="minorEastAsia" w:hAnsiTheme="minorEastAsia" w:eastAsiaTheme="minorEastAsia"/>
          <w:bCs/>
          <w:sz w:val="32"/>
          <w:szCs w:val="32"/>
          <w:lang w:val="zh-CN"/>
        </w:rPr>
        <w:t>-</w:t>
      </w:r>
      <w:r>
        <w:rPr>
          <w:rFonts w:hint="eastAsia" w:asciiTheme="minorEastAsia" w:hAnsiTheme="minorEastAsia" w:eastAsiaTheme="minorEastAsia"/>
          <w:bCs/>
          <w:sz w:val="32"/>
          <w:szCs w:val="32"/>
          <w:lang w:val="zh-CN"/>
        </w:rPr>
        <w:t>3</w:t>
      </w:r>
    </w:p>
    <w:p>
      <w:pPr>
        <w:spacing w:line="500" w:lineRule="exact"/>
        <w:ind w:firstLine="640" w:firstLineChars="200"/>
        <w:rPr>
          <w:rFonts w:asciiTheme="minorEastAsia" w:hAnsiTheme="minorEastAsia" w:eastAsiaTheme="minorEastAsia"/>
          <w:bCs/>
          <w:sz w:val="32"/>
          <w:szCs w:val="32"/>
          <w:lang w:val="zh-CN"/>
        </w:rPr>
      </w:pPr>
    </w:p>
    <w:p>
      <w:pPr>
        <w:spacing w:line="500" w:lineRule="exact"/>
        <w:ind w:firstLine="640" w:firstLineChars="200"/>
        <w:rPr>
          <w:rFonts w:asciiTheme="minorEastAsia" w:hAnsiTheme="minorEastAsia" w:eastAsiaTheme="minorEastAsia"/>
          <w:bCs/>
          <w:sz w:val="32"/>
          <w:szCs w:val="32"/>
          <w:lang w:val="zh-CN"/>
        </w:rPr>
      </w:pPr>
      <w:r>
        <w:rPr>
          <w:rFonts w:hint="eastAsia" w:asciiTheme="minorEastAsia" w:hAnsiTheme="minorEastAsia" w:eastAsiaTheme="minorEastAsia"/>
          <w:bCs/>
          <w:sz w:val="32"/>
          <w:szCs w:val="32"/>
          <w:lang w:val="zh-CN"/>
        </w:rPr>
        <w:t>二、评价结论与绩效分析</w:t>
      </w:r>
      <w:r>
        <w:rPr>
          <w:rFonts w:asciiTheme="minorEastAsia" w:hAnsiTheme="minorEastAsia" w:eastAsiaTheme="minorEastAsia"/>
          <w:bCs/>
          <w:sz w:val="32"/>
          <w:szCs w:val="32"/>
          <w:lang w:val="zh-CN"/>
        </w:rPr>
        <w:t xml:space="preserve">…………………………… </w:t>
      </w:r>
      <w:r>
        <w:rPr>
          <w:rFonts w:hint="eastAsia" w:asciiTheme="minorEastAsia" w:hAnsiTheme="minorEastAsia" w:eastAsiaTheme="minorEastAsia"/>
          <w:bCs/>
          <w:sz w:val="32"/>
          <w:szCs w:val="32"/>
          <w:lang w:val="zh-CN"/>
        </w:rPr>
        <w:t>3</w:t>
      </w:r>
      <w:r>
        <w:rPr>
          <w:rFonts w:asciiTheme="minorEastAsia" w:hAnsiTheme="minorEastAsia" w:eastAsiaTheme="minorEastAsia"/>
          <w:bCs/>
          <w:sz w:val="32"/>
          <w:szCs w:val="32"/>
          <w:lang w:val="zh-CN"/>
        </w:rPr>
        <w:t>-</w:t>
      </w:r>
      <w:r>
        <w:rPr>
          <w:rFonts w:hint="eastAsia" w:asciiTheme="minorEastAsia" w:hAnsiTheme="minorEastAsia" w:eastAsiaTheme="minorEastAsia"/>
          <w:bCs/>
          <w:sz w:val="32"/>
          <w:szCs w:val="32"/>
          <w:lang w:val="zh-CN"/>
        </w:rPr>
        <w:t>5</w:t>
      </w:r>
    </w:p>
    <w:p>
      <w:pPr>
        <w:spacing w:line="500" w:lineRule="exact"/>
        <w:rPr>
          <w:rFonts w:asciiTheme="minorEastAsia" w:hAnsiTheme="minorEastAsia" w:eastAsiaTheme="minorEastAsia"/>
          <w:bCs/>
          <w:sz w:val="32"/>
          <w:szCs w:val="32"/>
          <w:lang w:val="zh-CN"/>
        </w:rPr>
      </w:pPr>
      <w:r>
        <w:rPr>
          <w:rFonts w:hint="eastAsia" w:asciiTheme="minorEastAsia" w:hAnsiTheme="minorEastAsia" w:eastAsiaTheme="minorEastAsia"/>
          <w:bCs/>
          <w:sz w:val="32"/>
          <w:szCs w:val="32"/>
          <w:lang w:val="zh-CN"/>
        </w:rPr>
        <w:t xml:space="preserve">    </w:t>
      </w:r>
    </w:p>
    <w:p>
      <w:pPr>
        <w:spacing w:line="500" w:lineRule="exact"/>
        <w:ind w:firstLine="640" w:firstLineChars="200"/>
        <w:rPr>
          <w:rFonts w:asciiTheme="minorEastAsia" w:hAnsiTheme="minorEastAsia" w:eastAsiaTheme="minorEastAsia"/>
          <w:bCs/>
          <w:sz w:val="32"/>
          <w:szCs w:val="32"/>
          <w:lang w:val="zh-CN"/>
        </w:rPr>
      </w:pPr>
      <w:r>
        <w:rPr>
          <w:rFonts w:hint="eastAsia" w:asciiTheme="minorEastAsia" w:hAnsiTheme="minorEastAsia" w:eastAsiaTheme="minorEastAsia"/>
          <w:bCs/>
          <w:sz w:val="32"/>
          <w:szCs w:val="32"/>
          <w:lang w:val="zh-CN"/>
        </w:rPr>
        <w:t>三、主要绩效</w:t>
      </w:r>
      <w:r>
        <w:rPr>
          <w:rFonts w:asciiTheme="minorEastAsia" w:hAnsiTheme="minorEastAsia" w:eastAsiaTheme="minorEastAsia"/>
          <w:bCs/>
          <w:sz w:val="32"/>
          <w:szCs w:val="32"/>
          <w:lang w:val="zh-CN"/>
        </w:rPr>
        <w:t>…………………………………………</w:t>
      </w:r>
      <w:r>
        <w:rPr>
          <w:rFonts w:hint="eastAsia" w:asciiTheme="minorEastAsia" w:hAnsiTheme="minorEastAsia" w:eastAsiaTheme="minorEastAsia"/>
          <w:bCs/>
          <w:sz w:val="32"/>
          <w:szCs w:val="32"/>
          <w:lang w:val="zh-CN"/>
        </w:rPr>
        <w:t xml:space="preserve"> 5</w:t>
      </w:r>
    </w:p>
    <w:p>
      <w:pPr>
        <w:spacing w:line="500" w:lineRule="exact"/>
        <w:ind w:firstLine="640" w:firstLineChars="200"/>
        <w:rPr>
          <w:rFonts w:asciiTheme="minorEastAsia" w:hAnsiTheme="minorEastAsia" w:eastAsiaTheme="minorEastAsia"/>
          <w:bCs/>
          <w:sz w:val="32"/>
          <w:szCs w:val="32"/>
          <w:lang w:val="zh-CN"/>
        </w:rPr>
      </w:pPr>
    </w:p>
    <w:p>
      <w:pPr>
        <w:spacing w:line="500" w:lineRule="exact"/>
        <w:ind w:firstLine="640" w:firstLineChars="200"/>
        <w:rPr>
          <w:rFonts w:asciiTheme="minorEastAsia" w:hAnsiTheme="minorEastAsia" w:eastAsiaTheme="minorEastAsia"/>
          <w:bCs/>
          <w:sz w:val="32"/>
          <w:szCs w:val="32"/>
          <w:lang w:val="zh-CN"/>
        </w:rPr>
      </w:pPr>
      <w:r>
        <w:rPr>
          <w:rFonts w:hint="eastAsia" w:asciiTheme="minorEastAsia" w:hAnsiTheme="minorEastAsia" w:eastAsiaTheme="minorEastAsia"/>
          <w:bCs/>
          <w:sz w:val="32"/>
          <w:szCs w:val="32"/>
          <w:lang w:val="zh-CN"/>
        </w:rPr>
        <w:t>四、存在问题</w:t>
      </w:r>
      <w:r>
        <w:rPr>
          <w:rFonts w:asciiTheme="minorEastAsia" w:hAnsiTheme="minorEastAsia" w:eastAsiaTheme="minorEastAsia"/>
          <w:bCs/>
          <w:sz w:val="32"/>
          <w:szCs w:val="32"/>
          <w:lang w:val="zh-CN"/>
        </w:rPr>
        <w:t>…………………………………………</w:t>
      </w:r>
      <w:r>
        <w:rPr>
          <w:rFonts w:hint="eastAsia" w:asciiTheme="minorEastAsia" w:hAnsiTheme="minorEastAsia" w:eastAsiaTheme="minorEastAsia"/>
          <w:bCs/>
          <w:sz w:val="32"/>
          <w:szCs w:val="32"/>
          <w:lang w:val="zh-CN"/>
        </w:rPr>
        <w:t xml:space="preserve"> 5-6</w:t>
      </w:r>
    </w:p>
    <w:p>
      <w:pPr>
        <w:spacing w:line="500" w:lineRule="exact"/>
        <w:ind w:firstLine="960" w:firstLineChars="300"/>
        <w:rPr>
          <w:rFonts w:asciiTheme="minorEastAsia" w:hAnsiTheme="minorEastAsia" w:eastAsiaTheme="minorEastAsia"/>
          <w:bCs/>
          <w:sz w:val="32"/>
          <w:szCs w:val="32"/>
          <w:lang w:val="zh-CN"/>
        </w:rPr>
      </w:pPr>
    </w:p>
    <w:p>
      <w:pPr>
        <w:spacing w:line="500" w:lineRule="exact"/>
        <w:ind w:firstLine="640" w:firstLineChars="200"/>
        <w:rPr>
          <w:rFonts w:asciiTheme="minorEastAsia" w:hAnsiTheme="minorEastAsia" w:eastAsiaTheme="minorEastAsia"/>
          <w:bCs/>
          <w:sz w:val="32"/>
          <w:szCs w:val="32"/>
          <w:lang w:val="zh-CN"/>
        </w:rPr>
      </w:pPr>
      <w:r>
        <w:rPr>
          <w:rFonts w:hint="eastAsia" w:asciiTheme="minorEastAsia" w:hAnsiTheme="minorEastAsia" w:eastAsiaTheme="minorEastAsia"/>
          <w:bCs/>
          <w:sz w:val="32"/>
          <w:szCs w:val="32"/>
          <w:lang w:val="zh-CN"/>
        </w:rPr>
        <w:t>五、相关建议</w:t>
      </w:r>
      <w:r>
        <w:rPr>
          <w:rFonts w:asciiTheme="minorEastAsia" w:hAnsiTheme="minorEastAsia" w:eastAsiaTheme="minorEastAsia"/>
          <w:bCs/>
          <w:sz w:val="32"/>
          <w:szCs w:val="32"/>
          <w:lang w:val="zh-CN"/>
        </w:rPr>
        <w:t>…………………………………………</w:t>
      </w:r>
      <w:r>
        <w:rPr>
          <w:rFonts w:hint="eastAsia" w:asciiTheme="minorEastAsia" w:hAnsiTheme="minorEastAsia" w:eastAsiaTheme="minorEastAsia"/>
          <w:bCs/>
          <w:sz w:val="32"/>
          <w:szCs w:val="32"/>
          <w:lang w:val="zh-CN"/>
        </w:rPr>
        <w:t xml:space="preserve"> 6</w:t>
      </w:r>
    </w:p>
    <w:p>
      <w:pPr>
        <w:spacing w:line="500" w:lineRule="exact"/>
        <w:ind w:firstLine="960" w:firstLineChars="300"/>
        <w:rPr>
          <w:rFonts w:asciiTheme="minorEastAsia" w:hAnsiTheme="minorEastAsia" w:eastAsiaTheme="minorEastAsia"/>
          <w:bCs/>
          <w:sz w:val="32"/>
          <w:szCs w:val="32"/>
          <w:lang w:val="zh-CN"/>
        </w:rPr>
      </w:pPr>
    </w:p>
    <w:p>
      <w:pPr>
        <w:spacing w:line="500" w:lineRule="exact"/>
        <w:ind w:firstLine="640" w:firstLineChars="200"/>
        <w:rPr>
          <w:rFonts w:asciiTheme="minorEastAsia" w:hAnsiTheme="minorEastAsia" w:eastAsiaTheme="minorEastAsia"/>
          <w:bCs/>
          <w:sz w:val="32"/>
          <w:szCs w:val="32"/>
          <w:lang w:val="zh-CN"/>
        </w:rPr>
      </w:pPr>
      <w:r>
        <w:rPr>
          <w:rFonts w:hint="eastAsia" w:asciiTheme="minorEastAsia" w:hAnsiTheme="minorEastAsia" w:eastAsiaTheme="minorEastAsia"/>
          <w:bCs/>
          <w:sz w:val="32"/>
          <w:szCs w:val="32"/>
          <w:lang w:val="zh-CN"/>
        </w:rPr>
        <w:t xml:space="preserve">六、其他需要说明的问题 </w:t>
      </w:r>
      <w:r>
        <w:rPr>
          <w:rFonts w:asciiTheme="minorEastAsia" w:hAnsiTheme="minorEastAsia" w:eastAsiaTheme="minorEastAsia"/>
          <w:bCs/>
          <w:sz w:val="32"/>
          <w:szCs w:val="32"/>
          <w:lang w:val="zh-CN"/>
        </w:rPr>
        <w:t>……………………………</w:t>
      </w:r>
      <w:r>
        <w:rPr>
          <w:rFonts w:hint="eastAsia" w:asciiTheme="minorEastAsia" w:hAnsiTheme="minorEastAsia" w:eastAsiaTheme="minorEastAsia"/>
          <w:bCs/>
          <w:sz w:val="32"/>
          <w:szCs w:val="32"/>
          <w:lang w:val="zh-CN"/>
        </w:rPr>
        <w:t>6-7</w:t>
      </w:r>
    </w:p>
    <w:p>
      <w:pPr>
        <w:spacing w:line="500" w:lineRule="exact"/>
        <w:ind w:firstLine="640" w:firstLineChars="200"/>
        <w:rPr>
          <w:rFonts w:asciiTheme="minorEastAsia" w:hAnsiTheme="minorEastAsia" w:eastAsiaTheme="minorEastAsia"/>
          <w:bCs/>
          <w:sz w:val="32"/>
          <w:szCs w:val="32"/>
          <w:lang w:val="zh-CN"/>
        </w:rPr>
      </w:pPr>
    </w:p>
    <w:p>
      <w:pPr>
        <w:spacing w:line="620" w:lineRule="exact"/>
        <w:rPr>
          <w:rFonts w:ascii="仿宋_GB2312" w:hAnsi="仿宋_GB2312" w:eastAsia="仿宋_GB2312"/>
          <w:spacing w:val="5"/>
          <w:kern w:val="0"/>
          <w:sz w:val="32"/>
          <w:szCs w:val="32"/>
        </w:rPr>
      </w:pPr>
      <w:bookmarkStart w:id="2" w:name="_GoBack"/>
      <w:bookmarkEnd w:id="2"/>
    </w:p>
    <w:p>
      <w:pPr>
        <w:spacing w:line="620" w:lineRule="exact"/>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sectPr>
          <w:footerReference r:id="rId4" w:type="default"/>
          <w:pgSz w:w="11906" w:h="16838"/>
          <w:pgMar w:top="1440" w:right="1800" w:bottom="1440" w:left="1800" w:header="851" w:footer="992" w:gutter="0"/>
          <w:pgNumType w:start="3" w:chapStyle="1"/>
          <w:cols w:space="425" w:num="1"/>
          <w:docGrid w:type="lines" w:linePitch="312" w:charSpace="0"/>
        </w:sectPr>
      </w:pPr>
    </w:p>
    <w:p>
      <w:pPr>
        <w:spacing w:before="156" w:beforeLines="50" w:after="156" w:afterLines="50" w:line="620" w:lineRule="exact"/>
        <w:jc w:val="center"/>
        <w:rPr>
          <w:rFonts w:ascii="仿宋" w:hAnsi="仿宋" w:eastAsia="仿宋"/>
          <w:b/>
          <w:spacing w:val="5"/>
          <w:kern w:val="0"/>
          <w:sz w:val="32"/>
          <w:szCs w:val="32"/>
        </w:rPr>
      </w:pPr>
      <w:r>
        <w:rPr>
          <w:rFonts w:hint="eastAsia" w:ascii="仿宋" w:hAnsi="仿宋" w:eastAsia="仿宋"/>
          <w:b/>
          <w:spacing w:val="5"/>
          <w:kern w:val="0"/>
          <w:sz w:val="32"/>
          <w:szCs w:val="32"/>
        </w:rPr>
        <w:t>说  明</w:t>
      </w:r>
    </w:p>
    <w:p>
      <w:pPr>
        <w:spacing w:before="156" w:beforeLines="50" w:after="156" w:afterLines="50" w:line="620" w:lineRule="exact"/>
        <w:ind w:firstLine="660" w:firstLineChars="200"/>
        <w:rPr>
          <w:rFonts w:ascii="仿宋" w:hAnsi="仿宋" w:eastAsia="仿宋"/>
          <w:spacing w:val="5"/>
          <w:kern w:val="0"/>
          <w:sz w:val="32"/>
          <w:szCs w:val="32"/>
        </w:rPr>
      </w:pPr>
      <w:r>
        <w:rPr>
          <w:rFonts w:hint="eastAsia" w:ascii="仿宋" w:hAnsi="仿宋" w:eastAsia="仿宋"/>
          <w:spacing w:val="5"/>
          <w:kern w:val="0"/>
          <w:sz w:val="32"/>
          <w:szCs w:val="32"/>
        </w:rPr>
        <w:t>为加强财政资金支出管理，促进资金主管部门树立绩效观念，进一步规范和完善财政资金支出绩效评价工作，始兴县财政局委托韶关中一会计师事务所有限公司（以下简称“中一事务所”）对始兴县民政局孤儿基本生活保障经费开展绩效评价。</w:t>
      </w:r>
    </w:p>
    <w:p>
      <w:pPr>
        <w:spacing w:before="156" w:beforeLines="50" w:after="156" w:afterLines="50" w:line="620" w:lineRule="exact"/>
        <w:ind w:firstLine="660" w:firstLineChars="200"/>
        <w:rPr>
          <w:rFonts w:ascii="仿宋" w:hAnsi="仿宋" w:eastAsia="仿宋"/>
          <w:spacing w:val="5"/>
          <w:kern w:val="0"/>
          <w:sz w:val="32"/>
          <w:szCs w:val="32"/>
        </w:rPr>
      </w:pPr>
      <w:r>
        <w:rPr>
          <w:rFonts w:hint="eastAsia" w:ascii="仿宋" w:hAnsi="仿宋" w:eastAsia="仿宋"/>
          <w:spacing w:val="5"/>
          <w:kern w:val="0"/>
          <w:sz w:val="32"/>
          <w:szCs w:val="32"/>
        </w:rPr>
        <w:t>2021年11月6日至2021年12月20日，中一事务所对始兴县民政局孤儿基本生活保障经费绩效评价。本次孤儿基本生活保障经费绩效评价工作遵循“客观、公正、科学、规范”的原则，根据始兴县民政局2020年初设定的绩效目标，设置合理的评价指标及标准，运用比较法、成本效益分析法和公众评判法等评价方法，对始兴县民政局孤儿基本生活保障经费支出的全过程及其履行职责的经济性、效率性、效果性和公平性进行评价。</w:t>
      </w:r>
    </w:p>
    <w:p>
      <w:pPr>
        <w:spacing w:before="156" w:beforeLines="50" w:after="156" w:afterLines="50" w:line="620" w:lineRule="exact"/>
        <w:ind w:firstLine="660" w:firstLineChars="200"/>
        <w:rPr>
          <w:rFonts w:ascii="仿宋" w:hAnsi="仿宋" w:eastAsia="仿宋"/>
          <w:spacing w:val="5"/>
          <w:kern w:val="0"/>
          <w:sz w:val="32"/>
          <w:szCs w:val="32"/>
        </w:rPr>
      </w:pPr>
      <w:r>
        <w:rPr>
          <w:rFonts w:hint="eastAsia" w:ascii="仿宋" w:hAnsi="仿宋" w:eastAsia="仿宋"/>
          <w:spacing w:val="5"/>
          <w:kern w:val="0"/>
          <w:sz w:val="32"/>
          <w:szCs w:val="32"/>
        </w:rPr>
        <w:t>本报告由中一事务所独立完成。</w:t>
      </w:r>
    </w:p>
    <w:p>
      <w:pPr>
        <w:spacing w:before="156" w:beforeLines="50" w:after="156" w:afterLines="50" w:line="620" w:lineRule="exact"/>
        <w:rPr>
          <w:rFonts w:ascii="仿宋" w:hAnsi="仿宋" w:eastAsia="仿宋"/>
          <w:b/>
          <w:spacing w:val="5"/>
          <w:kern w:val="0"/>
          <w:sz w:val="32"/>
          <w:szCs w:val="32"/>
        </w:rPr>
      </w:pPr>
    </w:p>
    <w:p>
      <w:pPr>
        <w:spacing w:before="156" w:beforeLines="50" w:after="156" w:afterLines="50" w:line="620" w:lineRule="exact"/>
        <w:rPr>
          <w:rFonts w:ascii="仿宋" w:hAnsi="仿宋" w:eastAsia="仿宋"/>
          <w:b/>
          <w:spacing w:val="5"/>
          <w:kern w:val="0"/>
          <w:sz w:val="32"/>
          <w:szCs w:val="32"/>
        </w:rPr>
      </w:pPr>
    </w:p>
    <w:p>
      <w:pPr>
        <w:spacing w:before="156" w:beforeLines="50" w:after="156" w:afterLines="50" w:line="620" w:lineRule="exact"/>
        <w:rPr>
          <w:rFonts w:ascii="仿宋" w:hAnsi="仿宋" w:eastAsia="仿宋"/>
          <w:b/>
          <w:spacing w:val="5"/>
          <w:kern w:val="0"/>
          <w:sz w:val="32"/>
          <w:szCs w:val="32"/>
        </w:rPr>
      </w:pPr>
    </w:p>
    <w:p>
      <w:pPr>
        <w:spacing w:before="156" w:beforeLines="50" w:after="156" w:afterLines="50" w:line="620" w:lineRule="exact"/>
        <w:rPr>
          <w:rFonts w:ascii="仿宋" w:hAnsi="仿宋" w:eastAsia="仿宋"/>
          <w:b/>
          <w:spacing w:val="5"/>
          <w:kern w:val="0"/>
          <w:sz w:val="32"/>
          <w:szCs w:val="32"/>
        </w:rPr>
      </w:pPr>
    </w:p>
    <w:p>
      <w:pPr>
        <w:spacing w:before="156" w:beforeLines="50" w:after="156" w:afterLines="50" w:line="620" w:lineRule="exact"/>
        <w:rPr>
          <w:rFonts w:ascii="仿宋" w:hAnsi="仿宋" w:eastAsia="仿宋"/>
          <w:b/>
          <w:spacing w:val="5"/>
          <w:kern w:val="0"/>
          <w:sz w:val="32"/>
          <w:szCs w:val="32"/>
        </w:rPr>
      </w:pPr>
    </w:p>
    <w:p>
      <w:pPr>
        <w:spacing w:before="156" w:beforeLines="50" w:after="156" w:afterLines="50" w:line="620" w:lineRule="exact"/>
        <w:rPr>
          <w:rFonts w:ascii="仿宋" w:hAnsi="仿宋" w:eastAsia="仿宋"/>
          <w:b/>
          <w:spacing w:val="5"/>
          <w:kern w:val="0"/>
          <w:sz w:val="32"/>
          <w:szCs w:val="32"/>
        </w:rPr>
      </w:pPr>
      <w:r>
        <w:rPr>
          <w:rFonts w:hint="eastAsia" w:ascii="仿宋" w:hAnsi="仿宋" w:eastAsia="仿宋"/>
          <w:b/>
          <w:spacing w:val="5"/>
          <w:kern w:val="0"/>
          <w:sz w:val="32"/>
          <w:szCs w:val="32"/>
        </w:rPr>
        <w:t>一、评价项目概述</w:t>
      </w:r>
    </w:p>
    <w:p>
      <w:pPr>
        <w:pStyle w:val="7"/>
        <w:numPr>
          <w:ilvl w:val="0"/>
          <w:numId w:val="1"/>
        </w:numPr>
        <w:spacing w:before="156" w:beforeLines="50" w:beforeAutospacing="0" w:after="156" w:afterLines="50" w:afterAutospacing="0" w:line="560" w:lineRule="exact"/>
        <w:rPr>
          <w:rFonts w:ascii="仿宋" w:hAnsi="仿宋" w:eastAsia="仿宋" w:cs="Times New Roman"/>
          <w:spacing w:val="5"/>
          <w:sz w:val="32"/>
          <w:szCs w:val="32"/>
        </w:rPr>
      </w:pPr>
      <w:bookmarkStart w:id="0" w:name="_Toc361387939"/>
      <w:bookmarkStart w:id="1" w:name="_Toc433101636"/>
      <w:r>
        <w:rPr>
          <w:rFonts w:hint="eastAsia" w:ascii="仿宋" w:hAnsi="仿宋" w:eastAsia="仿宋" w:cs="Times New Roman"/>
          <w:spacing w:val="5"/>
          <w:sz w:val="32"/>
          <w:szCs w:val="32"/>
        </w:rPr>
        <w:t>项目基本情况及经费预算安排</w:t>
      </w:r>
    </w:p>
    <w:p>
      <w:pPr>
        <w:pStyle w:val="7"/>
        <w:spacing w:before="156" w:beforeLines="50" w:beforeAutospacing="0" w:after="156" w:afterLines="5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为切实强化孤儿的基本生活保障力度，根据《广东省民政厅办公室关于做好2020年孤儿和事实无人抚养儿童基本生活保障工作的通知》（粤民办发〔2020〕7号）、《广东省民政厅广东省财政厅关于提高我省2018年至2020年孤儿基本生活最低养育标准的通知》（粤民发〔2018〕9号）等相关文件精神，</w:t>
      </w:r>
      <w:r>
        <w:rPr>
          <w:rFonts w:hint="eastAsia" w:ascii="仿宋" w:hAnsi="仿宋" w:eastAsia="仿宋" w:cs="仿宋_GB2312"/>
          <w:sz w:val="32"/>
          <w:szCs w:val="32"/>
        </w:rPr>
        <w:t>结合始兴县</w:t>
      </w:r>
      <w:r>
        <w:rPr>
          <w:rFonts w:hint="eastAsia" w:ascii="仿宋" w:hAnsi="仿宋" w:eastAsia="仿宋"/>
          <w:bCs/>
          <w:spacing w:val="5"/>
          <w:sz w:val="32"/>
          <w:szCs w:val="32"/>
        </w:rPr>
        <w:t>的实际情况，做出</w:t>
      </w:r>
      <w:r>
        <w:rPr>
          <w:rFonts w:hint="eastAsia" w:ascii="仿宋" w:hAnsi="仿宋" w:eastAsia="仿宋" w:cs="仿宋_GB2312"/>
          <w:sz w:val="32"/>
          <w:szCs w:val="32"/>
        </w:rPr>
        <w:t>了</w:t>
      </w:r>
      <w:r>
        <w:rPr>
          <w:rFonts w:hint="eastAsia" w:ascii="仿宋" w:hAnsi="仿宋" w:eastAsia="仿宋" w:cs="Times New Roman"/>
          <w:spacing w:val="5"/>
          <w:sz w:val="32"/>
          <w:szCs w:val="32"/>
        </w:rPr>
        <w:t>《关于调整我县孤儿和事实无人抚养儿童基本生活保障标准的通知》（始民联〔2020〕14号）。保障标准为：（一）福利机构集中供养孤儿基本生活保障标准为每人每月1820元；（二）散居孤儿基本生活保障标准为每人每月1100元。孤儿保障资金实行社会化形式发放，集中供养孤儿基本生活费划拨到养育机构集体账户，散居孤儿基本生活费直接划拨到孤儿或者孤儿监护人的银行账号。</w:t>
      </w:r>
    </w:p>
    <w:p>
      <w:pPr>
        <w:pStyle w:val="7"/>
        <w:spacing w:before="156" w:beforeLines="50" w:beforeAutospacing="0" w:after="156" w:afterLines="5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根据始兴县财政局下发的始财预﹝2020﹞1号文件《关于批复下达始兴县预算单位2020年预算指标的通知》。2020年下达始兴县民政局孤儿基本生活保障经费资金共计5万元，用于保障孤儿基本生活权益。</w:t>
      </w:r>
    </w:p>
    <w:p>
      <w:pPr>
        <w:pStyle w:val="7"/>
        <w:numPr>
          <w:ilvl w:val="0"/>
          <w:numId w:val="1"/>
        </w:numPr>
        <w:spacing w:before="156" w:beforeLines="50" w:beforeAutospacing="0" w:after="156" w:afterLines="50" w:afterAutospacing="0" w:line="560" w:lineRule="exact"/>
        <w:rPr>
          <w:rFonts w:ascii="仿宋" w:hAnsi="仿宋" w:eastAsia="仿宋" w:cs="Times New Roman"/>
          <w:spacing w:val="5"/>
          <w:sz w:val="32"/>
          <w:szCs w:val="32"/>
        </w:rPr>
      </w:pPr>
      <w:r>
        <w:rPr>
          <w:rFonts w:hint="eastAsia" w:ascii="仿宋" w:hAnsi="仿宋" w:eastAsia="仿宋" w:cs="Times New Roman"/>
          <w:spacing w:val="5"/>
          <w:sz w:val="32"/>
          <w:szCs w:val="32"/>
        </w:rPr>
        <w:t>绩效目标</w:t>
      </w:r>
    </w:p>
    <w:p>
      <w:pPr>
        <w:pStyle w:val="7"/>
        <w:spacing w:before="156" w:beforeLines="50" w:beforeAutospacing="0" w:after="156" w:afterLines="50" w:afterAutospacing="0" w:line="560" w:lineRule="exact"/>
        <w:rPr>
          <w:rFonts w:ascii="仿宋" w:hAnsi="仿宋" w:eastAsia="仿宋" w:cs="Times New Roman"/>
          <w:spacing w:val="5"/>
          <w:sz w:val="32"/>
          <w:szCs w:val="32"/>
        </w:rPr>
      </w:pPr>
      <w:r>
        <w:rPr>
          <w:rFonts w:hint="eastAsia" w:ascii="仿宋" w:hAnsi="仿宋" w:eastAsia="仿宋" w:cs="Times New Roman"/>
          <w:spacing w:val="5"/>
          <w:sz w:val="32"/>
          <w:szCs w:val="32"/>
        </w:rPr>
        <w:t xml:space="preserve">    按时按月足额发放补助，解决孤儿的基本生活问题，落实孤儿基本生活最低养育标准自然增长机制，确保符合条件的孤儿实现应保尽保、受助及时。</w:t>
      </w:r>
    </w:p>
    <w:p>
      <w:pPr>
        <w:pStyle w:val="7"/>
        <w:numPr>
          <w:ilvl w:val="0"/>
          <w:numId w:val="1"/>
        </w:numPr>
        <w:spacing w:before="156" w:beforeLines="50" w:beforeAutospacing="0" w:after="156" w:afterLines="50" w:afterAutospacing="0" w:line="560" w:lineRule="exact"/>
        <w:rPr>
          <w:rFonts w:ascii="仿宋" w:hAnsi="仿宋" w:eastAsia="仿宋" w:cs="Times New Roman"/>
          <w:spacing w:val="5"/>
          <w:sz w:val="32"/>
          <w:szCs w:val="32"/>
        </w:rPr>
      </w:pPr>
      <w:r>
        <w:rPr>
          <w:rFonts w:hint="eastAsia" w:ascii="仿宋" w:hAnsi="仿宋" w:eastAsia="仿宋" w:cs="Times New Roman"/>
          <w:spacing w:val="5"/>
          <w:sz w:val="32"/>
          <w:szCs w:val="32"/>
        </w:rPr>
        <w:t>评价金额及支出情况</w:t>
      </w:r>
    </w:p>
    <w:p>
      <w:pPr>
        <w:pStyle w:val="7"/>
        <w:spacing w:before="156" w:beforeLines="50" w:beforeAutospacing="0" w:after="156" w:afterLines="50" w:afterAutospacing="0" w:line="560" w:lineRule="exact"/>
        <w:ind w:firstLine="640" w:firstLineChars="200"/>
        <w:rPr>
          <w:rFonts w:ascii="仿宋" w:hAnsi="仿宋" w:eastAsia="仿宋"/>
          <w:sz w:val="32"/>
          <w:szCs w:val="32"/>
        </w:rPr>
      </w:pPr>
      <w:r>
        <w:rPr>
          <w:rFonts w:hint="eastAsia" w:ascii="仿宋" w:hAnsi="仿宋" w:eastAsia="仿宋" w:cs="仿宋"/>
          <w:sz w:val="32"/>
          <w:szCs w:val="32"/>
        </w:rPr>
        <w:t>始兴县民政局关于孤儿基本生活保障经费自评资料中预算安排县财政资金共计50,000.00元。实际支出50,000.00元，资金支出率100%。详见《项目资金使用明细表》（附件4）。</w:t>
      </w:r>
    </w:p>
    <w:p>
      <w:pPr>
        <w:pStyle w:val="7"/>
        <w:spacing w:before="156" w:beforeLines="50" w:beforeAutospacing="0" w:after="156" w:afterLines="50" w:afterAutospacing="0" w:line="560" w:lineRule="exact"/>
        <w:ind w:firstLine="663" w:firstLineChars="200"/>
        <w:rPr>
          <w:rFonts w:ascii="仿宋" w:hAnsi="仿宋" w:eastAsia="仿宋" w:cs="Times New Roman"/>
          <w:b/>
          <w:spacing w:val="5"/>
          <w:sz w:val="32"/>
          <w:szCs w:val="32"/>
        </w:rPr>
      </w:pPr>
      <w:r>
        <w:rPr>
          <w:rFonts w:hint="eastAsia" w:ascii="仿宋" w:hAnsi="仿宋" w:eastAsia="仿宋" w:cs="Times New Roman"/>
          <w:b/>
          <w:spacing w:val="5"/>
          <w:sz w:val="32"/>
          <w:szCs w:val="32"/>
        </w:rPr>
        <w:t>二、评价结论与绩效分析</w:t>
      </w:r>
    </w:p>
    <w:p>
      <w:pPr>
        <w:pStyle w:val="7"/>
        <w:spacing w:before="156" w:beforeLines="50" w:beforeAutospacing="0" w:after="156" w:afterLines="50" w:afterAutospacing="0" w:line="560" w:lineRule="exact"/>
        <w:ind w:firstLine="663" w:firstLineChars="200"/>
        <w:jc w:val="center"/>
        <w:rPr>
          <w:rFonts w:ascii="仿宋" w:hAnsi="仿宋" w:eastAsia="仿宋" w:cs="Times New Roman"/>
          <w:b/>
          <w:spacing w:val="5"/>
          <w:sz w:val="32"/>
          <w:szCs w:val="32"/>
        </w:rPr>
      </w:pPr>
      <w:r>
        <w:rPr>
          <w:rFonts w:hint="eastAsia" w:ascii="仿宋" w:hAnsi="仿宋" w:eastAsia="仿宋" w:cs="Times New Roman"/>
          <w:b/>
          <w:spacing w:val="5"/>
          <w:sz w:val="32"/>
          <w:szCs w:val="32"/>
        </w:rPr>
        <w:t>评审得分情况汇总表</w:t>
      </w:r>
    </w:p>
    <w:tbl>
      <w:tblPr>
        <w:tblStyle w:val="8"/>
        <w:tblW w:w="8569" w:type="dxa"/>
        <w:tblInd w:w="93" w:type="dxa"/>
        <w:tblLayout w:type="autofit"/>
        <w:tblCellMar>
          <w:top w:w="0" w:type="dxa"/>
          <w:left w:w="108" w:type="dxa"/>
          <w:bottom w:w="0" w:type="dxa"/>
          <w:right w:w="108" w:type="dxa"/>
        </w:tblCellMar>
      </w:tblPr>
      <w:tblGrid>
        <w:gridCol w:w="2701"/>
        <w:gridCol w:w="1787"/>
        <w:gridCol w:w="1827"/>
        <w:gridCol w:w="2254"/>
      </w:tblGrid>
      <w:tr>
        <w:tblPrEx>
          <w:tblCellMar>
            <w:top w:w="0" w:type="dxa"/>
            <w:left w:w="108" w:type="dxa"/>
            <w:bottom w:w="0" w:type="dxa"/>
            <w:right w:w="108" w:type="dxa"/>
          </w:tblCellMar>
        </w:tblPrEx>
        <w:trPr>
          <w:trHeight w:val="541" w:hRule="atLeast"/>
        </w:trPr>
        <w:tc>
          <w:tcPr>
            <w:tcW w:w="27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评价指标</w:t>
            </w:r>
          </w:p>
        </w:tc>
        <w:tc>
          <w:tcPr>
            <w:tcW w:w="178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总分值</w:t>
            </w:r>
          </w:p>
        </w:tc>
        <w:tc>
          <w:tcPr>
            <w:tcW w:w="182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评审得分</w:t>
            </w:r>
          </w:p>
        </w:tc>
        <w:tc>
          <w:tcPr>
            <w:tcW w:w="225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得分率</w:t>
            </w:r>
          </w:p>
        </w:tc>
      </w:tr>
      <w:tr>
        <w:tblPrEx>
          <w:tblCellMar>
            <w:top w:w="0" w:type="dxa"/>
            <w:left w:w="108" w:type="dxa"/>
            <w:bottom w:w="0" w:type="dxa"/>
            <w:right w:w="108" w:type="dxa"/>
          </w:tblCellMar>
        </w:tblPrEx>
        <w:trPr>
          <w:trHeight w:val="541" w:hRule="atLeast"/>
        </w:trPr>
        <w:tc>
          <w:tcPr>
            <w:tcW w:w="2701" w:type="dxa"/>
            <w:tcBorders>
              <w:top w:val="nil"/>
              <w:left w:val="single" w:color="auto" w:sz="4" w:space="0"/>
              <w:bottom w:val="single" w:color="auto" w:sz="4" w:space="0"/>
              <w:right w:val="single" w:color="auto" w:sz="4" w:space="0"/>
            </w:tcBorders>
            <w:shd w:val="clear" w:color="auto" w:fill="auto"/>
            <w:noWrap/>
            <w:vAlign w:val="center"/>
          </w:tcPr>
          <w:p>
            <w:pPr>
              <w:rPr>
                <w:rFonts w:ascii="仿宋" w:hAnsi="仿宋" w:eastAsia="仿宋"/>
                <w:sz w:val="32"/>
                <w:szCs w:val="32"/>
              </w:rPr>
            </w:pPr>
            <w:r>
              <w:rPr>
                <w:rFonts w:hint="eastAsia" w:ascii="仿宋" w:hAnsi="仿宋" w:eastAsia="仿宋"/>
                <w:sz w:val="32"/>
                <w:szCs w:val="32"/>
              </w:rPr>
              <w:t>一、投入合理性</w:t>
            </w:r>
          </w:p>
        </w:tc>
        <w:tc>
          <w:tcPr>
            <w:tcW w:w="178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20</w:t>
            </w:r>
          </w:p>
        </w:tc>
        <w:tc>
          <w:tcPr>
            <w:tcW w:w="182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19</w:t>
            </w:r>
          </w:p>
        </w:tc>
        <w:tc>
          <w:tcPr>
            <w:tcW w:w="225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95%</w:t>
            </w:r>
          </w:p>
        </w:tc>
      </w:tr>
      <w:tr>
        <w:tblPrEx>
          <w:tblCellMar>
            <w:top w:w="0" w:type="dxa"/>
            <w:left w:w="108" w:type="dxa"/>
            <w:bottom w:w="0" w:type="dxa"/>
            <w:right w:w="108" w:type="dxa"/>
          </w:tblCellMar>
        </w:tblPrEx>
        <w:trPr>
          <w:trHeight w:val="541" w:hRule="atLeast"/>
        </w:trPr>
        <w:tc>
          <w:tcPr>
            <w:tcW w:w="2701" w:type="dxa"/>
            <w:tcBorders>
              <w:top w:val="nil"/>
              <w:left w:val="single" w:color="auto" w:sz="4" w:space="0"/>
              <w:bottom w:val="single" w:color="auto" w:sz="4" w:space="0"/>
              <w:right w:val="single" w:color="auto" w:sz="4" w:space="0"/>
            </w:tcBorders>
            <w:shd w:val="clear" w:color="auto" w:fill="auto"/>
            <w:noWrap/>
            <w:vAlign w:val="center"/>
          </w:tcPr>
          <w:p>
            <w:pPr>
              <w:rPr>
                <w:rFonts w:ascii="仿宋" w:hAnsi="仿宋" w:eastAsia="仿宋"/>
                <w:sz w:val="32"/>
                <w:szCs w:val="32"/>
              </w:rPr>
            </w:pPr>
            <w:r>
              <w:rPr>
                <w:rFonts w:hint="eastAsia" w:ascii="仿宋" w:hAnsi="仿宋" w:eastAsia="仿宋"/>
                <w:sz w:val="32"/>
                <w:szCs w:val="32"/>
              </w:rPr>
              <w:t>二、过程管理有效性</w:t>
            </w:r>
          </w:p>
        </w:tc>
        <w:tc>
          <w:tcPr>
            <w:tcW w:w="178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20</w:t>
            </w:r>
          </w:p>
        </w:tc>
        <w:tc>
          <w:tcPr>
            <w:tcW w:w="182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19</w:t>
            </w:r>
          </w:p>
        </w:tc>
        <w:tc>
          <w:tcPr>
            <w:tcW w:w="225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95%</w:t>
            </w:r>
          </w:p>
        </w:tc>
      </w:tr>
      <w:tr>
        <w:tblPrEx>
          <w:tblCellMar>
            <w:top w:w="0" w:type="dxa"/>
            <w:left w:w="108" w:type="dxa"/>
            <w:bottom w:w="0" w:type="dxa"/>
            <w:right w:w="108" w:type="dxa"/>
          </w:tblCellMar>
        </w:tblPrEx>
        <w:trPr>
          <w:trHeight w:val="541" w:hRule="atLeast"/>
        </w:trPr>
        <w:tc>
          <w:tcPr>
            <w:tcW w:w="2701" w:type="dxa"/>
            <w:tcBorders>
              <w:top w:val="nil"/>
              <w:left w:val="single" w:color="auto" w:sz="4" w:space="0"/>
              <w:bottom w:val="single" w:color="auto" w:sz="4" w:space="0"/>
              <w:right w:val="single" w:color="auto" w:sz="4" w:space="0"/>
            </w:tcBorders>
            <w:shd w:val="clear" w:color="auto" w:fill="auto"/>
            <w:noWrap/>
            <w:vAlign w:val="center"/>
          </w:tcPr>
          <w:p>
            <w:pPr>
              <w:rPr>
                <w:rFonts w:ascii="仿宋" w:hAnsi="仿宋" w:eastAsia="仿宋"/>
                <w:sz w:val="32"/>
                <w:szCs w:val="32"/>
              </w:rPr>
            </w:pPr>
            <w:r>
              <w:rPr>
                <w:rFonts w:hint="eastAsia" w:ascii="仿宋" w:hAnsi="仿宋" w:eastAsia="仿宋"/>
                <w:sz w:val="32"/>
                <w:szCs w:val="32"/>
              </w:rPr>
              <w:t>三、产出质量</w:t>
            </w:r>
          </w:p>
        </w:tc>
        <w:tc>
          <w:tcPr>
            <w:tcW w:w="178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30</w:t>
            </w:r>
          </w:p>
        </w:tc>
        <w:tc>
          <w:tcPr>
            <w:tcW w:w="182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30</w:t>
            </w:r>
          </w:p>
        </w:tc>
        <w:tc>
          <w:tcPr>
            <w:tcW w:w="225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100%</w:t>
            </w:r>
          </w:p>
        </w:tc>
      </w:tr>
      <w:tr>
        <w:tblPrEx>
          <w:tblCellMar>
            <w:top w:w="0" w:type="dxa"/>
            <w:left w:w="108" w:type="dxa"/>
            <w:bottom w:w="0" w:type="dxa"/>
            <w:right w:w="108" w:type="dxa"/>
          </w:tblCellMar>
        </w:tblPrEx>
        <w:trPr>
          <w:trHeight w:val="541" w:hRule="atLeast"/>
        </w:trPr>
        <w:tc>
          <w:tcPr>
            <w:tcW w:w="2701" w:type="dxa"/>
            <w:tcBorders>
              <w:top w:val="nil"/>
              <w:left w:val="single" w:color="auto" w:sz="4" w:space="0"/>
              <w:bottom w:val="single" w:color="auto" w:sz="4" w:space="0"/>
              <w:right w:val="single" w:color="auto" w:sz="4" w:space="0"/>
            </w:tcBorders>
            <w:shd w:val="clear" w:color="auto" w:fill="auto"/>
            <w:noWrap/>
            <w:vAlign w:val="center"/>
          </w:tcPr>
          <w:p>
            <w:pPr>
              <w:rPr>
                <w:rFonts w:ascii="仿宋" w:hAnsi="仿宋" w:eastAsia="仿宋"/>
                <w:sz w:val="32"/>
                <w:szCs w:val="32"/>
              </w:rPr>
            </w:pPr>
            <w:r>
              <w:rPr>
                <w:rFonts w:hint="eastAsia" w:ascii="仿宋" w:hAnsi="仿宋" w:eastAsia="仿宋"/>
                <w:sz w:val="32"/>
                <w:szCs w:val="32"/>
              </w:rPr>
              <w:t>四、效益实现度</w:t>
            </w:r>
          </w:p>
        </w:tc>
        <w:tc>
          <w:tcPr>
            <w:tcW w:w="178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30</w:t>
            </w:r>
          </w:p>
        </w:tc>
        <w:tc>
          <w:tcPr>
            <w:tcW w:w="182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30</w:t>
            </w:r>
          </w:p>
        </w:tc>
        <w:tc>
          <w:tcPr>
            <w:tcW w:w="225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100%</w:t>
            </w:r>
          </w:p>
        </w:tc>
      </w:tr>
      <w:tr>
        <w:tblPrEx>
          <w:tblCellMar>
            <w:top w:w="0" w:type="dxa"/>
            <w:left w:w="108" w:type="dxa"/>
            <w:bottom w:w="0" w:type="dxa"/>
            <w:right w:w="108" w:type="dxa"/>
          </w:tblCellMar>
        </w:tblPrEx>
        <w:trPr>
          <w:trHeight w:val="541" w:hRule="atLeast"/>
        </w:trPr>
        <w:tc>
          <w:tcPr>
            <w:tcW w:w="270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合计</w:t>
            </w:r>
          </w:p>
        </w:tc>
        <w:tc>
          <w:tcPr>
            <w:tcW w:w="178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100</w:t>
            </w:r>
          </w:p>
        </w:tc>
        <w:tc>
          <w:tcPr>
            <w:tcW w:w="182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98</w:t>
            </w:r>
          </w:p>
        </w:tc>
        <w:tc>
          <w:tcPr>
            <w:tcW w:w="225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98%</w:t>
            </w:r>
          </w:p>
        </w:tc>
      </w:tr>
    </w:tbl>
    <w:p>
      <w:pPr>
        <w:pStyle w:val="7"/>
        <w:spacing w:before="156" w:beforeLines="50" w:beforeAutospacing="0" w:after="156" w:afterLines="50" w:afterAutospacing="0" w:line="560" w:lineRule="exact"/>
        <w:rPr>
          <w:rFonts w:ascii="仿宋" w:hAnsi="仿宋" w:eastAsia="仿宋" w:cs="Times New Roman"/>
          <w:spacing w:val="5"/>
          <w:sz w:val="32"/>
          <w:szCs w:val="32"/>
        </w:rPr>
      </w:pPr>
    </w:p>
    <w:p>
      <w:pPr>
        <w:pStyle w:val="7"/>
        <w:spacing w:before="156" w:beforeLines="50" w:beforeAutospacing="0" w:after="156" w:afterLines="5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（一）总体结论</w:t>
      </w:r>
    </w:p>
    <w:p>
      <w:pPr>
        <w:pStyle w:val="7"/>
        <w:spacing w:before="156" w:beforeLines="50" w:beforeAutospacing="0" w:after="156" w:afterLines="5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根据《始兴县县级全面实施预算绩效管理工作方案》（始财［2019］67号）、《始兴县财政支出项目资金绩效评价办法（试行）（始府办［2011］24号）的有关要求，通过对项目主管部门、资金使用单位提供的相关材料进行书面评价，总体看来，项目主管单位对孤儿基本生活保障项目完成情况较好，在资金投入上逐年提高保障水平，有效保障和提升孤儿的基本生活权益。但在项目实施过程中制度完整、监督管理方面存在一定的问题。本项目自评得分为100分，评审得分为98分，等级为“优”。</w:t>
      </w:r>
    </w:p>
    <w:p>
      <w:pPr>
        <w:pStyle w:val="7"/>
        <w:spacing w:before="156" w:beforeLines="50" w:beforeAutospacing="0" w:after="156" w:afterLines="5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（二）各项目评价指标分析</w:t>
      </w:r>
    </w:p>
    <w:p>
      <w:pPr>
        <w:pStyle w:val="7"/>
        <w:spacing w:before="156" w:beforeLines="50" w:beforeAutospacing="0" w:after="156" w:afterLines="5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1、投入合理性分析</w:t>
      </w:r>
    </w:p>
    <w:p>
      <w:pPr>
        <w:pStyle w:val="7"/>
        <w:spacing w:before="156" w:beforeLines="50" w:beforeAutospacing="0" w:after="156" w:afterLines="5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该指标分值20分，评审得分19分，得分率为95%。从评价指标得分情况看，目标设置和资金到位、资金分配等方面完成较好，得分率为100%。在论证决策方面，主要是待遇标准确定没有具体的测算依据，合理性、充分性不足。在保障措施方面，主要是制度不完善。</w:t>
      </w:r>
    </w:p>
    <w:p>
      <w:pPr>
        <w:pStyle w:val="7"/>
        <w:spacing w:before="156" w:beforeLines="50" w:beforeAutospacing="0" w:after="156" w:afterLines="5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2、过程分析</w:t>
      </w:r>
    </w:p>
    <w:p>
      <w:pPr>
        <w:pStyle w:val="7"/>
        <w:spacing w:before="156" w:beforeLines="50" w:after="156" w:afterLines="5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该指标分值20分，评审得分19分，得分率为95%。从评价指标得分情况看，在资金支出率、资金支出规范性、程序规范性方面做得较好，得分率为100%。在监管有效性方面，主管部门未能提供对项目资金使用情况进行监督检查的有关材料，自我监管工作力度还有待进一步加强。</w:t>
      </w:r>
    </w:p>
    <w:p>
      <w:pPr>
        <w:pStyle w:val="7"/>
        <w:spacing w:before="156" w:beforeLines="50" w:beforeAutospacing="0" w:after="156" w:afterLines="5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3、产出分析</w:t>
      </w:r>
    </w:p>
    <w:p>
      <w:pPr>
        <w:pStyle w:val="7"/>
        <w:spacing w:before="156" w:beforeLines="50" w:beforeAutospacing="0" w:after="156" w:afterLines="5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该指标分值30分，评审得分30分，得分率为100%。产出中预算控制和成本控制得分情况较好，预算未发现超出预算计划的情况；效率性控制情况良好，按月及时足额发放基本生活保障金。</w:t>
      </w:r>
    </w:p>
    <w:p>
      <w:pPr>
        <w:pStyle w:val="7"/>
        <w:spacing w:before="156" w:beforeLines="50" w:beforeAutospacing="0" w:after="156" w:afterLines="5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4、效益分析</w:t>
      </w:r>
    </w:p>
    <w:p>
      <w:pPr>
        <w:pStyle w:val="7"/>
        <w:spacing w:before="156" w:beforeLines="50" w:after="156" w:afterLines="5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该指标分值30分，评审得分30分，得分率为100%。经济效益、社会效益、生态效益、可持续发展和服务对象满意度等五个方面效果良好，五项相关指标得分率均为100%。</w:t>
      </w:r>
    </w:p>
    <w:p>
      <w:pPr>
        <w:pStyle w:val="7"/>
        <w:spacing w:before="156" w:beforeLines="50" w:beforeAutospacing="0" w:after="156" w:afterLines="5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5、综合分析</w:t>
      </w:r>
    </w:p>
    <w:p>
      <w:pPr>
        <w:pStyle w:val="7"/>
        <w:spacing w:before="156" w:beforeLines="50" w:after="156" w:afterLines="5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结合投入、过程、产出、效益四方面综合对孤儿基本生活保障经费使用情况进行比较分析，评价工作组认为主管部门能够按照省、县政府相关文件要求，较好地贯彻执行，确保孤儿基本生活保障金按时足额发放，切实把孤儿基本生活费全部用于孤儿身上，取得较好地社会效益。但是保障措施投入不足，监督管理水平有待进一步提高，对资金的分配合理性、支出规范性以及下一年度的绩效指标设置都有重要的指导意义。</w:t>
      </w:r>
    </w:p>
    <w:p>
      <w:pPr>
        <w:pStyle w:val="7"/>
        <w:spacing w:before="156" w:beforeLines="50" w:after="156" w:afterLines="5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三、主要绩效</w:t>
      </w:r>
    </w:p>
    <w:p>
      <w:pPr>
        <w:pStyle w:val="7"/>
        <w:spacing w:before="156" w:beforeLines="50" w:after="156" w:afterLines="5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孤儿基本生活最低养育标准等提升标准政策落实到位，保障水平持续提升，并确保了资金足额发放，符合条件的孤儿实现了应保尽保,孤儿对象保障率达到100%。</w:t>
      </w:r>
    </w:p>
    <w:p>
      <w:pPr>
        <w:pStyle w:val="7"/>
        <w:spacing w:before="156" w:beforeLines="50" w:after="156" w:afterLines="5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四、存在问题</w:t>
      </w:r>
    </w:p>
    <w:p>
      <w:pPr>
        <w:pStyle w:val="7"/>
        <w:spacing w:before="156" w:beforeLines="50" w:after="156" w:afterLines="5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项目未制定相应的项目管理制度； 对福利院的监管方面，缺乏有力举措。未制定孤儿养育保障资金具体使用细则。未明确福利院养育资金如何分配，未明确不同年龄阶段儿童要达到的养育标准。</w:t>
      </w:r>
    </w:p>
    <w:bookmarkEnd w:id="0"/>
    <w:bookmarkEnd w:id="1"/>
    <w:p>
      <w:pPr>
        <w:pStyle w:val="7"/>
        <w:spacing w:before="156" w:beforeLines="50" w:after="156" w:afterLines="5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五、相关建议</w:t>
      </w:r>
    </w:p>
    <w:p>
      <w:pPr>
        <w:pStyle w:val="7"/>
        <w:spacing w:before="156" w:beforeLines="50" w:after="156" w:afterLines="5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一）加强困境儿童保障工作，完善孤儿基本生活保障制度设计，出台专项资金管理办法，完善相关具体实施方案，健全监督检查机制，除了关注孤儿每月增减员状况，提高资金发放准确性，更应该关注资金发放之后的使用保障情况，有效提高孤儿生活保障资金的使用绩效。</w:t>
      </w:r>
    </w:p>
    <w:p>
      <w:pPr>
        <w:pStyle w:val="7"/>
        <w:spacing w:before="156" w:beforeLines="50" w:after="156" w:afterLines="5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二）加强对福利院的监管，首先要制定明确的孤儿养育标准，参照财政部发布的孤儿养育标准，每月孤儿的资金分配比例，制定餐标，各地福利院制定每日菜单及营养补充清单，需配备的床、被褥等日常用品列明清单及购置标准。其次规范其会计核算及费用支出合规性，各项会计凭证应规范保存，及时入账，支出附件要明晰。三是完善孤儿信息登记系统，建立动态跟踪机制，用制度规定对散居孤儿的定期回访制度。</w:t>
      </w:r>
    </w:p>
    <w:p>
      <w:pPr>
        <w:pStyle w:val="7"/>
        <w:spacing w:before="156" w:beforeLines="50" w:after="156" w:afterLines="50" w:line="560" w:lineRule="exact"/>
        <w:ind w:firstLine="663" w:firstLineChars="200"/>
        <w:rPr>
          <w:rFonts w:ascii="仿宋" w:hAnsi="仿宋" w:eastAsia="仿宋" w:cs="Times New Roman"/>
          <w:b/>
          <w:spacing w:val="5"/>
          <w:sz w:val="32"/>
          <w:szCs w:val="32"/>
        </w:rPr>
      </w:pPr>
      <w:r>
        <w:rPr>
          <w:rFonts w:hint="eastAsia" w:ascii="仿宋" w:hAnsi="仿宋" w:eastAsia="仿宋" w:cs="Times New Roman"/>
          <w:b/>
          <w:spacing w:val="5"/>
          <w:sz w:val="32"/>
          <w:szCs w:val="32"/>
        </w:rPr>
        <w:t>六、其他需要说明的问题</w:t>
      </w:r>
    </w:p>
    <w:p>
      <w:pPr>
        <w:pStyle w:val="7"/>
        <w:spacing w:before="156" w:beforeLines="50" w:after="156" w:afterLines="5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（一）有关评价责任的说明</w:t>
      </w:r>
    </w:p>
    <w:p>
      <w:pPr>
        <w:pStyle w:val="7"/>
        <w:spacing w:before="156" w:beforeLines="50" w:after="156" w:afterLines="5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始兴县民政局的责任是:提供与本次绩效评价相关的资料和数据，并对其真实性、准确性、完整性负责；</w:t>
      </w:r>
    </w:p>
    <w:p>
      <w:pPr>
        <w:pStyle w:val="7"/>
        <w:spacing w:before="156" w:beforeLines="50" w:after="156" w:afterLines="5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 xml:space="preserve">中一事务所的责任是：在绩效评价工作中遵循绩效评价基本原则，采用科学的评价方法，实施合理的评价程序，保证评价结论的客观、公正。 </w:t>
      </w:r>
    </w:p>
    <w:p>
      <w:pPr>
        <w:pStyle w:val="7"/>
        <w:spacing w:before="156" w:beforeLines="50" w:after="156" w:afterLines="5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（二）本次绩效评价的局限性</w:t>
      </w:r>
    </w:p>
    <w:p>
      <w:pPr>
        <w:pStyle w:val="7"/>
        <w:spacing w:before="156" w:beforeLines="50" w:after="156" w:afterLines="5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1、由于时间关系，中一事务所采取抽样的方式核查，样本点绩效优劣直接关系到整体绩效综合评分。</w:t>
      </w:r>
    </w:p>
    <w:p>
      <w:pPr>
        <w:pStyle w:val="7"/>
        <w:spacing w:before="156" w:beforeLines="50" w:after="156" w:afterLines="5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2、中一事务所的评价依据是被评价单位提供的资料和基础数据，其真实性、完整性、准确性受到资料提供方制约。</w:t>
      </w:r>
    </w:p>
    <w:sectPr>
      <w:footerReference r:id="rId5" w:type="default"/>
      <w:pgSz w:w="11906" w:h="16838"/>
      <w:pgMar w:top="1440" w:right="1800" w:bottom="1440" w:left="1800" w:header="851" w:footer="992"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0932502"/>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E92996"/>
    <w:multiLevelType w:val="multilevel"/>
    <w:tmpl w:val="58E92996"/>
    <w:lvl w:ilvl="0" w:tentative="0">
      <w:start w:val="1"/>
      <w:numFmt w:val="japaneseCounting"/>
      <w:lvlText w:val="（%1）"/>
      <w:lvlJc w:val="left"/>
      <w:pPr>
        <w:ind w:left="1740" w:hanging="1080"/>
      </w:pPr>
      <w:rPr>
        <w:rFonts w:hint="default"/>
        <w:lang w:val="en-US"/>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E6"/>
    <w:rsid w:val="0000387B"/>
    <w:rsid w:val="00005353"/>
    <w:rsid w:val="0000781C"/>
    <w:rsid w:val="00010630"/>
    <w:rsid w:val="0001133C"/>
    <w:rsid w:val="00011B40"/>
    <w:rsid w:val="0001258F"/>
    <w:rsid w:val="00014494"/>
    <w:rsid w:val="00014EF1"/>
    <w:rsid w:val="00017401"/>
    <w:rsid w:val="0002052C"/>
    <w:rsid w:val="00021000"/>
    <w:rsid w:val="0002171E"/>
    <w:rsid w:val="00021C2A"/>
    <w:rsid w:val="00022CDA"/>
    <w:rsid w:val="00025E3A"/>
    <w:rsid w:val="000302C9"/>
    <w:rsid w:val="00034909"/>
    <w:rsid w:val="00037DC8"/>
    <w:rsid w:val="00044026"/>
    <w:rsid w:val="00044B0E"/>
    <w:rsid w:val="00045F38"/>
    <w:rsid w:val="00047AF3"/>
    <w:rsid w:val="000529AD"/>
    <w:rsid w:val="00064D42"/>
    <w:rsid w:val="00065D74"/>
    <w:rsid w:val="000708E7"/>
    <w:rsid w:val="000762DA"/>
    <w:rsid w:val="00083042"/>
    <w:rsid w:val="00086C72"/>
    <w:rsid w:val="00092A33"/>
    <w:rsid w:val="00094030"/>
    <w:rsid w:val="00094F9A"/>
    <w:rsid w:val="00095BEA"/>
    <w:rsid w:val="00095C8F"/>
    <w:rsid w:val="0009617C"/>
    <w:rsid w:val="000A376F"/>
    <w:rsid w:val="000A4655"/>
    <w:rsid w:val="000A4E82"/>
    <w:rsid w:val="000A6CC6"/>
    <w:rsid w:val="000A72EA"/>
    <w:rsid w:val="000B2779"/>
    <w:rsid w:val="000B539B"/>
    <w:rsid w:val="000B7A5F"/>
    <w:rsid w:val="000C13A8"/>
    <w:rsid w:val="000C3E58"/>
    <w:rsid w:val="000C57CF"/>
    <w:rsid w:val="000D184D"/>
    <w:rsid w:val="000E08A9"/>
    <w:rsid w:val="000E0D3A"/>
    <w:rsid w:val="000E24CD"/>
    <w:rsid w:val="000E2807"/>
    <w:rsid w:val="000E2ECB"/>
    <w:rsid w:val="000E4F3D"/>
    <w:rsid w:val="000E7025"/>
    <w:rsid w:val="000F009B"/>
    <w:rsid w:val="000F04C5"/>
    <w:rsid w:val="000F1636"/>
    <w:rsid w:val="000F1EB1"/>
    <w:rsid w:val="000F2809"/>
    <w:rsid w:val="000F2E0F"/>
    <w:rsid w:val="000F3F47"/>
    <w:rsid w:val="000F7408"/>
    <w:rsid w:val="001007D2"/>
    <w:rsid w:val="00102A8C"/>
    <w:rsid w:val="0010314D"/>
    <w:rsid w:val="00103E13"/>
    <w:rsid w:val="00107391"/>
    <w:rsid w:val="00107D25"/>
    <w:rsid w:val="00113928"/>
    <w:rsid w:val="00123A15"/>
    <w:rsid w:val="00126087"/>
    <w:rsid w:val="00127900"/>
    <w:rsid w:val="0013365E"/>
    <w:rsid w:val="00133CD8"/>
    <w:rsid w:val="001379AD"/>
    <w:rsid w:val="00142496"/>
    <w:rsid w:val="001430F1"/>
    <w:rsid w:val="00152AD5"/>
    <w:rsid w:val="0015302C"/>
    <w:rsid w:val="00155A5F"/>
    <w:rsid w:val="001648A1"/>
    <w:rsid w:val="00165FFA"/>
    <w:rsid w:val="00166890"/>
    <w:rsid w:val="00167451"/>
    <w:rsid w:val="00177831"/>
    <w:rsid w:val="00185F06"/>
    <w:rsid w:val="00186DA8"/>
    <w:rsid w:val="00195E8A"/>
    <w:rsid w:val="001A1777"/>
    <w:rsid w:val="001A28D7"/>
    <w:rsid w:val="001A386A"/>
    <w:rsid w:val="001A694E"/>
    <w:rsid w:val="001B1C10"/>
    <w:rsid w:val="001B3E21"/>
    <w:rsid w:val="001B439A"/>
    <w:rsid w:val="001B5B13"/>
    <w:rsid w:val="001B66CB"/>
    <w:rsid w:val="001C0AB3"/>
    <w:rsid w:val="001D16D9"/>
    <w:rsid w:val="001D2ECD"/>
    <w:rsid w:val="001D3955"/>
    <w:rsid w:val="001D4983"/>
    <w:rsid w:val="001D69B8"/>
    <w:rsid w:val="001D708B"/>
    <w:rsid w:val="001E329D"/>
    <w:rsid w:val="001E5FFE"/>
    <w:rsid w:val="001F0812"/>
    <w:rsid w:val="001F0C9E"/>
    <w:rsid w:val="001F1560"/>
    <w:rsid w:val="001F17E6"/>
    <w:rsid w:val="001F19A4"/>
    <w:rsid w:val="001F21DC"/>
    <w:rsid w:val="001F6653"/>
    <w:rsid w:val="001F712B"/>
    <w:rsid w:val="002002F5"/>
    <w:rsid w:val="0020137A"/>
    <w:rsid w:val="002018F3"/>
    <w:rsid w:val="00202D7C"/>
    <w:rsid w:val="0020602B"/>
    <w:rsid w:val="00207C03"/>
    <w:rsid w:val="002104BB"/>
    <w:rsid w:val="00212B9E"/>
    <w:rsid w:val="0021349C"/>
    <w:rsid w:val="00217294"/>
    <w:rsid w:val="0021759C"/>
    <w:rsid w:val="00220D1A"/>
    <w:rsid w:val="0022393F"/>
    <w:rsid w:val="00223D32"/>
    <w:rsid w:val="002261E5"/>
    <w:rsid w:val="00232BBA"/>
    <w:rsid w:val="0023314D"/>
    <w:rsid w:val="00235D52"/>
    <w:rsid w:val="00236AD7"/>
    <w:rsid w:val="00236E4A"/>
    <w:rsid w:val="00237B1C"/>
    <w:rsid w:val="002435A0"/>
    <w:rsid w:val="00250DA0"/>
    <w:rsid w:val="002533F1"/>
    <w:rsid w:val="00254691"/>
    <w:rsid w:val="00254706"/>
    <w:rsid w:val="00257563"/>
    <w:rsid w:val="0026165E"/>
    <w:rsid w:val="00262B7D"/>
    <w:rsid w:val="0026695B"/>
    <w:rsid w:val="002707E8"/>
    <w:rsid w:val="0027148F"/>
    <w:rsid w:val="00271D39"/>
    <w:rsid w:val="00273B05"/>
    <w:rsid w:val="0028305E"/>
    <w:rsid w:val="00283485"/>
    <w:rsid w:val="00285A7D"/>
    <w:rsid w:val="0029025E"/>
    <w:rsid w:val="00291C89"/>
    <w:rsid w:val="0029278A"/>
    <w:rsid w:val="00292899"/>
    <w:rsid w:val="002930CE"/>
    <w:rsid w:val="002941F8"/>
    <w:rsid w:val="002951A9"/>
    <w:rsid w:val="0029650D"/>
    <w:rsid w:val="00296C3C"/>
    <w:rsid w:val="00297C96"/>
    <w:rsid w:val="002A27DE"/>
    <w:rsid w:val="002A2920"/>
    <w:rsid w:val="002A7054"/>
    <w:rsid w:val="002A754F"/>
    <w:rsid w:val="002A7D99"/>
    <w:rsid w:val="002A7FFA"/>
    <w:rsid w:val="002B02A6"/>
    <w:rsid w:val="002B234B"/>
    <w:rsid w:val="002B6E63"/>
    <w:rsid w:val="002C1C9F"/>
    <w:rsid w:val="002C3F05"/>
    <w:rsid w:val="002C4F1B"/>
    <w:rsid w:val="002C4F97"/>
    <w:rsid w:val="002D55FE"/>
    <w:rsid w:val="002D6261"/>
    <w:rsid w:val="002D6C56"/>
    <w:rsid w:val="002E01E5"/>
    <w:rsid w:val="002E1390"/>
    <w:rsid w:val="002E2C5D"/>
    <w:rsid w:val="002E6B20"/>
    <w:rsid w:val="002E6F89"/>
    <w:rsid w:val="002E71E3"/>
    <w:rsid w:val="002F1788"/>
    <w:rsid w:val="002F2E19"/>
    <w:rsid w:val="002F37D4"/>
    <w:rsid w:val="002F738F"/>
    <w:rsid w:val="003009E3"/>
    <w:rsid w:val="00300AF3"/>
    <w:rsid w:val="003060F3"/>
    <w:rsid w:val="00307C5D"/>
    <w:rsid w:val="0031168A"/>
    <w:rsid w:val="00311EB5"/>
    <w:rsid w:val="00312FF3"/>
    <w:rsid w:val="00314098"/>
    <w:rsid w:val="003152E1"/>
    <w:rsid w:val="003227C2"/>
    <w:rsid w:val="003247E1"/>
    <w:rsid w:val="00324B8A"/>
    <w:rsid w:val="00326EAD"/>
    <w:rsid w:val="0033533E"/>
    <w:rsid w:val="00341BF6"/>
    <w:rsid w:val="0034295B"/>
    <w:rsid w:val="00342E19"/>
    <w:rsid w:val="00343415"/>
    <w:rsid w:val="00343BCB"/>
    <w:rsid w:val="003458AA"/>
    <w:rsid w:val="00354601"/>
    <w:rsid w:val="00357006"/>
    <w:rsid w:val="00362EAA"/>
    <w:rsid w:val="0036554B"/>
    <w:rsid w:val="003678B5"/>
    <w:rsid w:val="00370B3E"/>
    <w:rsid w:val="003739EB"/>
    <w:rsid w:val="00382C43"/>
    <w:rsid w:val="00383B54"/>
    <w:rsid w:val="00383F57"/>
    <w:rsid w:val="00384A05"/>
    <w:rsid w:val="0038636C"/>
    <w:rsid w:val="00392B86"/>
    <w:rsid w:val="0039449A"/>
    <w:rsid w:val="00394C34"/>
    <w:rsid w:val="003954AB"/>
    <w:rsid w:val="00395655"/>
    <w:rsid w:val="00396775"/>
    <w:rsid w:val="003A19EB"/>
    <w:rsid w:val="003A5F02"/>
    <w:rsid w:val="003A653B"/>
    <w:rsid w:val="003B36D1"/>
    <w:rsid w:val="003B678F"/>
    <w:rsid w:val="003C05E4"/>
    <w:rsid w:val="003C0AAA"/>
    <w:rsid w:val="003C4343"/>
    <w:rsid w:val="003C6849"/>
    <w:rsid w:val="003C694E"/>
    <w:rsid w:val="003C6FF3"/>
    <w:rsid w:val="003D0751"/>
    <w:rsid w:val="003D08C0"/>
    <w:rsid w:val="003D13BA"/>
    <w:rsid w:val="003D3EC3"/>
    <w:rsid w:val="003E0516"/>
    <w:rsid w:val="003E15CE"/>
    <w:rsid w:val="003E1A77"/>
    <w:rsid w:val="003E200C"/>
    <w:rsid w:val="003E3482"/>
    <w:rsid w:val="003E510C"/>
    <w:rsid w:val="003E6CD4"/>
    <w:rsid w:val="003F00AB"/>
    <w:rsid w:val="003F6953"/>
    <w:rsid w:val="004009C2"/>
    <w:rsid w:val="004017C3"/>
    <w:rsid w:val="00401A3D"/>
    <w:rsid w:val="00404039"/>
    <w:rsid w:val="00405AC2"/>
    <w:rsid w:val="004075F0"/>
    <w:rsid w:val="0041030C"/>
    <w:rsid w:val="0041039A"/>
    <w:rsid w:val="00410B8D"/>
    <w:rsid w:val="00417E4C"/>
    <w:rsid w:val="004236C3"/>
    <w:rsid w:val="00426C69"/>
    <w:rsid w:val="004302D7"/>
    <w:rsid w:val="004304C9"/>
    <w:rsid w:val="00431C7C"/>
    <w:rsid w:val="00432208"/>
    <w:rsid w:val="0043280F"/>
    <w:rsid w:val="00432D90"/>
    <w:rsid w:val="00435459"/>
    <w:rsid w:val="00436443"/>
    <w:rsid w:val="004403D2"/>
    <w:rsid w:val="00440B59"/>
    <w:rsid w:val="00442FE2"/>
    <w:rsid w:val="004449D8"/>
    <w:rsid w:val="0044528F"/>
    <w:rsid w:val="00447EB9"/>
    <w:rsid w:val="004526EB"/>
    <w:rsid w:val="00452D48"/>
    <w:rsid w:val="004574E4"/>
    <w:rsid w:val="00460E6A"/>
    <w:rsid w:val="00461A9E"/>
    <w:rsid w:val="00465850"/>
    <w:rsid w:val="0047108F"/>
    <w:rsid w:val="004716E6"/>
    <w:rsid w:val="004727AA"/>
    <w:rsid w:val="00474E18"/>
    <w:rsid w:val="00474EAD"/>
    <w:rsid w:val="0047606E"/>
    <w:rsid w:val="004764BA"/>
    <w:rsid w:val="00481B35"/>
    <w:rsid w:val="00481D25"/>
    <w:rsid w:val="00482C6F"/>
    <w:rsid w:val="00483C3C"/>
    <w:rsid w:val="00484825"/>
    <w:rsid w:val="00484854"/>
    <w:rsid w:val="00484C95"/>
    <w:rsid w:val="00487268"/>
    <w:rsid w:val="0048793F"/>
    <w:rsid w:val="0049066C"/>
    <w:rsid w:val="00490884"/>
    <w:rsid w:val="0049154D"/>
    <w:rsid w:val="0049448C"/>
    <w:rsid w:val="004958B5"/>
    <w:rsid w:val="00496F66"/>
    <w:rsid w:val="004A2F26"/>
    <w:rsid w:val="004A4BEC"/>
    <w:rsid w:val="004A5266"/>
    <w:rsid w:val="004B1BCC"/>
    <w:rsid w:val="004B391E"/>
    <w:rsid w:val="004B40B0"/>
    <w:rsid w:val="004B5FB4"/>
    <w:rsid w:val="004B758B"/>
    <w:rsid w:val="004B783B"/>
    <w:rsid w:val="004B7874"/>
    <w:rsid w:val="004C0EDD"/>
    <w:rsid w:val="004C11FD"/>
    <w:rsid w:val="004C1B17"/>
    <w:rsid w:val="004C2FC3"/>
    <w:rsid w:val="004C4C4B"/>
    <w:rsid w:val="004C4D5F"/>
    <w:rsid w:val="004C7CD5"/>
    <w:rsid w:val="004D051A"/>
    <w:rsid w:val="004D5070"/>
    <w:rsid w:val="004D5D0C"/>
    <w:rsid w:val="004E10F4"/>
    <w:rsid w:val="004E3345"/>
    <w:rsid w:val="004E5EB9"/>
    <w:rsid w:val="004F09FE"/>
    <w:rsid w:val="004F10A5"/>
    <w:rsid w:val="004F1350"/>
    <w:rsid w:val="004F1A63"/>
    <w:rsid w:val="00503497"/>
    <w:rsid w:val="00503AAA"/>
    <w:rsid w:val="005121EB"/>
    <w:rsid w:val="00512FA9"/>
    <w:rsid w:val="005233C3"/>
    <w:rsid w:val="00524066"/>
    <w:rsid w:val="00525FB8"/>
    <w:rsid w:val="005322FC"/>
    <w:rsid w:val="00533741"/>
    <w:rsid w:val="00533B39"/>
    <w:rsid w:val="00534BFA"/>
    <w:rsid w:val="00535259"/>
    <w:rsid w:val="00535651"/>
    <w:rsid w:val="00536625"/>
    <w:rsid w:val="0054047B"/>
    <w:rsid w:val="00541577"/>
    <w:rsid w:val="00541745"/>
    <w:rsid w:val="00544D3B"/>
    <w:rsid w:val="005470D7"/>
    <w:rsid w:val="00551F4A"/>
    <w:rsid w:val="0055572B"/>
    <w:rsid w:val="00556ADE"/>
    <w:rsid w:val="00560866"/>
    <w:rsid w:val="00560B9D"/>
    <w:rsid w:val="00560F7D"/>
    <w:rsid w:val="00561576"/>
    <w:rsid w:val="00561C82"/>
    <w:rsid w:val="00563623"/>
    <w:rsid w:val="00563B37"/>
    <w:rsid w:val="005648E6"/>
    <w:rsid w:val="00565722"/>
    <w:rsid w:val="00570823"/>
    <w:rsid w:val="005727A1"/>
    <w:rsid w:val="00572B37"/>
    <w:rsid w:val="00572D5C"/>
    <w:rsid w:val="00573D81"/>
    <w:rsid w:val="00574E55"/>
    <w:rsid w:val="00575A90"/>
    <w:rsid w:val="0057645D"/>
    <w:rsid w:val="00577EFD"/>
    <w:rsid w:val="00584D67"/>
    <w:rsid w:val="00584EB1"/>
    <w:rsid w:val="00586241"/>
    <w:rsid w:val="0059541D"/>
    <w:rsid w:val="0059598F"/>
    <w:rsid w:val="0059690E"/>
    <w:rsid w:val="0059791D"/>
    <w:rsid w:val="005A2CEF"/>
    <w:rsid w:val="005A3996"/>
    <w:rsid w:val="005A69AE"/>
    <w:rsid w:val="005B0218"/>
    <w:rsid w:val="005B1459"/>
    <w:rsid w:val="005B2A0A"/>
    <w:rsid w:val="005B4669"/>
    <w:rsid w:val="005B4E84"/>
    <w:rsid w:val="005B6860"/>
    <w:rsid w:val="005C7E62"/>
    <w:rsid w:val="005D491C"/>
    <w:rsid w:val="005D74AC"/>
    <w:rsid w:val="005E2A47"/>
    <w:rsid w:val="005E3375"/>
    <w:rsid w:val="005E38BA"/>
    <w:rsid w:val="005E4214"/>
    <w:rsid w:val="005E534B"/>
    <w:rsid w:val="005E5656"/>
    <w:rsid w:val="005E7083"/>
    <w:rsid w:val="005F0CEB"/>
    <w:rsid w:val="005F17EE"/>
    <w:rsid w:val="005F46BA"/>
    <w:rsid w:val="005F60FB"/>
    <w:rsid w:val="005F695B"/>
    <w:rsid w:val="005F7CFF"/>
    <w:rsid w:val="00602B0E"/>
    <w:rsid w:val="006030BF"/>
    <w:rsid w:val="006031C0"/>
    <w:rsid w:val="006077E0"/>
    <w:rsid w:val="00610BCC"/>
    <w:rsid w:val="0061107F"/>
    <w:rsid w:val="00614980"/>
    <w:rsid w:val="00615682"/>
    <w:rsid w:val="00617A11"/>
    <w:rsid w:val="00617D08"/>
    <w:rsid w:val="00626569"/>
    <w:rsid w:val="00626D83"/>
    <w:rsid w:val="006272CA"/>
    <w:rsid w:val="00627614"/>
    <w:rsid w:val="00627E64"/>
    <w:rsid w:val="00630D1B"/>
    <w:rsid w:val="00632EDB"/>
    <w:rsid w:val="00634A5C"/>
    <w:rsid w:val="006358C2"/>
    <w:rsid w:val="0063732F"/>
    <w:rsid w:val="0064186C"/>
    <w:rsid w:val="00644743"/>
    <w:rsid w:val="006451B3"/>
    <w:rsid w:val="0064545B"/>
    <w:rsid w:val="00645506"/>
    <w:rsid w:val="006471C0"/>
    <w:rsid w:val="00650594"/>
    <w:rsid w:val="00650BB5"/>
    <w:rsid w:val="00654475"/>
    <w:rsid w:val="00655FD7"/>
    <w:rsid w:val="00657D22"/>
    <w:rsid w:val="00657E0D"/>
    <w:rsid w:val="006611C6"/>
    <w:rsid w:val="00661896"/>
    <w:rsid w:val="00664476"/>
    <w:rsid w:val="00671B18"/>
    <w:rsid w:val="006725A0"/>
    <w:rsid w:val="00673033"/>
    <w:rsid w:val="00673BC3"/>
    <w:rsid w:val="00674059"/>
    <w:rsid w:val="00675CA9"/>
    <w:rsid w:val="00676F4B"/>
    <w:rsid w:val="0067741B"/>
    <w:rsid w:val="006A00F6"/>
    <w:rsid w:val="006A097D"/>
    <w:rsid w:val="006A2086"/>
    <w:rsid w:val="006A3248"/>
    <w:rsid w:val="006A35C4"/>
    <w:rsid w:val="006A71AB"/>
    <w:rsid w:val="006B0C24"/>
    <w:rsid w:val="006B0C7E"/>
    <w:rsid w:val="006B5EA2"/>
    <w:rsid w:val="006B7981"/>
    <w:rsid w:val="006B7E7C"/>
    <w:rsid w:val="006C02D6"/>
    <w:rsid w:val="006C1366"/>
    <w:rsid w:val="006C1BF5"/>
    <w:rsid w:val="006C3BDE"/>
    <w:rsid w:val="006C3E1D"/>
    <w:rsid w:val="006C424B"/>
    <w:rsid w:val="006C7BC3"/>
    <w:rsid w:val="006C7FCF"/>
    <w:rsid w:val="006D55A0"/>
    <w:rsid w:val="006D6C59"/>
    <w:rsid w:val="006D74CC"/>
    <w:rsid w:val="006D7CA3"/>
    <w:rsid w:val="006E00D5"/>
    <w:rsid w:val="006E2EBF"/>
    <w:rsid w:val="006E3F14"/>
    <w:rsid w:val="006F500F"/>
    <w:rsid w:val="006F6B22"/>
    <w:rsid w:val="00703376"/>
    <w:rsid w:val="007052F7"/>
    <w:rsid w:val="007118B2"/>
    <w:rsid w:val="00711FA9"/>
    <w:rsid w:val="00713B06"/>
    <w:rsid w:val="00727625"/>
    <w:rsid w:val="00727629"/>
    <w:rsid w:val="00732F66"/>
    <w:rsid w:val="0073430E"/>
    <w:rsid w:val="007351D0"/>
    <w:rsid w:val="0073586A"/>
    <w:rsid w:val="00735E4B"/>
    <w:rsid w:val="00736277"/>
    <w:rsid w:val="00736F05"/>
    <w:rsid w:val="007377DB"/>
    <w:rsid w:val="00742FD5"/>
    <w:rsid w:val="00745A87"/>
    <w:rsid w:val="00746048"/>
    <w:rsid w:val="00756704"/>
    <w:rsid w:val="00760293"/>
    <w:rsid w:val="007625C2"/>
    <w:rsid w:val="0076711C"/>
    <w:rsid w:val="00772487"/>
    <w:rsid w:val="007727C2"/>
    <w:rsid w:val="00773CBA"/>
    <w:rsid w:val="0077748B"/>
    <w:rsid w:val="00781EFA"/>
    <w:rsid w:val="00787F68"/>
    <w:rsid w:val="007906AA"/>
    <w:rsid w:val="00794662"/>
    <w:rsid w:val="0079760F"/>
    <w:rsid w:val="007977DF"/>
    <w:rsid w:val="007A081A"/>
    <w:rsid w:val="007A09C5"/>
    <w:rsid w:val="007A0DFC"/>
    <w:rsid w:val="007A4C53"/>
    <w:rsid w:val="007A6FD5"/>
    <w:rsid w:val="007B5C07"/>
    <w:rsid w:val="007B7BD8"/>
    <w:rsid w:val="007C461F"/>
    <w:rsid w:val="007C4CB1"/>
    <w:rsid w:val="007C5C0A"/>
    <w:rsid w:val="007C5C9B"/>
    <w:rsid w:val="007D0BF1"/>
    <w:rsid w:val="007D16B5"/>
    <w:rsid w:val="007D3D5C"/>
    <w:rsid w:val="007D4237"/>
    <w:rsid w:val="007E15EB"/>
    <w:rsid w:val="007E20FE"/>
    <w:rsid w:val="007E3871"/>
    <w:rsid w:val="007E46E6"/>
    <w:rsid w:val="007E4752"/>
    <w:rsid w:val="007E7197"/>
    <w:rsid w:val="007F2EEF"/>
    <w:rsid w:val="007F31EA"/>
    <w:rsid w:val="007F40D1"/>
    <w:rsid w:val="007F419A"/>
    <w:rsid w:val="00801A4D"/>
    <w:rsid w:val="008049BD"/>
    <w:rsid w:val="008066D9"/>
    <w:rsid w:val="00810C9B"/>
    <w:rsid w:val="00812AB3"/>
    <w:rsid w:val="0082293D"/>
    <w:rsid w:val="00823B92"/>
    <w:rsid w:val="00823FCA"/>
    <w:rsid w:val="00824144"/>
    <w:rsid w:val="00824C13"/>
    <w:rsid w:val="00825819"/>
    <w:rsid w:val="00835A43"/>
    <w:rsid w:val="0083652A"/>
    <w:rsid w:val="00836EAF"/>
    <w:rsid w:val="00837970"/>
    <w:rsid w:val="0084057A"/>
    <w:rsid w:val="00842202"/>
    <w:rsid w:val="00842213"/>
    <w:rsid w:val="00842F00"/>
    <w:rsid w:val="008471B9"/>
    <w:rsid w:val="00847445"/>
    <w:rsid w:val="008514E3"/>
    <w:rsid w:val="00851D86"/>
    <w:rsid w:val="00854EEB"/>
    <w:rsid w:val="00856B0B"/>
    <w:rsid w:val="00856EEE"/>
    <w:rsid w:val="0086079A"/>
    <w:rsid w:val="00864844"/>
    <w:rsid w:val="00871617"/>
    <w:rsid w:val="00871B1D"/>
    <w:rsid w:val="0088091F"/>
    <w:rsid w:val="00880C8A"/>
    <w:rsid w:val="008826EF"/>
    <w:rsid w:val="00884C98"/>
    <w:rsid w:val="008859D8"/>
    <w:rsid w:val="00885EEE"/>
    <w:rsid w:val="00892272"/>
    <w:rsid w:val="00892D20"/>
    <w:rsid w:val="0089405E"/>
    <w:rsid w:val="00894940"/>
    <w:rsid w:val="00897EF7"/>
    <w:rsid w:val="008A01AB"/>
    <w:rsid w:val="008A5175"/>
    <w:rsid w:val="008B42AF"/>
    <w:rsid w:val="008B4410"/>
    <w:rsid w:val="008B7ABB"/>
    <w:rsid w:val="008B7C42"/>
    <w:rsid w:val="008C1546"/>
    <w:rsid w:val="008C2D22"/>
    <w:rsid w:val="008C33E3"/>
    <w:rsid w:val="008C47AB"/>
    <w:rsid w:val="008C6534"/>
    <w:rsid w:val="008C77E6"/>
    <w:rsid w:val="008D1726"/>
    <w:rsid w:val="008D4FBA"/>
    <w:rsid w:val="008D6CF1"/>
    <w:rsid w:val="008D7413"/>
    <w:rsid w:val="008D7AC3"/>
    <w:rsid w:val="008D7BBE"/>
    <w:rsid w:val="008E01B0"/>
    <w:rsid w:val="008E02A0"/>
    <w:rsid w:val="008E0450"/>
    <w:rsid w:val="008E17F2"/>
    <w:rsid w:val="008E5078"/>
    <w:rsid w:val="008E727E"/>
    <w:rsid w:val="008E74EF"/>
    <w:rsid w:val="008E7D9B"/>
    <w:rsid w:val="008F130D"/>
    <w:rsid w:val="008F21C1"/>
    <w:rsid w:val="008F32AD"/>
    <w:rsid w:val="008F4E7A"/>
    <w:rsid w:val="008F4F7C"/>
    <w:rsid w:val="0090545A"/>
    <w:rsid w:val="00906351"/>
    <w:rsid w:val="00907C0A"/>
    <w:rsid w:val="009118CC"/>
    <w:rsid w:val="00915325"/>
    <w:rsid w:val="00916988"/>
    <w:rsid w:val="009216CC"/>
    <w:rsid w:val="00921C1B"/>
    <w:rsid w:val="0092278E"/>
    <w:rsid w:val="0092285D"/>
    <w:rsid w:val="00923123"/>
    <w:rsid w:val="00923A84"/>
    <w:rsid w:val="00925064"/>
    <w:rsid w:val="00925116"/>
    <w:rsid w:val="009311C5"/>
    <w:rsid w:val="0093220E"/>
    <w:rsid w:val="00936F56"/>
    <w:rsid w:val="009410EC"/>
    <w:rsid w:val="00945BCE"/>
    <w:rsid w:val="0094628F"/>
    <w:rsid w:val="0094692A"/>
    <w:rsid w:val="0094711C"/>
    <w:rsid w:val="009504B6"/>
    <w:rsid w:val="009510C0"/>
    <w:rsid w:val="009516A4"/>
    <w:rsid w:val="009561C9"/>
    <w:rsid w:val="00962DEA"/>
    <w:rsid w:val="00963339"/>
    <w:rsid w:val="0096648F"/>
    <w:rsid w:val="009738C3"/>
    <w:rsid w:val="0098114F"/>
    <w:rsid w:val="00983BB6"/>
    <w:rsid w:val="009865F8"/>
    <w:rsid w:val="00986C85"/>
    <w:rsid w:val="0098729D"/>
    <w:rsid w:val="00987DAC"/>
    <w:rsid w:val="00987E4B"/>
    <w:rsid w:val="00992C15"/>
    <w:rsid w:val="00992F90"/>
    <w:rsid w:val="0099300B"/>
    <w:rsid w:val="009935F1"/>
    <w:rsid w:val="00994692"/>
    <w:rsid w:val="00997E3F"/>
    <w:rsid w:val="009A027F"/>
    <w:rsid w:val="009A034C"/>
    <w:rsid w:val="009A3996"/>
    <w:rsid w:val="009A428B"/>
    <w:rsid w:val="009A518C"/>
    <w:rsid w:val="009A5CDB"/>
    <w:rsid w:val="009A7560"/>
    <w:rsid w:val="009A75C8"/>
    <w:rsid w:val="009B01C1"/>
    <w:rsid w:val="009B1670"/>
    <w:rsid w:val="009B24B6"/>
    <w:rsid w:val="009C0509"/>
    <w:rsid w:val="009C4639"/>
    <w:rsid w:val="009C548C"/>
    <w:rsid w:val="009D0666"/>
    <w:rsid w:val="009E181E"/>
    <w:rsid w:val="009E2BCB"/>
    <w:rsid w:val="009E3EF7"/>
    <w:rsid w:val="009F1F74"/>
    <w:rsid w:val="009F453D"/>
    <w:rsid w:val="00A03C3C"/>
    <w:rsid w:val="00A03FF1"/>
    <w:rsid w:val="00A04EAF"/>
    <w:rsid w:val="00A061BD"/>
    <w:rsid w:val="00A069C0"/>
    <w:rsid w:val="00A1162D"/>
    <w:rsid w:val="00A13758"/>
    <w:rsid w:val="00A15C27"/>
    <w:rsid w:val="00A16D08"/>
    <w:rsid w:val="00A1720C"/>
    <w:rsid w:val="00A17577"/>
    <w:rsid w:val="00A2353E"/>
    <w:rsid w:val="00A23549"/>
    <w:rsid w:val="00A23807"/>
    <w:rsid w:val="00A256E6"/>
    <w:rsid w:val="00A30503"/>
    <w:rsid w:val="00A31A67"/>
    <w:rsid w:val="00A32FB3"/>
    <w:rsid w:val="00A34890"/>
    <w:rsid w:val="00A354C7"/>
    <w:rsid w:val="00A400DD"/>
    <w:rsid w:val="00A424BA"/>
    <w:rsid w:val="00A43B71"/>
    <w:rsid w:val="00A4629E"/>
    <w:rsid w:val="00A46522"/>
    <w:rsid w:val="00A46D31"/>
    <w:rsid w:val="00A524A4"/>
    <w:rsid w:val="00A5633C"/>
    <w:rsid w:val="00A56523"/>
    <w:rsid w:val="00A569FE"/>
    <w:rsid w:val="00A57139"/>
    <w:rsid w:val="00A60F2E"/>
    <w:rsid w:val="00A62CCA"/>
    <w:rsid w:val="00A62EBB"/>
    <w:rsid w:val="00A66FCF"/>
    <w:rsid w:val="00A67C65"/>
    <w:rsid w:val="00A717E9"/>
    <w:rsid w:val="00A72989"/>
    <w:rsid w:val="00A72CC5"/>
    <w:rsid w:val="00A761F9"/>
    <w:rsid w:val="00A7696D"/>
    <w:rsid w:val="00A81B99"/>
    <w:rsid w:val="00A82C18"/>
    <w:rsid w:val="00A82F8E"/>
    <w:rsid w:val="00A87E81"/>
    <w:rsid w:val="00A92A3F"/>
    <w:rsid w:val="00A93D16"/>
    <w:rsid w:val="00A9494E"/>
    <w:rsid w:val="00A96AD0"/>
    <w:rsid w:val="00A97125"/>
    <w:rsid w:val="00AA070B"/>
    <w:rsid w:val="00AA2C4B"/>
    <w:rsid w:val="00AA4337"/>
    <w:rsid w:val="00AA7136"/>
    <w:rsid w:val="00AB1908"/>
    <w:rsid w:val="00AB1AE6"/>
    <w:rsid w:val="00AB2171"/>
    <w:rsid w:val="00AB2EC6"/>
    <w:rsid w:val="00AB4141"/>
    <w:rsid w:val="00AB463B"/>
    <w:rsid w:val="00AB4689"/>
    <w:rsid w:val="00AB4B10"/>
    <w:rsid w:val="00AC0509"/>
    <w:rsid w:val="00AC06EF"/>
    <w:rsid w:val="00AC088E"/>
    <w:rsid w:val="00AC14F0"/>
    <w:rsid w:val="00AC3A64"/>
    <w:rsid w:val="00AC6361"/>
    <w:rsid w:val="00AD3EE2"/>
    <w:rsid w:val="00AE089B"/>
    <w:rsid w:val="00AE3373"/>
    <w:rsid w:val="00AE39C2"/>
    <w:rsid w:val="00AE3FDD"/>
    <w:rsid w:val="00AE44FE"/>
    <w:rsid w:val="00AE5CD2"/>
    <w:rsid w:val="00AE6D96"/>
    <w:rsid w:val="00AF0155"/>
    <w:rsid w:val="00AF5921"/>
    <w:rsid w:val="00AF6375"/>
    <w:rsid w:val="00AF65B9"/>
    <w:rsid w:val="00AF6846"/>
    <w:rsid w:val="00B00BAB"/>
    <w:rsid w:val="00B02279"/>
    <w:rsid w:val="00B024FE"/>
    <w:rsid w:val="00B02B46"/>
    <w:rsid w:val="00B031FC"/>
    <w:rsid w:val="00B05B3C"/>
    <w:rsid w:val="00B0606E"/>
    <w:rsid w:val="00B06C8E"/>
    <w:rsid w:val="00B12319"/>
    <w:rsid w:val="00B156D6"/>
    <w:rsid w:val="00B23170"/>
    <w:rsid w:val="00B23DE0"/>
    <w:rsid w:val="00B24003"/>
    <w:rsid w:val="00B411F7"/>
    <w:rsid w:val="00B412D7"/>
    <w:rsid w:val="00B45B19"/>
    <w:rsid w:val="00B51017"/>
    <w:rsid w:val="00B513CD"/>
    <w:rsid w:val="00B52757"/>
    <w:rsid w:val="00B5426D"/>
    <w:rsid w:val="00B55AA2"/>
    <w:rsid w:val="00B57828"/>
    <w:rsid w:val="00B6029D"/>
    <w:rsid w:val="00B61E7C"/>
    <w:rsid w:val="00B62C87"/>
    <w:rsid w:val="00B631A9"/>
    <w:rsid w:val="00B6365E"/>
    <w:rsid w:val="00B757E8"/>
    <w:rsid w:val="00B77633"/>
    <w:rsid w:val="00B8314E"/>
    <w:rsid w:val="00B83DA9"/>
    <w:rsid w:val="00B85199"/>
    <w:rsid w:val="00B85F23"/>
    <w:rsid w:val="00B87F4A"/>
    <w:rsid w:val="00B93B14"/>
    <w:rsid w:val="00B93F2D"/>
    <w:rsid w:val="00BA0AC6"/>
    <w:rsid w:val="00BB11B5"/>
    <w:rsid w:val="00BB1435"/>
    <w:rsid w:val="00BB2644"/>
    <w:rsid w:val="00BB4403"/>
    <w:rsid w:val="00BB5DE3"/>
    <w:rsid w:val="00BB7A5E"/>
    <w:rsid w:val="00BC1953"/>
    <w:rsid w:val="00BC1B20"/>
    <w:rsid w:val="00BC2AE7"/>
    <w:rsid w:val="00BC4FC8"/>
    <w:rsid w:val="00BC5630"/>
    <w:rsid w:val="00BC5DA8"/>
    <w:rsid w:val="00BC6999"/>
    <w:rsid w:val="00BD5E29"/>
    <w:rsid w:val="00BD632F"/>
    <w:rsid w:val="00BD6CD7"/>
    <w:rsid w:val="00BE14E2"/>
    <w:rsid w:val="00BE2308"/>
    <w:rsid w:val="00BE6F61"/>
    <w:rsid w:val="00BE7F50"/>
    <w:rsid w:val="00BF314B"/>
    <w:rsid w:val="00BF3815"/>
    <w:rsid w:val="00BF5AB8"/>
    <w:rsid w:val="00BF6046"/>
    <w:rsid w:val="00BF74B1"/>
    <w:rsid w:val="00C00493"/>
    <w:rsid w:val="00C04BF0"/>
    <w:rsid w:val="00C05ADC"/>
    <w:rsid w:val="00C069F6"/>
    <w:rsid w:val="00C15BE1"/>
    <w:rsid w:val="00C173BB"/>
    <w:rsid w:val="00C177AC"/>
    <w:rsid w:val="00C17C77"/>
    <w:rsid w:val="00C20963"/>
    <w:rsid w:val="00C22F83"/>
    <w:rsid w:val="00C23910"/>
    <w:rsid w:val="00C27869"/>
    <w:rsid w:val="00C31495"/>
    <w:rsid w:val="00C34B1F"/>
    <w:rsid w:val="00C350C1"/>
    <w:rsid w:val="00C37994"/>
    <w:rsid w:val="00C41116"/>
    <w:rsid w:val="00C452B2"/>
    <w:rsid w:val="00C4715A"/>
    <w:rsid w:val="00C51C36"/>
    <w:rsid w:val="00C53789"/>
    <w:rsid w:val="00C5380B"/>
    <w:rsid w:val="00C54B32"/>
    <w:rsid w:val="00C54BC4"/>
    <w:rsid w:val="00C6081E"/>
    <w:rsid w:val="00C615C1"/>
    <w:rsid w:val="00C64D73"/>
    <w:rsid w:val="00C75B2D"/>
    <w:rsid w:val="00C77009"/>
    <w:rsid w:val="00C83C42"/>
    <w:rsid w:val="00C85436"/>
    <w:rsid w:val="00C8633D"/>
    <w:rsid w:val="00C86F37"/>
    <w:rsid w:val="00C93E58"/>
    <w:rsid w:val="00C941C7"/>
    <w:rsid w:val="00C95D8A"/>
    <w:rsid w:val="00C97463"/>
    <w:rsid w:val="00CA117E"/>
    <w:rsid w:val="00CA4731"/>
    <w:rsid w:val="00CA4BF6"/>
    <w:rsid w:val="00CA64CF"/>
    <w:rsid w:val="00CA6EA6"/>
    <w:rsid w:val="00CA78A6"/>
    <w:rsid w:val="00CB32F8"/>
    <w:rsid w:val="00CC06F8"/>
    <w:rsid w:val="00CC2EB7"/>
    <w:rsid w:val="00CC7285"/>
    <w:rsid w:val="00CD5321"/>
    <w:rsid w:val="00CD5690"/>
    <w:rsid w:val="00CD5DC7"/>
    <w:rsid w:val="00CD733C"/>
    <w:rsid w:val="00CE0CBB"/>
    <w:rsid w:val="00CE353A"/>
    <w:rsid w:val="00CE5A40"/>
    <w:rsid w:val="00CE75A9"/>
    <w:rsid w:val="00CF0AA4"/>
    <w:rsid w:val="00CF2EDE"/>
    <w:rsid w:val="00CF47D7"/>
    <w:rsid w:val="00CF4AB5"/>
    <w:rsid w:val="00D01CF4"/>
    <w:rsid w:val="00D05F80"/>
    <w:rsid w:val="00D07949"/>
    <w:rsid w:val="00D07E51"/>
    <w:rsid w:val="00D10FC6"/>
    <w:rsid w:val="00D1101A"/>
    <w:rsid w:val="00D165EF"/>
    <w:rsid w:val="00D27F69"/>
    <w:rsid w:val="00D33C0F"/>
    <w:rsid w:val="00D360CA"/>
    <w:rsid w:val="00D360F6"/>
    <w:rsid w:val="00D37F58"/>
    <w:rsid w:val="00D40BBD"/>
    <w:rsid w:val="00D4128A"/>
    <w:rsid w:val="00D438D0"/>
    <w:rsid w:val="00D43F0A"/>
    <w:rsid w:val="00D45682"/>
    <w:rsid w:val="00D50167"/>
    <w:rsid w:val="00D51E25"/>
    <w:rsid w:val="00D5202B"/>
    <w:rsid w:val="00D520EB"/>
    <w:rsid w:val="00D55C8C"/>
    <w:rsid w:val="00D56910"/>
    <w:rsid w:val="00D56CF4"/>
    <w:rsid w:val="00D6030F"/>
    <w:rsid w:val="00D625CF"/>
    <w:rsid w:val="00D639E9"/>
    <w:rsid w:val="00D675D5"/>
    <w:rsid w:val="00D70D0F"/>
    <w:rsid w:val="00D71712"/>
    <w:rsid w:val="00D7344B"/>
    <w:rsid w:val="00D73DF6"/>
    <w:rsid w:val="00D73F5F"/>
    <w:rsid w:val="00D7701F"/>
    <w:rsid w:val="00D77C77"/>
    <w:rsid w:val="00D814F0"/>
    <w:rsid w:val="00D925CD"/>
    <w:rsid w:val="00D93D6F"/>
    <w:rsid w:val="00D972B0"/>
    <w:rsid w:val="00DA0E7C"/>
    <w:rsid w:val="00DA0F6F"/>
    <w:rsid w:val="00DA7EAC"/>
    <w:rsid w:val="00DB208C"/>
    <w:rsid w:val="00DB252D"/>
    <w:rsid w:val="00DB4199"/>
    <w:rsid w:val="00DB56C2"/>
    <w:rsid w:val="00DC084B"/>
    <w:rsid w:val="00DD1927"/>
    <w:rsid w:val="00DD25B2"/>
    <w:rsid w:val="00DD2F41"/>
    <w:rsid w:val="00DD3214"/>
    <w:rsid w:val="00DD43F4"/>
    <w:rsid w:val="00DD4F0B"/>
    <w:rsid w:val="00DE67E3"/>
    <w:rsid w:val="00DE6D08"/>
    <w:rsid w:val="00DF0D8F"/>
    <w:rsid w:val="00DF2151"/>
    <w:rsid w:val="00DF3F52"/>
    <w:rsid w:val="00DF431C"/>
    <w:rsid w:val="00DF7B3C"/>
    <w:rsid w:val="00E00AF3"/>
    <w:rsid w:val="00E01414"/>
    <w:rsid w:val="00E048FA"/>
    <w:rsid w:val="00E04D20"/>
    <w:rsid w:val="00E12568"/>
    <w:rsid w:val="00E13212"/>
    <w:rsid w:val="00E1329B"/>
    <w:rsid w:val="00E14C6B"/>
    <w:rsid w:val="00E1563D"/>
    <w:rsid w:val="00E156FA"/>
    <w:rsid w:val="00E20059"/>
    <w:rsid w:val="00E211A0"/>
    <w:rsid w:val="00E22C90"/>
    <w:rsid w:val="00E2378D"/>
    <w:rsid w:val="00E2458C"/>
    <w:rsid w:val="00E25428"/>
    <w:rsid w:val="00E27309"/>
    <w:rsid w:val="00E27B7A"/>
    <w:rsid w:val="00E30E87"/>
    <w:rsid w:val="00E31C58"/>
    <w:rsid w:val="00E335F2"/>
    <w:rsid w:val="00E337C4"/>
    <w:rsid w:val="00E3672E"/>
    <w:rsid w:val="00E4026C"/>
    <w:rsid w:val="00E44946"/>
    <w:rsid w:val="00E51A4C"/>
    <w:rsid w:val="00E54F5E"/>
    <w:rsid w:val="00E571FA"/>
    <w:rsid w:val="00E64006"/>
    <w:rsid w:val="00E6469D"/>
    <w:rsid w:val="00E65E98"/>
    <w:rsid w:val="00E71B50"/>
    <w:rsid w:val="00E74C2B"/>
    <w:rsid w:val="00E82AB4"/>
    <w:rsid w:val="00E839D9"/>
    <w:rsid w:val="00E83C6C"/>
    <w:rsid w:val="00E86801"/>
    <w:rsid w:val="00E87E11"/>
    <w:rsid w:val="00E87E70"/>
    <w:rsid w:val="00E91C8A"/>
    <w:rsid w:val="00E92F6D"/>
    <w:rsid w:val="00E93FC0"/>
    <w:rsid w:val="00E942D6"/>
    <w:rsid w:val="00E945B5"/>
    <w:rsid w:val="00E95A88"/>
    <w:rsid w:val="00EA0092"/>
    <w:rsid w:val="00EA1FEA"/>
    <w:rsid w:val="00EA305A"/>
    <w:rsid w:val="00EA3DE9"/>
    <w:rsid w:val="00EA4121"/>
    <w:rsid w:val="00EA48E5"/>
    <w:rsid w:val="00EA4FE9"/>
    <w:rsid w:val="00EB01FC"/>
    <w:rsid w:val="00EB3306"/>
    <w:rsid w:val="00EB333E"/>
    <w:rsid w:val="00EB59F0"/>
    <w:rsid w:val="00EB6222"/>
    <w:rsid w:val="00EB6DA6"/>
    <w:rsid w:val="00EB7BE3"/>
    <w:rsid w:val="00EC012A"/>
    <w:rsid w:val="00EC0722"/>
    <w:rsid w:val="00EC2380"/>
    <w:rsid w:val="00EC71EA"/>
    <w:rsid w:val="00ED1A10"/>
    <w:rsid w:val="00ED32AA"/>
    <w:rsid w:val="00ED381F"/>
    <w:rsid w:val="00ED3CF1"/>
    <w:rsid w:val="00ED41FC"/>
    <w:rsid w:val="00EE0A1D"/>
    <w:rsid w:val="00EE109B"/>
    <w:rsid w:val="00EE41E9"/>
    <w:rsid w:val="00EE4659"/>
    <w:rsid w:val="00EE579F"/>
    <w:rsid w:val="00EF6861"/>
    <w:rsid w:val="00EF68F2"/>
    <w:rsid w:val="00F04DDE"/>
    <w:rsid w:val="00F061EF"/>
    <w:rsid w:val="00F07564"/>
    <w:rsid w:val="00F11DD2"/>
    <w:rsid w:val="00F14DF0"/>
    <w:rsid w:val="00F1585F"/>
    <w:rsid w:val="00F16436"/>
    <w:rsid w:val="00F17A69"/>
    <w:rsid w:val="00F206AC"/>
    <w:rsid w:val="00F20AE3"/>
    <w:rsid w:val="00F20B9A"/>
    <w:rsid w:val="00F20CDB"/>
    <w:rsid w:val="00F20FC8"/>
    <w:rsid w:val="00F254D7"/>
    <w:rsid w:val="00F307E1"/>
    <w:rsid w:val="00F32DC5"/>
    <w:rsid w:val="00F342EF"/>
    <w:rsid w:val="00F34A8B"/>
    <w:rsid w:val="00F34EFB"/>
    <w:rsid w:val="00F3548D"/>
    <w:rsid w:val="00F358BE"/>
    <w:rsid w:val="00F37DFC"/>
    <w:rsid w:val="00F408E9"/>
    <w:rsid w:val="00F41127"/>
    <w:rsid w:val="00F4146B"/>
    <w:rsid w:val="00F4338B"/>
    <w:rsid w:val="00F45813"/>
    <w:rsid w:val="00F46093"/>
    <w:rsid w:val="00F47544"/>
    <w:rsid w:val="00F50241"/>
    <w:rsid w:val="00F50302"/>
    <w:rsid w:val="00F538D3"/>
    <w:rsid w:val="00F54646"/>
    <w:rsid w:val="00F54A24"/>
    <w:rsid w:val="00F55537"/>
    <w:rsid w:val="00F56057"/>
    <w:rsid w:val="00F56FEB"/>
    <w:rsid w:val="00F64B5D"/>
    <w:rsid w:val="00F656DC"/>
    <w:rsid w:val="00F66E53"/>
    <w:rsid w:val="00F7087F"/>
    <w:rsid w:val="00F70A97"/>
    <w:rsid w:val="00F7320F"/>
    <w:rsid w:val="00F73F09"/>
    <w:rsid w:val="00F761D5"/>
    <w:rsid w:val="00F77F21"/>
    <w:rsid w:val="00F80101"/>
    <w:rsid w:val="00F81780"/>
    <w:rsid w:val="00F8257A"/>
    <w:rsid w:val="00F8361A"/>
    <w:rsid w:val="00F84B7C"/>
    <w:rsid w:val="00F85AE5"/>
    <w:rsid w:val="00F87495"/>
    <w:rsid w:val="00F87B0A"/>
    <w:rsid w:val="00F9230D"/>
    <w:rsid w:val="00F92B3C"/>
    <w:rsid w:val="00F94099"/>
    <w:rsid w:val="00F947B0"/>
    <w:rsid w:val="00F94FA6"/>
    <w:rsid w:val="00F9633F"/>
    <w:rsid w:val="00FA2E4B"/>
    <w:rsid w:val="00FA4EE2"/>
    <w:rsid w:val="00FA6A9A"/>
    <w:rsid w:val="00FB1E4C"/>
    <w:rsid w:val="00FB3BF0"/>
    <w:rsid w:val="00FB466F"/>
    <w:rsid w:val="00FB60C4"/>
    <w:rsid w:val="00FC0B35"/>
    <w:rsid w:val="00FC12C4"/>
    <w:rsid w:val="00FC1794"/>
    <w:rsid w:val="00FC6E9D"/>
    <w:rsid w:val="00FC7D3D"/>
    <w:rsid w:val="00FD242E"/>
    <w:rsid w:val="00FD3F7F"/>
    <w:rsid w:val="00FD6682"/>
    <w:rsid w:val="00FD7AE1"/>
    <w:rsid w:val="00FE0032"/>
    <w:rsid w:val="00FE26CA"/>
    <w:rsid w:val="00FE41A6"/>
    <w:rsid w:val="00FE59AC"/>
    <w:rsid w:val="00FE7358"/>
    <w:rsid w:val="00FE7798"/>
    <w:rsid w:val="00FE7CAE"/>
    <w:rsid w:val="00FF05A9"/>
    <w:rsid w:val="00FF5149"/>
    <w:rsid w:val="00FF5414"/>
    <w:rsid w:val="00FF5603"/>
    <w:rsid w:val="00FF58A9"/>
    <w:rsid w:val="00FF62E0"/>
    <w:rsid w:val="00FF66D3"/>
    <w:rsid w:val="01C5767F"/>
    <w:rsid w:val="0246740F"/>
    <w:rsid w:val="02EC4D68"/>
    <w:rsid w:val="03AD7FE7"/>
    <w:rsid w:val="03BE1425"/>
    <w:rsid w:val="05B50DD5"/>
    <w:rsid w:val="06621930"/>
    <w:rsid w:val="09E66EBB"/>
    <w:rsid w:val="0B702572"/>
    <w:rsid w:val="0BCD191C"/>
    <w:rsid w:val="0C1658F0"/>
    <w:rsid w:val="0EFB7241"/>
    <w:rsid w:val="11275B67"/>
    <w:rsid w:val="15413BD2"/>
    <w:rsid w:val="17E44BF7"/>
    <w:rsid w:val="1F0C1F90"/>
    <w:rsid w:val="2267299D"/>
    <w:rsid w:val="29AA10E6"/>
    <w:rsid w:val="2A3B12E9"/>
    <w:rsid w:val="2A417BBA"/>
    <w:rsid w:val="2C644E4F"/>
    <w:rsid w:val="2E5614BA"/>
    <w:rsid w:val="3069514C"/>
    <w:rsid w:val="326B22E9"/>
    <w:rsid w:val="34BE179F"/>
    <w:rsid w:val="393E2B07"/>
    <w:rsid w:val="3BA15166"/>
    <w:rsid w:val="471E5594"/>
    <w:rsid w:val="48371032"/>
    <w:rsid w:val="491331C9"/>
    <w:rsid w:val="49154CF5"/>
    <w:rsid w:val="49E50B28"/>
    <w:rsid w:val="4DFE2791"/>
    <w:rsid w:val="4F7915AC"/>
    <w:rsid w:val="50AA13EF"/>
    <w:rsid w:val="50B210A0"/>
    <w:rsid w:val="5192354A"/>
    <w:rsid w:val="52195FF1"/>
    <w:rsid w:val="523D26EA"/>
    <w:rsid w:val="54BB72A2"/>
    <w:rsid w:val="59A035EB"/>
    <w:rsid w:val="5C0C0EFC"/>
    <w:rsid w:val="60300DDA"/>
    <w:rsid w:val="64422839"/>
    <w:rsid w:val="65741154"/>
    <w:rsid w:val="689948F2"/>
    <w:rsid w:val="6B2D3152"/>
    <w:rsid w:val="6D9B3FB9"/>
    <w:rsid w:val="70314A3F"/>
    <w:rsid w:val="70E5303A"/>
    <w:rsid w:val="75B82431"/>
    <w:rsid w:val="75F52494"/>
    <w:rsid w:val="7B01619D"/>
    <w:rsid w:val="7DB84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7"/>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2"/>
    <w:basedOn w:val="1"/>
    <w:next w:val="1"/>
    <w:unhideWhenUsed/>
    <w:qFormat/>
    <w:uiPriority w:val="39"/>
    <w:pPr>
      <w:ind w:left="420" w:leftChars="200"/>
    </w:pPr>
  </w:style>
  <w:style w:type="paragraph" w:styleId="7">
    <w:name w:val="Normal (Web)"/>
    <w:basedOn w:val="1"/>
    <w:qFormat/>
    <w:uiPriority w:val="0"/>
    <w:pPr>
      <w:widowControl/>
      <w:adjustRightInd w:val="0"/>
      <w:spacing w:before="100" w:beforeAutospacing="1" w:after="100" w:afterAutospacing="1" w:line="312" w:lineRule="atLeast"/>
      <w:jc w:val="left"/>
    </w:pPr>
    <w:rPr>
      <w:rFonts w:ascii="宋体" w:hAnsi="宋体" w:cs="宋体"/>
      <w:kern w:val="0"/>
      <w:sz w:val="24"/>
    </w:rPr>
  </w:style>
  <w:style w:type="character" w:styleId="10">
    <w:name w:val="Hyperlink"/>
    <w:basedOn w:val="9"/>
    <w:unhideWhenUsed/>
    <w:qFormat/>
    <w:uiPriority w:val="99"/>
    <w:rPr>
      <w:color w:val="0000FF" w:themeColor="hyperlink"/>
      <w:u w:val="single"/>
      <w14:textFill>
        <w14:solidFill>
          <w14:schemeClr w14:val="hlink"/>
        </w14:solidFill>
      </w14:textFill>
    </w:rPr>
  </w:style>
  <w:style w:type="paragraph" w:styleId="11">
    <w:name w:val="List Paragraph"/>
    <w:basedOn w:val="1"/>
    <w:qFormat/>
    <w:uiPriority w:val="34"/>
    <w:pPr>
      <w:ind w:firstLine="420" w:firstLineChars="200"/>
    </w:pPr>
  </w:style>
  <w:style w:type="character" w:customStyle="1" w:styleId="12">
    <w:name w:val="页眉 Char"/>
    <w:basedOn w:val="9"/>
    <w:link w:val="5"/>
    <w:qFormat/>
    <w:uiPriority w:val="99"/>
    <w:rPr>
      <w:kern w:val="2"/>
      <w:sz w:val="18"/>
      <w:szCs w:val="18"/>
    </w:rPr>
  </w:style>
  <w:style w:type="character" w:customStyle="1" w:styleId="13">
    <w:name w:val="页脚 Char"/>
    <w:basedOn w:val="9"/>
    <w:link w:val="4"/>
    <w:qFormat/>
    <w:uiPriority w:val="99"/>
    <w:rPr>
      <w:kern w:val="2"/>
      <w:sz w:val="18"/>
      <w:szCs w:val="18"/>
    </w:rPr>
  </w:style>
  <w:style w:type="character" w:customStyle="1" w:styleId="14">
    <w:name w:val="日期 Char"/>
    <w:basedOn w:val="9"/>
    <w:link w:val="2"/>
    <w:semiHidden/>
    <w:qFormat/>
    <w:uiPriority w:val="99"/>
    <w:rPr>
      <w:kern w:val="2"/>
      <w:sz w:val="21"/>
    </w:rPr>
  </w:style>
  <w:style w:type="paragraph" w:customStyle="1" w:styleId="15">
    <w:name w:val="Char Char1 Char Char Char Char"/>
    <w:basedOn w:val="1"/>
    <w:qFormat/>
    <w:uiPriority w:val="0"/>
    <w:rPr>
      <w:rFonts w:eastAsia="仿宋_GB2312"/>
      <w:sz w:val="32"/>
      <w:szCs w:val="32"/>
    </w:rPr>
  </w:style>
  <w:style w:type="paragraph" w:customStyle="1" w:styleId="16">
    <w:name w:val="Char Char Char Char"/>
    <w:basedOn w:val="1"/>
    <w:qFormat/>
    <w:uiPriority w:val="0"/>
    <w:pPr>
      <w:widowControl/>
      <w:adjustRightInd w:val="0"/>
      <w:snapToGrid w:val="0"/>
      <w:spacing w:after="160" w:line="240" w:lineRule="exact"/>
      <w:jc w:val="left"/>
    </w:pPr>
    <w:rPr>
      <w:kern w:val="0"/>
    </w:rPr>
  </w:style>
  <w:style w:type="character" w:customStyle="1" w:styleId="17">
    <w:name w:val="批注框文本 Char"/>
    <w:basedOn w:val="9"/>
    <w:link w:val="3"/>
    <w:semiHidden/>
    <w:qFormat/>
    <w:uiPriority w:val="99"/>
    <w:rPr>
      <w:kern w:val="2"/>
      <w:sz w:val="18"/>
      <w:szCs w:val="18"/>
    </w:rPr>
  </w:style>
  <w:style w:type="paragraph" w:customStyle="1" w:styleId="18">
    <w:name w:val="Char Char Char Char Char Char Char Char Char Char Char Char Char Char Char Char"/>
    <w:basedOn w:val="1"/>
    <w:qFormat/>
    <w:uiPriority w:val="0"/>
    <w:pPr>
      <w:widowControl/>
      <w:adjustRightInd w:val="0"/>
      <w:spacing w:after="160" w:line="240" w:lineRule="exact"/>
      <w:jc w:val="left"/>
    </w:pPr>
    <w:rPr>
      <w:kern w:val="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00CB5B-7D6E-45AE-BE57-5FFBBA6CDF41}">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Pages>
  <Words>460</Words>
  <Characters>2626</Characters>
  <Lines>21</Lines>
  <Paragraphs>6</Paragraphs>
  <TotalTime>6925</TotalTime>
  <ScaleCrop>false</ScaleCrop>
  <LinksUpToDate>false</LinksUpToDate>
  <CharactersWithSpaces>3080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2017-09-12T01:55:00Z</dcterms:created>
  <dc:creator>pc</dc:creator>
  <cp:lastModifiedBy>Administrator</cp:lastModifiedBy>
  <cp:lastPrinted>2021-12-24T02:00:00Z</cp:lastPrinted>
  <dcterms:modified xsi:type="dcterms:W3CDTF">2021-12-30T01:04:21Z</dcterms:modified>
  <cp:revision>1117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A514C81579B04933AA35DDAAA5863D0B</vt:lpwstr>
  </property>
</Properties>
</file>