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p>
    <w:p>
      <w:pPr>
        <w:jc w:val="center"/>
      </w:pPr>
    </w:p>
    <w:p>
      <w:pPr>
        <w:jc w:val="center"/>
      </w:pPr>
    </w:p>
    <w:p>
      <w:pPr>
        <w:jc w:val="center"/>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rPr>
          <w:sz w:val="48"/>
          <w:szCs w:val="48"/>
        </w:rPr>
      </w:pPr>
    </w:p>
    <w:p>
      <w:pPr>
        <w:jc w:val="center"/>
        <w:rPr>
          <w:b/>
          <w:sz w:val="36"/>
          <w:szCs w:val="36"/>
        </w:rPr>
      </w:pPr>
      <w:r>
        <w:rPr>
          <w:rFonts w:hint="eastAsia"/>
          <w:b/>
          <w:sz w:val="36"/>
          <w:szCs w:val="36"/>
        </w:rPr>
        <w:t>始兴县教育局关于中小学校建设经费</w:t>
      </w:r>
    </w:p>
    <w:p>
      <w:pPr>
        <w:jc w:val="center"/>
        <w:rPr>
          <w:b/>
          <w:sz w:val="36"/>
          <w:szCs w:val="36"/>
        </w:rPr>
      </w:pPr>
      <w:r>
        <w:rPr>
          <w:rFonts w:hint="eastAsia"/>
          <w:b/>
          <w:sz w:val="36"/>
          <w:szCs w:val="36"/>
        </w:rPr>
        <w:t>（含中小学校厕所革命）（教育费附加）</w:t>
      </w:r>
    </w:p>
    <w:p>
      <w:pPr>
        <w:jc w:val="center"/>
        <w:rPr>
          <w:b/>
          <w:sz w:val="36"/>
          <w:szCs w:val="36"/>
        </w:rPr>
      </w:pPr>
      <w:r>
        <w:rPr>
          <w:rFonts w:hint="eastAsia"/>
          <w:b/>
          <w:sz w:val="36"/>
          <w:szCs w:val="36"/>
        </w:rPr>
        <w:t>项目资金绩效评价报告</w:t>
      </w:r>
    </w:p>
    <w:p>
      <w:pPr>
        <w:spacing w:before="312" w:beforeLines="100" w:after="312" w:afterLines="1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报告号：韶中一专字[2021]21013340099号</w:t>
      </w:r>
    </w:p>
    <w:p>
      <w:pPr>
        <w:spacing w:before="156" w:beforeLines="50" w:after="156" w:afterLines="50"/>
      </w:pPr>
    </w:p>
    <w:p/>
    <w:p/>
    <w:p/>
    <w:p/>
    <w:p/>
    <w:p/>
    <w:p/>
    <w:p/>
    <w:p/>
    <w:p/>
    <w:p/>
    <w:p/>
    <w:p/>
    <w:p/>
    <w:p/>
    <w:p/>
    <w:p>
      <w:pPr>
        <w:jc w:val="center"/>
        <w:rPr>
          <w:sz w:val="28"/>
          <w:szCs w:val="28"/>
        </w:rPr>
      </w:pPr>
      <w:r>
        <w:rPr>
          <w:rFonts w:hint="eastAsia"/>
          <w:sz w:val="28"/>
          <w:szCs w:val="28"/>
        </w:rPr>
        <w:t>委托单位：广东省始兴县财政局</w:t>
      </w:r>
    </w:p>
    <w:p>
      <w:pPr>
        <w:jc w:val="center"/>
        <w:rPr>
          <w:sz w:val="28"/>
          <w:szCs w:val="28"/>
        </w:rPr>
      </w:pPr>
      <w:r>
        <w:rPr>
          <w:rFonts w:hint="eastAsia"/>
          <w:sz w:val="28"/>
          <w:szCs w:val="28"/>
        </w:rPr>
        <w:t>评价机构：韶关中一会计师事务所有限公司</w:t>
      </w:r>
    </w:p>
    <w:p>
      <w:pPr>
        <w:spacing w:before="156" w:beforeLines="50" w:after="312" w:afterLines="100" w:line="500" w:lineRule="exact"/>
        <w:ind w:firstLine="560" w:firstLineChars="200"/>
        <w:jc w:val="center"/>
        <w:rPr>
          <w:sz w:val="28"/>
          <w:szCs w:val="28"/>
        </w:rPr>
      </w:pPr>
      <w:r>
        <w:rPr>
          <w:rFonts w:hint="eastAsia"/>
          <w:sz w:val="28"/>
          <w:szCs w:val="28"/>
        </w:rPr>
        <w:t>二〇二一年十二月三十一日</w:t>
      </w:r>
    </w:p>
    <w:p>
      <w:pPr>
        <w:spacing w:before="156" w:beforeLines="50" w:after="312" w:afterLines="100" w:line="500" w:lineRule="exact"/>
        <w:ind w:firstLine="643" w:firstLineChars="200"/>
        <w:jc w:val="center"/>
        <w:rPr>
          <w:rFonts w:asciiTheme="minorEastAsia" w:hAnsiTheme="minorEastAsia" w:eastAsiaTheme="minorEastAsia"/>
          <w:b/>
          <w:bCs/>
          <w:sz w:val="32"/>
          <w:szCs w:val="32"/>
          <w:lang w:val="zh-CN"/>
        </w:rPr>
      </w:pPr>
      <w:r>
        <w:rPr>
          <w:rFonts w:asciiTheme="minorEastAsia" w:hAnsiTheme="minorEastAsia" w:eastAsiaTheme="minorEastAsia"/>
          <w:b/>
          <w:bCs/>
          <w:sz w:val="32"/>
          <w:szCs w:val="32"/>
          <w:lang w:val="zh-CN"/>
        </w:rPr>
        <w:t>目</w:t>
      </w:r>
      <w:r>
        <w:rPr>
          <w:rFonts w:hint="eastAsia" w:asciiTheme="minorEastAsia" w:hAnsiTheme="minorEastAsia" w:eastAsiaTheme="minorEastAsia"/>
          <w:b/>
          <w:bCs/>
          <w:sz w:val="32"/>
          <w:szCs w:val="32"/>
        </w:rPr>
        <w:t xml:space="preserve">  </w:t>
      </w:r>
      <w:r>
        <w:rPr>
          <w:rFonts w:asciiTheme="minorEastAsia" w:hAnsiTheme="minorEastAsia" w:eastAsiaTheme="minorEastAsia"/>
          <w:b/>
          <w:bCs/>
          <w:sz w:val="32"/>
          <w:szCs w:val="32"/>
          <w:lang w:val="zh-CN"/>
        </w:rPr>
        <w:t>录</w:t>
      </w: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说  明</w:t>
      </w:r>
      <w:r>
        <w:rPr>
          <w:rFonts w:hint="eastAsia" w:ascii="仿宋" w:hAnsi="仿宋" w:eastAsia="仿宋"/>
          <w:bCs/>
          <w:sz w:val="32"/>
          <w:szCs w:val="32"/>
          <w:lang w:val="zh-CN"/>
        </w:rPr>
        <w:tab/>
      </w:r>
      <w:r>
        <w:rPr>
          <w:rFonts w:ascii="仿宋" w:hAnsi="仿宋" w:eastAsia="仿宋"/>
          <w:bCs/>
          <w:sz w:val="32"/>
          <w:szCs w:val="32"/>
          <w:lang w:val="zh-CN"/>
        </w:rPr>
        <w:t>…………………………………………………</w:t>
      </w:r>
      <w:r>
        <w:rPr>
          <w:rFonts w:hint="eastAsia" w:ascii="仿宋" w:hAnsi="仿宋" w:eastAsia="仿宋"/>
          <w:bCs/>
          <w:sz w:val="32"/>
          <w:szCs w:val="32"/>
          <w:lang w:val="zh-CN"/>
        </w:rPr>
        <w:t>1</w:t>
      </w:r>
    </w:p>
    <w:p>
      <w:pPr>
        <w:spacing w:line="500" w:lineRule="exact"/>
        <w:ind w:firstLine="640" w:firstLineChars="200"/>
        <w:rPr>
          <w:rFonts w:ascii="仿宋" w:hAnsi="仿宋" w:eastAsia="仿宋"/>
          <w:bCs/>
          <w:sz w:val="32"/>
          <w:szCs w:val="32"/>
          <w:lang w:val="zh-CN"/>
        </w:rPr>
      </w:pP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一、评价项目概要</w:t>
      </w:r>
      <w:r>
        <w:rPr>
          <w:rFonts w:ascii="仿宋" w:hAnsi="仿宋" w:eastAsia="仿宋"/>
          <w:bCs/>
          <w:sz w:val="32"/>
          <w:szCs w:val="32"/>
          <w:lang w:val="zh-CN"/>
        </w:rPr>
        <w:t>……………………………………</w:t>
      </w:r>
      <w:r>
        <w:rPr>
          <w:rFonts w:hint="eastAsia" w:ascii="仿宋" w:hAnsi="仿宋" w:eastAsia="仿宋"/>
          <w:bCs/>
          <w:sz w:val="32"/>
          <w:szCs w:val="32"/>
          <w:lang w:val="zh-CN"/>
        </w:rPr>
        <w:t>2</w:t>
      </w:r>
      <w:r>
        <w:rPr>
          <w:rFonts w:ascii="仿宋" w:hAnsi="仿宋" w:eastAsia="仿宋"/>
          <w:bCs/>
          <w:sz w:val="32"/>
          <w:szCs w:val="32"/>
          <w:lang w:val="zh-CN"/>
        </w:rPr>
        <w:t>-</w:t>
      </w:r>
      <w:r>
        <w:rPr>
          <w:rFonts w:hint="eastAsia" w:ascii="仿宋" w:hAnsi="仿宋" w:eastAsia="仿宋"/>
          <w:bCs/>
          <w:sz w:val="32"/>
          <w:szCs w:val="32"/>
          <w:lang w:val="zh-CN"/>
        </w:rPr>
        <w:t>5</w:t>
      </w:r>
    </w:p>
    <w:p>
      <w:pPr>
        <w:spacing w:line="500" w:lineRule="exact"/>
        <w:ind w:firstLine="640" w:firstLineChars="200"/>
        <w:rPr>
          <w:rFonts w:ascii="仿宋" w:hAnsi="仿宋" w:eastAsia="仿宋"/>
          <w:bCs/>
          <w:sz w:val="32"/>
          <w:szCs w:val="32"/>
          <w:lang w:val="zh-CN"/>
        </w:rPr>
      </w:pP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二、评价结论与绩效分析</w:t>
      </w:r>
      <w:r>
        <w:rPr>
          <w:rFonts w:ascii="仿宋" w:hAnsi="仿宋" w:eastAsia="仿宋"/>
          <w:bCs/>
          <w:sz w:val="32"/>
          <w:szCs w:val="32"/>
          <w:lang w:val="zh-CN"/>
        </w:rPr>
        <w:t>……………………………</w:t>
      </w:r>
      <w:r>
        <w:rPr>
          <w:rFonts w:hint="eastAsia" w:ascii="仿宋" w:hAnsi="仿宋" w:eastAsia="仿宋"/>
          <w:bCs/>
          <w:sz w:val="32"/>
          <w:szCs w:val="32"/>
          <w:lang w:val="zh-CN"/>
        </w:rPr>
        <w:t>5</w:t>
      </w:r>
      <w:r>
        <w:rPr>
          <w:rFonts w:ascii="仿宋" w:hAnsi="仿宋" w:eastAsia="仿宋"/>
          <w:bCs/>
          <w:sz w:val="32"/>
          <w:szCs w:val="32"/>
          <w:lang w:val="zh-CN"/>
        </w:rPr>
        <w:t>-</w:t>
      </w:r>
      <w:r>
        <w:rPr>
          <w:rFonts w:hint="eastAsia" w:ascii="仿宋" w:hAnsi="仿宋" w:eastAsia="仿宋"/>
          <w:bCs/>
          <w:sz w:val="32"/>
          <w:szCs w:val="32"/>
          <w:lang w:val="zh-CN"/>
        </w:rPr>
        <w:t>8</w:t>
      </w:r>
    </w:p>
    <w:p>
      <w:pPr>
        <w:spacing w:line="500" w:lineRule="exact"/>
        <w:rPr>
          <w:rFonts w:ascii="仿宋" w:hAnsi="仿宋" w:eastAsia="仿宋"/>
          <w:bCs/>
          <w:sz w:val="32"/>
          <w:szCs w:val="32"/>
          <w:lang w:val="zh-CN"/>
        </w:rPr>
      </w:pP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三、主要绩效</w:t>
      </w:r>
      <w:r>
        <w:rPr>
          <w:rFonts w:ascii="仿宋" w:hAnsi="仿宋" w:eastAsia="仿宋"/>
          <w:bCs/>
          <w:sz w:val="32"/>
          <w:szCs w:val="32"/>
          <w:lang w:val="zh-CN"/>
        </w:rPr>
        <w:t>……………………………………………</w:t>
      </w:r>
      <w:r>
        <w:rPr>
          <w:rFonts w:hint="eastAsia" w:ascii="仿宋" w:hAnsi="仿宋" w:eastAsia="仿宋"/>
          <w:bCs/>
          <w:sz w:val="32"/>
          <w:szCs w:val="32"/>
          <w:lang w:val="zh-CN"/>
        </w:rPr>
        <w:t>8</w:t>
      </w:r>
    </w:p>
    <w:p>
      <w:pPr>
        <w:spacing w:line="500" w:lineRule="exact"/>
        <w:ind w:firstLine="640" w:firstLineChars="200"/>
        <w:rPr>
          <w:rFonts w:ascii="仿宋" w:hAnsi="仿宋" w:eastAsia="仿宋"/>
          <w:bCs/>
          <w:sz w:val="32"/>
          <w:szCs w:val="32"/>
          <w:lang w:val="zh-CN"/>
        </w:rPr>
      </w:pP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四、存在问题</w:t>
      </w:r>
      <w:r>
        <w:rPr>
          <w:rFonts w:ascii="仿宋" w:hAnsi="仿宋" w:eastAsia="仿宋"/>
          <w:bCs/>
          <w:sz w:val="32"/>
          <w:szCs w:val="32"/>
          <w:lang w:val="zh-CN"/>
        </w:rPr>
        <w:t>……………………………………………</w:t>
      </w:r>
      <w:r>
        <w:rPr>
          <w:rFonts w:hint="eastAsia" w:ascii="仿宋" w:hAnsi="仿宋" w:eastAsia="仿宋"/>
          <w:bCs/>
          <w:sz w:val="32"/>
          <w:szCs w:val="32"/>
          <w:lang w:val="zh-CN"/>
        </w:rPr>
        <w:t>9</w:t>
      </w:r>
    </w:p>
    <w:p>
      <w:pPr>
        <w:spacing w:line="500" w:lineRule="exact"/>
        <w:ind w:firstLine="960" w:firstLineChars="300"/>
        <w:rPr>
          <w:rFonts w:ascii="仿宋" w:hAnsi="仿宋" w:eastAsia="仿宋"/>
          <w:bCs/>
          <w:sz w:val="32"/>
          <w:szCs w:val="32"/>
          <w:lang w:val="zh-CN"/>
        </w:rPr>
      </w:pP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五、相关建议</w:t>
      </w:r>
      <w:r>
        <w:rPr>
          <w:rFonts w:ascii="仿宋" w:hAnsi="仿宋" w:eastAsia="仿宋"/>
          <w:bCs/>
          <w:sz w:val="32"/>
          <w:szCs w:val="32"/>
          <w:lang w:val="zh-CN"/>
        </w:rPr>
        <w:t>……………………………………………</w:t>
      </w:r>
      <w:r>
        <w:rPr>
          <w:rFonts w:hint="eastAsia" w:ascii="仿宋" w:hAnsi="仿宋" w:eastAsia="仿宋"/>
          <w:bCs/>
          <w:sz w:val="32"/>
          <w:szCs w:val="32"/>
          <w:lang w:val="zh-CN"/>
        </w:rPr>
        <w:t>9</w:t>
      </w:r>
    </w:p>
    <w:p>
      <w:pPr>
        <w:spacing w:line="500" w:lineRule="exact"/>
        <w:ind w:firstLine="960" w:firstLineChars="300"/>
        <w:rPr>
          <w:rFonts w:ascii="仿宋" w:hAnsi="仿宋" w:eastAsia="仿宋"/>
          <w:bCs/>
          <w:sz w:val="32"/>
          <w:szCs w:val="32"/>
          <w:lang w:val="zh-CN"/>
        </w:rPr>
      </w:pP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 xml:space="preserve">六、其他需要的说明 </w:t>
      </w:r>
      <w:r>
        <w:rPr>
          <w:rFonts w:ascii="仿宋" w:hAnsi="仿宋" w:eastAsia="仿宋"/>
          <w:bCs/>
          <w:sz w:val="32"/>
          <w:szCs w:val="32"/>
          <w:lang w:val="zh-CN"/>
        </w:rPr>
        <w:t>………………………………</w:t>
      </w:r>
      <w:r>
        <w:rPr>
          <w:rFonts w:hint="eastAsia" w:ascii="仿宋" w:hAnsi="仿宋" w:eastAsia="仿宋"/>
          <w:bCs/>
          <w:sz w:val="32"/>
          <w:szCs w:val="32"/>
          <w:lang w:val="zh-CN"/>
        </w:rPr>
        <w:t>9-10</w:t>
      </w:r>
    </w:p>
    <w:p>
      <w:pPr>
        <w:spacing w:line="500" w:lineRule="exact"/>
        <w:ind w:firstLine="640" w:firstLineChars="200"/>
        <w:rPr>
          <w:rFonts w:ascii="仿宋" w:hAnsi="仿宋" w:eastAsia="仿宋"/>
          <w:bCs/>
          <w:sz w:val="32"/>
          <w:szCs w:val="32"/>
          <w:lang w:val="zh-CN"/>
        </w:rPr>
      </w:pPr>
    </w:p>
    <w:p>
      <w:pPr>
        <w:rPr>
          <w:rFonts w:asciiTheme="minorEastAsia" w:hAnsiTheme="minorEastAsia"/>
          <w:b/>
          <w:spacing w:val="5"/>
          <w:kern w:val="0"/>
          <w:sz w:val="44"/>
          <w:szCs w:val="44"/>
        </w:rPr>
      </w:pPr>
      <w:bookmarkStart w:id="0" w:name="_GoBack"/>
      <w:bookmarkEnd w:id="0"/>
    </w:p>
    <w:p>
      <w:pPr>
        <w:rPr>
          <w:rFonts w:asciiTheme="minorEastAsia" w:hAnsiTheme="minorEastAsia"/>
          <w:b/>
          <w:spacing w:val="5"/>
          <w:kern w:val="0"/>
          <w:sz w:val="44"/>
          <w:szCs w:val="44"/>
        </w:rPr>
      </w:pPr>
    </w:p>
    <w:p>
      <w:pPr>
        <w:rPr>
          <w:rFonts w:asciiTheme="minorEastAsia" w:hAnsiTheme="minorEastAsia"/>
          <w:b/>
          <w:spacing w:val="5"/>
          <w:kern w:val="0"/>
          <w:sz w:val="44"/>
          <w:szCs w:val="44"/>
        </w:rPr>
      </w:pPr>
    </w:p>
    <w:p>
      <w:pPr>
        <w:rPr>
          <w:rFonts w:asciiTheme="minorEastAsia" w:hAnsiTheme="minorEastAsia"/>
          <w:b/>
          <w:spacing w:val="5"/>
          <w:kern w:val="0"/>
          <w:sz w:val="44"/>
          <w:szCs w:val="44"/>
        </w:rPr>
      </w:pPr>
    </w:p>
    <w:p>
      <w:pPr>
        <w:rPr>
          <w:rFonts w:asciiTheme="minorEastAsia" w:hAnsiTheme="minorEastAsia"/>
          <w:b/>
          <w:spacing w:val="5"/>
          <w:kern w:val="0"/>
          <w:sz w:val="44"/>
          <w:szCs w:val="44"/>
        </w:rPr>
      </w:pPr>
    </w:p>
    <w:p>
      <w:pPr>
        <w:rPr>
          <w:rFonts w:asciiTheme="minorEastAsia" w:hAnsiTheme="minorEastAsia"/>
          <w:b/>
          <w:spacing w:val="5"/>
          <w:kern w:val="0"/>
          <w:sz w:val="44"/>
          <w:szCs w:val="44"/>
        </w:rPr>
        <w:sectPr>
          <w:pgSz w:w="11906" w:h="16838"/>
          <w:pgMar w:top="1440" w:right="1800" w:bottom="1440" w:left="1800" w:header="851" w:footer="992" w:gutter="0"/>
          <w:cols w:space="425" w:num="1"/>
          <w:docGrid w:type="lines" w:linePitch="312" w:charSpace="0"/>
        </w:sectPr>
      </w:pPr>
    </w:p>
    <w:p>
      <w:pPr>
        <w:pStyle w:val="6"/>
        <w:spacing w:before="156" w:beforeLines="50" w:after="156" w:afterLines="50" w:line="560" w:lineRule="exact"/>
        <w:jc w:val="center"/>
        <w:rPr>
          <w:rFonts w:ascii="仿宋" w:hAnsi="仿宋" w:eastAsia="仿宋"/>
          <w:b/>
          <w:spacing w:val="5"/>
          <w:sz w:val="32"/>
          <w:szCs w:val="32"/>
        </w:rPr>
      </w:pPr>
      <w:r>
        <w:rPr>
          <w:rFonts w:hint="eastAsia" w:ascii="仿宋" w:hAnsi="仿宋" w:eastAsia="仿宋"/>
          <w:b/>
          <w:spacing w:val="5"/>
          <w:sz w:val="32"/>
          <w:szCs w:val="32"/>
        </w:rPr>
        <w:t>说  明</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为加强财政资金支出管理，促进资金主管部门树立绩效观念，进一步规范和完善财政资金支出绩效评价工作，始兴县财政局委托韶关中一会计师事务所有限公司（以下简称“中一事务所”）对始兴县教育局关于中小学校建设经费（含中小学校厕所革命）（教育费附加）项目资金支出开展绩效评价。</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2021年11月13日至2021年12月17日，中一事务所对始兴县教育局关于中小学校建设经费（含中小学校厕所革命）（教育费附加）项目资金支出绩效评价。</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本次部门整体支出绩效评价工作遵循“客观、公正、科学、规范”的原则，根据始兴县教育局2020年初设定的绩效目标，设置合理的评价指标及标准，运用比较法、成本效益分析法和公众评判法等评价方法，对始兴县教育局关于中小学校建设经费（含中小学校厕所革命）（教育费附加）项目资金支出的全过程及其履行职责的经济性、效率性、效果性和公平性进行评价。</w:t>
      </w:r>
    </w:p>
    <w:p>
      <w:pPr>
        <w:pStyle w:val="6"/>
        <w:spacing w:before="0" w:beforeAutospacing="0" w:after="0" w:afterAutospacing="0" w:line="560" w:lineRule="exact"/>
        <w:ind w:firstLine="660" w:firstLineChars="200"/>
        <w:rPr>
          <w:rFonts w:ascii="仿宋" w:hAnsi="仿宋" w:eastAsia="仿宋" w:cs="Times New Roman"/>
          <w:spacing w:val="5"/>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仿宋" w:hAnsi="仿宋" w:eastAsia="仿宋" w:cs="Times New Roman"/>
          <w:spacing w:val="5"/>
          <w:sz w:val="32"/>
          <w:szCs w:val="32"/>
        </w:rPr>
        <w:t>本报告由中一事务所独立完成。</w:t>
      </w:r>
    </w:p>
    <w:p>
      <w:pPr>
        <w:pStyle w:val="6"/>
        <w:numPr>
          <w:ilvl w:val="0"/>
          <w:numId w:val="1"/>
        </w:numPr>
        <w:spacing w:before="0" w:beforeAutospacing="0" w:after="0" w:afterAutospacing="0" w:line="560" w:lineRule="exact"/>
        <w:rPr>
          <w:rFonts w:ascii="仿宋" w:hAnsi="仿宋" w:eastAsia="仿宋"/>
          <w:sz w:val="32"/>
          <w:szCs w:val="32"/>
        </w:rPr>
      </w:pPr>
      <w:r>
        <w:rPr>
          <w:rFonts w:hint="eastAsia" w:ascii="仿宋" w:hAnsi="仿宋" w:eastAsia="仿宋"/>
          <w:b/>
          <w:spacing w:val="5"/>
          <w:sz w:val="32"/>
          <w:szCs w:val="32"/>
        </w:rPr>
        <w:t>评价项目概要</w:t>
      </w:r>
    </w:p>
    <w:p>
      <w:pPr>
        <w:pStyle w:val="6"/>
        <w:spacing w:before="0" w:beforeAutospacing="0" w:after="0" w:afterAutospacing="0" w:line="560" w:lineRule="exact"/>
        <w:ind w:firstLine="660" w:firstLineChars="200"/>
        <w:rPr>
          <w:rFonts w:ascii="仿宋" w:hAnsi="仿宋" w:eastAsia="仿宋"/>
          <w:sz w:val="32"/>
          <w:szCs w:val="32"/>
        </w:rPr>
      </w:pPr>
      <w:r>
        <w:rPr>
          <w:rFonts w:hint="eastAsia" w:ascii="仿宋" w:hAnsi="仿宋" w:eastAsia="仿宋" w:cs="Times New Roman"/>
          <w:spacing w:val="5"/>
          <w:sz w:val="32"/>
          <w:szCs w:val="32"/>
        </w:rPr>
        <w:t>（一）项目背景</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始兴县教育局是始兴县教育事业行政主管部门。始兴县学前教育幼儿园有53所（包括在建园），其中：公办19所、普惠性民办园32所，在园幼儿8376人。义务教育学校25所，其中：初中学校11所（含九年一贯制学校2所）、小学14所，义务教育阶段学生29780人。普通高中有2所，学生3579人。本次项目主要实施学校有实验小学、丹凤小学、幸福学校、顿岗小学、太平镇小学、沈所镇中心小学、罗坝镇中心小学，目的是为了改善学校的校舍条件（含厕所）。</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w:t>
      </w:r>
      <w:r>
        <w:rPr>
          <w:rFonts w:ascii="仿宋" w:hAnsi="仿宋" w:eastAsia="仿宋" w:cs="Times New Roman"/>
          <w:spacing w:val="5"/>
          <w:sz w:val="32"/>
          <w:szCs w:val="32"/>
        </w:rPr>
        <w:t>绩效</w:t>
      </w:r>
      <w:r>
        <w:rPr>
          <w:rFonts w:hint="eastAsia" w:ascii="仿宋" w:hAnsi="仿宋" w:eastAsia="仿宋" w:cs="Times New Roman"/>
          <w:spacing w:val="5"/>
          <w:sz w:val="32"/>
          <w:szCs w:val="32"/>
        </w:rPr>
        <w:t>目</w:t>
      </w:r>
      <w:r>
        <w:rPr>
          <w:rFonts w:ascii="仿宋" w:hAnsi="仿宋" w:eastAsia="仿宋" w:cs="Times New Roman"/>
          <w:spacing w:val="5"/>
          <w:sz w:val="32"/>
          <w:szCs w:val="32"/>
        </w:rPr>
        <w:t>标</w:t>
      </w:r>
      <w:r>
        <w:rPr>
          <w:rFonts w:hint="eastAsia" w:ascii="仿宋" w:hAnsi="仿宋" w:eastAsia="仿宋" w:cs="Times New Roman"/>
          <w:spacing w:val="5"/>
          <w:sz w:val="32"/>
          <w:szCs w:val="32"/>
        </w:rPr>
        <w:t xml:space="preserve"> </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ascii="仿宋" w:hAnsi="仿宋" w:eastAsia="仿宋" w:cs="Times New Roman"/>
          <w:spacing w:val="5"/>
          <w:sz w:val="32"/>
          <w:szCs w:val="32"/>
        </w:rPr>
        <w:t>根据</w:t>
      </w:r>
      <w:r>
        <w:rPr>
          <w:rFonts w:hint="eastAsia" w:ascii="仿宋" w:hAnsi="仿宋" w:eastAsia="仿宋" w:cs="Times New Roman"/>
          <w:spacing w:val="5"/>
          <w:sz w:val="32"/>
          <w:szCs w:val="32"/>
        </w:rPr>
        <w:t>始兴县财政局文件《关于批复下达始兴县预算单位2020年预算指标的通知》（始财预[2020]1号）的</w:t>
      </w:r>
      <w:r>
        <w:rPr>
          <w:rFonts w:ascii="仿宋" w:hAnsi="仿宋" w:eastAsia="仿宋" w:cs="Times New Roman"/>
          <w:spacing w:val="5"/>
          <w:sz w:val="32"/>
          <w:szCs w:val="32"/>
        </w:rPr>
        <w:t>要求，</w:t>
      </w:r>
      <w:r>
        <w:rPr>
          <w:rFonts w:hint="eastAsia" w:ascii="仿宋" w:hAnsi="仿宋" w:eastAsia="仿宋" w:cs="Times New Roman"/>
          <w:spacing w:val="5"/>
          <w:sz w:val="32"/>
          <w:szCs w:val="32"/>
        </w:rPr>
        <w:t>2020</w:t>
      </w:r>
      <w:r>
        <w:rPr>
          <w:rFonts w:ascii="仿宋" w:hAnsi="仿宋" w:eastAsia="仿宋" w:cs="Times New Roman"/>
          <w:spacing w:val="5"/>
          <w:sz w:val="32"/>
          <w:szCs w:val="32"/>
        </w:rPr>
        <w:t>年</w:t>
      </w:r>
      <w:r>
        <w:rPr>
          <w:rFonts w:hint="eastAsia" w:ascii="仿宋" w:hAnsi="仿宋" w:eastAsia="仿宋" w:cs="Times New Roman"/>
          <w:spacing w:val="5"/>
          <w:sz w:val="32"/>
          <w:szCs w:val="32"/>
        </w:rPr>
        <w:t>资金</w:t>
      </w:r>
      <w:r>
        <w:rPr>
          <w:rFonts w:ascii="仿宋" w:hAnsi="仿宋" w:eastAsia="仿宋" w:cs="Times New Roman"/>
          <w:spacing w:val="5"/>
          <w:sz w:val="32"/>
          <w:szCs w:val="32"/>
        </w:rPr>
        <w:t>绩效目标为:</w:t>
      </w:r>
      <w:r>
        <w:rPr>
          <w:rFonts w:hint="eastAsia" w:ascii="仿宋" w:hAnsi="仿宋" w:eastAsia="仿宋" w:cs="Times New Roman"/>
          <w:spacing w:val="5"/>
          <w:sz w:val="32"/>
          <w:szCs w:val="32"/>
        </w:rPr>
        <w:t>中小学校建设经费（含中小学校厕所革命）（教育费附加）项目经费使用补齐教育的短板，保证教育的正常运作，同时改善学校的基本办学条件，促进学校教育的发展。</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（三）</w:t>
      </w:r>
      <w:r>
        <w:rPr>
          <w:rFonts w:ascii="仿宋" w:hAnsi="仿宋" w:eastAsia="仿宋" w:cs="Times New Roman"/>
          <w:spacing w:val="5"/>
          <w:sz w:val="32"/>
          <w:szCs w:val="32"/>
        </w:rPr>
        <w:t>评价金额及支出情况</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ascii="仿宋" w:hAnsi="仿宋" w:eastAsia="仿宋" w:cs="Times New Roman"/>
          <w:spacing w:val="5"/>
          <w:sz w:val="32"/>
          <w:szCs w:val="32"/>
        </w:rPr>
        <w:t>经</w:t>
      </w:r>
      <w:r>
        <w:rPr>
          <w:rFonts w:hint="eastAsia" w:ascii="仿宋" w:hAnsi="仿宋" w:eastAsia="仿宋" w:cs="Times New Roman"/>
          <w:spacing w:val="5"/>
          <w:sz w:val="32"/>
          <w:szCs w:val="32"/>
        </w:rPr>
        <w:t>县财政</w:t>
      </w:r>
      <w:r>
        <w:rPr>
          <w:rFonts w:ascii="仿宋" w:hAnsi="仿宋" w:eastAsia="仿宋" w:cs="Times New Roman"/>
          <w:spacing w:val="5"/>
          <w:sz w:val="32"/>
          <w:szCs w:val="32"/>
        </w:rPr>
        <w:t>同意，</w:t>
      </w:r>
      <w:r>
        <w:rPr>
          <w:rFonts w:hint="eastAsia" w:ascii="仿宋" w:hAnsi="仿宋" w:eastAsia="仿宋" w:cs="Times New Roman"/>
          <w:spacing w:val="5"/>
          <w:sz w:val="32"/>
          <w:szCs w:val="32"/>
        </w:rPr>
        <w:t>2020</w:t>
      </w:r>
      <w:r>
        <w:rPr>
          <w:rFonts w:ascii="仿宋" w:hAnsi="仿宋" w:eastAsia="仿宋" w:cs="Times New Roman"/>
          <w:spacing w:val="5"/>
          <w:sz w:val="32"/>
          <w:szCs w:val="32"/>
        </w:rPr>
        <w:t>年</w:t>
      </w:r>
      <w:r>
        <w:rPr>
          <w:rFonts w:hint="eastAsia" w:ascii="仿宋" w:hAnsi="仿宋" w:eastAsia="仿宋" w:cs="Times New Roman"/>
          <w:spacing w:val="5"/>
          <w:sz w:val="32"/>
          <w:szCs w:val="32"/>
        </w:rPr>
        <w:t>中小学校建设经费（含中小学校厕所革命）</w:t>
      </w:r>
      <w:r>
        <w:rPr>
          <w:rFonts w:ascii="仿宋" w:hAnsi="仿宋" w:eastAsia="仿宋" w:cs="Times New Roman"/>
          <w:spacing w:val="5"/>
          <w:sz w:val="32"/>
          <w:szCs w:val="32"/>
        </w:rPr>
        <w:t>专项资金</w:t>
      </w:r>
      <w:r>
        <w:rPr>
          <w:rFonts w:hint="eastAsia" w:ascii="仿宋" w:hAnsi="仿宋" w:eastAsia="仿宋" w:cs="Times New Roman"/>
          <w:spacing w:val="5"/>
          <w:sz w:val="32"/>
          <w:szCs w:val="32"/>
        </w:rPr>
        <w:t>预算为1,000,000.00</w:t>
      </w:r>
      <w:r>
        <w:rPr>
          <w:rFonts w:ascii="仿宋" w:hAnsi="仿宋" w:eastAsia="仿宋" w:cs="Times New Roman"/>
          <w:spacing w:val="5"/>
          <w:sz w:val="32"/>
          <w:szCs w:val="32"/>
        </w:rPr>
        <w:t>元</w:t>
      </w:r>
      <w:r>
        <w:rPr>
          <w:rFonts w:hint="eastAsia" w:ascii="仿宋" w:hAnsi="仿宋" w:eastAsia="仿宋" w:cs="Times New Roman"/>
          <w:spacing w:val="5"/>
          <w:sz w:val="32"/>
          <w:szCs w:val="32"/>
        </w:rPr>
        <w:t>。依据资金的使用范围进行安排和使用，主要用于学校项目建设、校舍的维护维修、教学设备购置、厕所革命等。</w:t>
      </w:r>
    </w:p>
    <w:p>
      <w:pPr>
        <w:spacing w:line="620" w:lineRule="exact"/>
        <w:ind w:firstLine="660" w:firstLineChars="200"/>
        <w:rPr>
          <w:rFonts w:ascii="仿宋" w:hAnsi="仿宋" w:eastAsia="仿宋"/>
          <w:spacing w:val="5"/>
          <w:kern w:val="0"/>
          <w:sz w:val="32"/>
          <w:szCs w:val="32"/>
        </w:rPr>
      </w:pPr>
      <w:r>
        <w:rPr>
          <w:rFonts w:hint="eastAsia" w:ascii="仿宋" w:hAnsi="仿宋" w:eastAsia="仿宋"/>
          <w:spacing w:val="5"/>
          <w:sz w:val="32"/>
          <w:szCs w:val="32"/>
        </w:rPr>
        <w:t>截至2020年12月31日， 2020年中小学校建设经费（含中小学校厕所革命）（教育费附加）整体支出为1,000,000.00元。</w:t>
      </w:r>
      <w:r>
        <w:rPr>
          <w:rFonts w:hint="eastAsia" w:ascii="仿宋" w:hAnsi="仿宋" w:eastAsia="仿宋"/>
          <w:spacing w:val="5"/>
          <w:kern w:val="0"/>
          <w:sz w:val="32"/>
          <w:szCs w:val="32"/>
        </w:rPr>
        <w:t>主要列支范围如下：</w:t>
      </w:r>
    </w:p>
    <w:p>
      <w:pPr>
        <w:spacing w:line="620" w:lineRule="exact"/>
        <w:ind w:firstLine="660" w:firstLineChars="200"/>
        <w:rPr>
          <w:rFonts w:ascii="仿宋" w:hAnsi="仿宋" w:eastAsia="仿宋"/>
          <w:spacing w:val="5"/>
          <w:kern w:val="0"/>
          <w:sz w:val="32"/>
          <w:szCs w:val="32"/>
        </w:rPr>
      </w:pPr>
      <w:r>
        <w:rPr>
          <w:rFonts w:hint="eastAsia" w:ascii="仿宋" w:hAnsi="仿宋" w:eastAsia="仿宋"/>
          <w:spacing w:val="5"/>
          <w:sz w:val="32"/>
          <w:szCs w:val="32"/>
        </w:rPr>
        <w:t>（1）县财政直接支付始兴县实验小学采购款</w:t>
      </w:r>
      <w:r>
        <w:rPr>
          <w:rFonts w:ascii="仿宋" w:hAnsi="仿宋" w:eastAsia="仿宋"/>
          <w:spacing w:val="5"/>
          <w:sz w:val="32"/>
          <w:szCs w:val="32"/>
        </w:rPr>
        <w:t>350,160.00</w:t>
      </w:r>
      <w:r>
        <w:rPr>
          <w:rFonts w:hint="eastAsia" w:ascii="仿宋" w:hAnsi="仿宋" w:eastAsia="仿宋"/>
          <w:spacing w:val="5"/>
          <w:sz w:val="32"/>
          <w:szCs w:val="32"/>
        </w:rPr>
        <w:t>元，收款单位为广东拓思软件科学园有限公司，采购内容为视频监控设备，已验收合格。</w:t>
      </w:r>
    </w:p>
    <w:p>
      <w:pPr>
        <w:spacing w:line="620" w:lineRule="exact"/>
        <w:ind w:firstLine="660" w:firstLineChars="200"/>
        <w:rPr>
          <w:rFonts w:ascii="仿宋" w:hAnsi="仿宋" w:eastAsia="仿宋"/>
          <w:spacing w:val="5"/>
          <w:kern w:val="0"/>
          <w:sz w:val="32"/>
          <w:szCs w:val="32"/>
        </w:rPr>
      </w:pPr>
      <w:r>
        <w:rPr>
          <w:rFonts w:hint="eastAsia" w:ascii="仿宋" w:hAnsi="仿宋" w:eastAsia="仿宋"/>
          <w:spacing w:val="5"/>
          <w:sz w:val="32"/>
          <w:szCs w:val="32"/>
        </w:rPr>
        <w:t>（2）县财政直接支付丹凤小学采购款</w:t>
      </w:r>
      <w:r>
        <w:rPr>
          <w:rFonts w:ascii="仿宋" w:hAnsi="仿宋" w:eastAsia="仿宋"/>
          <w:spacing w:val="5"/>
          <w:sz w:val="32"/>
          <w:szCs w:val="32"/>
        </w:rPr>
        <w:t>5,210.54</w:t>
      </w:r>
      <w:r>
        <w:rPr>
          <w:rFonts w:hint="eastAsia" w:ascii="仿宋" w:hAnsi="仿宋" w:eastAsia="仿宋"/>
          <w:spacing w:val="5"/>
          <w:sz w:val="32"/>
          <w:szCs w:val="32"/>
        </w:rPr>
        <w:t>元，收款单位为始兴县京音科技有限公司，采购内容为新增课室及办公系统设施设备，已验收合格。</w:t>
      </w:r>
    </w:p>
    <w:p>
      <w:pPr>
        <w:spacing w:line="620" w:lineRule="exact"/>
        <w:ind w:firstLine="660" w:firstLineChars="200"/>
        <w:rPr>
          <w:rFonts w:ascii="仿宋" w:hAnsi="仿宋" w:eastAsia="仿宋"/>
          <w:spacing w:val="5"/>
          <w:kern w:val="0"/>
          <w:sz w:val="32"/>
          <w:szCs w:val="32"/>
        </w:rPr>
      </w:pPr>
      <w:r>
        <w:rPr>
          <w:rFonts w:hint="eastAsia" w:ascii="仿宋" w:hAnsi="仿宋" w:eastAsia="仿宋"/>
          <w:spacing w:val="5"/>
          <w:sz w:val="32"/>
          <w:szCs w:val="32"/>
        </w:rPr>
        <w:t>（3）县财政直接支付沈所镇中心小学厕所改造款</w:t>
      </w:r>
      <w:r>
        <w:rPr>
          <w:rFonts w:ascii="仿宋" w:hAnsi="仿宋" w:eastAsia="仿宋"/>
          <w:spacing w:val="5"/>
          <w:sz w:val="32"/>
          <w:szCs w:val="32"/>
        </w:rPr>
        <w:t>113,589.29</w:t>
      </w:r>
      <w:r>
        <w:rPr>
          <w:rFonts w:hint="eastAsia" w:ascii="仿宋" w:hAnsi="仿宋" w:eastAsia="仿宋"/>
          <w:spacing w:val="5"/>
          <w:sz w:val="32"/>
          <w:szCs w:val="32"/>
        </w:rPr>
        <w:t>元，收款单位为广东锦中景建设工程有限公司，完成了厕所改造工程，已验收合格。</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（4）县财政直接支付罗坝都亨小学厕所改造工程款</w:t>
      </w:r>
      <w:r>
        <w:rPr>
          <w:rFonts w:ascii="仿宋" w:hAnsi="仿宋" w:eastAsia="仿宋"/>
          <w:spacing w:val="5"/>
          <w:sz w:val="32"/>
          <w:szCs w:val="32"/>
        </w:rPr>
        <w:t>3,741.26</w:t>
      </w:r>
      <w:r>
        <w:rPr>
          <w:rFonts w:hint="eastAsia" w:ascii="仿宋" w:hAnsi="仿宋" w:eastAsia="仿宋"/>
          <w:spacing w:val="5"/>
          <w:sz w:val="32"/>
          <w:szCs w:val="32"/>
        </w:rPr>
        <w:t>元，收款单位为韶关市建韶工程造价咨询有限公司。</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（5）县财政直接支付隘子镇中心小学附属设施和景观提升工程项目设计方案编制费</w:t>
      </w:r>
      <w:r>
        <w:rPr>
          <w:rFonts w:ascii="仿宋" w:hAnsi="仿宋" w:eastAsia="仿宋"/>
          <w:spacing w:val="5"/>
          <w:sz w:val="32"/>
          <w:szCs w:val="32"/>
        </w:rPr>
        <w:t>28,000.00</w:t>
      </w:r>
      <w:r>
        <w:rPr>
          <w:rFonts w:hint="eastAsia" w:ascii="仿宋" w:hAnsi="仿宋" w:eastAsia="仿宋"/>
          <w:spacing w:val="5"/>
          <w:sz w:val="32"/>
          <w:szCs w:val="32"/>
        </w:rPr>
        <w:t>元，收款单位为四川省远景建筑园林设计研究院有限公司。</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（6）县财政直接支付始兴县幸福学校审核费</w:t>
      </w:r>
      <w:r>
        <w:rPr>
          <w:rFonts w:ascii="仿宋" w:hAnsi="仿宋" w:eastAsia="仿宋"/>
          <w:spacing w:val="5"/>
          <w:sz w:val="32"/>
          <w:szCs w:val="32"/>
        </w:rPr>
        <w:t>12,265.00</w:t>
      </w:r>
      <w:r>
        <w:rPr>
          <w:rFonts w:hint="eastAsia" w:ascii="仿宋" w:hAnsi="仿宋" w:eastAsia="仿宋"/>
          <w:spacing w:val="5"/>
          <w:sz w:val="32"/>
          <w:szCs w:val="32"/>
        </w:rPr>
        <w:t>元，收款单位为韶关市建韶工程造价咨询有限公司，主要内容对幸福学校校舍维修工程预算审核。</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（7）县财政直接支付教育局付输变电管理所第二期搬迁费用</w:t>
      </w:r>
      <w:r>
        <w:rPr>
          <w:rFonts w:ascii="仿宋" w:hAnsi="仿宋" w:eastAsia="仿宋"/>
          <w:spacing w:val="5"/>
          <w:sz w:val="32"/>
          <w:szCs w:val="32"/>
        </w:rPr>
        <w:t>61,233.91</w:t>
      </w:r>
      <w:r>
        <w:rPr>
          <w:rFonts w:hint="eastAsia" w:ascii="仿宋" w:hAnsi="仿宋" w:eastAsia="仿宋"/>
          <w:spacing w:val="5"/>
          <w:sz w:val="32"/>
          <w:szCs w:val="32"/>
        </w:rPr>
        <w:t>元，收款单位为始兴县诚信人力资源服务有限公司，已搬迁完成，验收备案。</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（8）县财政直接支付电教平台采购项目监理费</w:t>
      </w:r>
      <w:r>
        <w:rPr>
          <w:rFonts w:ascii="仿宋" w:hAnsi="仿宋" w:eastAsia="仿宋"/>
          <w:spacing w:val="5"/>
          <w:sz w:val="32"/>
          <w:szCs w:val="32"/>
        </w:rPr>
        <w:t>38,000.00</w:t>
      </w:r>
      <w:r>
        <w:rPr>
          <w:rFonts w:hint="eastAsia" w:ascii="仿宋" w:hAnsi="仿宋" w:eastAsia="仿宋"/>
          <w:spacing w:val="5"/>
          <w:sz w:val="32"/>
          <w:szCs w:val="32"/>
        </w:rPr>
        <w:t>元，收款单位为广州市汇源通信建设监理有限公司。</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（9）县财政直接支付太平镇小学监理费</w:t>
      </w:r>
      <w:r>
        <w:rPr>
          <w:rFonts w:ascii="仿宋" w:hAnsi="仿宋" w:eastAsia="仿宋"/>
          <w:spacing w:val="5"/>
          <w:sz w:val="32"/>
          <w:szCs w:val="32"/>
        </w:rPr>
        <w:t>50,000.00</w:t>
      </w:r>
      <w:r>
        <w:rPr>
          <w:rFonts w:hint="eastAsia" w:ascii="仿宋" w:hAnsi="仿宋" w:eastAsia="仿宋"/>
          <w:spacing w:val="5"/>
          <w:sz w:val="32"/>
          <w:szCs w:val="32"/>
        </w:rPr>
        <w:t>元，收款单位为珠海品成建设有限公司，主要内容对太平镇中心小学扩建项目监理。</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（10）县财政直接支付顿岗小学监理费</w:t>
      </w:r>
      <w:r>
        <w:rPr>
          <w:rFonts w:ascii="仿宋" w:hAnsi="仿宋" w:eastAsia="仿宋"/>
          <w:spacing w:val="5"/>
          <w:sz w:val="32"/>
          <w:szCs w:val="32"/>
        </w:rPr>
        <w:t>25,000.00</w:t>
      </w:r>
      <w:r>
        <w:rPr>
          <w:rFonts w:hint="eastAsia" w:ascii="仿宋" w:hAnsi="仿宋" w:eastAsia="仿宋"/>
          <w:spacing w:val="5"/>
          <w:sz w:val="32"/>
          <w:szCs w:val="32"/>
        </w:rPr>
        <w:t>元，收款单位为广东志达建设监理有限公司，主要内容对始兴县顿岗镇中心小学新建教学楼监理。</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（1</w:t>
      </w:r>
      <w:r>
        <w:rPr>
          <w:rFonts w:ascii="仿宋" w:hAnsi="仿宋" w:eastAsia="仿宋"/>
          <w:spacing w:val="5"/>
          <w:sz w:val="32"/>
          <w:szCs w:val="32"/>
        </w:rPr>
        <w:t>1</w:t>
      </w:r>
      <w:r>
        <w:rPr>
          <w:rFonts w:hint="eastAsia" w:ascii="仿宋" w:hAnsi="仿宋" w:eastAsia="仿宋"/>
          <w:spacing w:val="5"/>
          <w:sz w:val="32"/>
          <w:szCs w:val="32"/>
        </w:rPr>
        <w:t>）县财政直接支付隘子镇中心小学监理费</w:t>
      </w:r>
      <w:r>
        <w:rPr>
          <w:rFonts w:ascii="仿宋" w:hAnsi="仿宋" w:eastAsia="仿宋"/>
          <w:spacing w:val="5"/>
          <w:sz w:val="32"/>
          <w:szCs w:val="32"/>
        </w:rPr>
        <w:t>2</w:t>
      </w:r>
      <w:r>
        <w:rPr>
          <w:rFonts w:hint="eastAsia" w:ascii="仿宋" w:hAnsi="仿宋" w:eastAsia="仿宋"/>
          <w:spacing w:val="5"/>
          <w:sz w:val="32"/>
          <w:szCs w:val="32"/>
        </w:rPr>
        <w:t>2</w:t>
      </w:r>
      <w:r>
        <w:rPr>
          <w:rFonts w:ascii="仿宋" w:hAnsi="仿宋" w:eastAsia="仿宋"/>
          <w:spacing w:val="5"/>
          <w:sz w:val="32"/>
          <w:szCs w:val="32"/>
        </w:rPr>
        <w:t>,000.00</w:t>
      </w:r>
      <w:r>
        <w:rPr>
          <w:rFonts w:hint="eastAsia" w:ascii="仿宋" w:hAnsi="仿宋" w:eastAsia="仿宋"/>
          <w:spacing w:val="5"/>
          <w:sz w:val="32"/>
          <w:szCs w:val="32"/>
        </w:rPr>
        <w:t>元，收款单位为广东志达建设监理有限公司，主要内容对隘子镇中心小学扩建项目工程监理，已验收合格。</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（12）县财政直接支付隘子镇中心小学监理服务费</w:t>
      </w:r>
      <w:r>
        <w:rPr>
          <w:rFonts w:ascii="仿宋" w:hAnsi="仿宋" w:eastAsia="仿宋"/>
          <w:spacing w:val="5"/>
          <w:sz w:val="32"/>
          <w:szCs w:val="32"/>
        </w:rPr>
        <w:t>10,000.00</w:t>
      </w:r>
      <w:r>
        <w:rPr>
          <w:rFonts w:hint="eastAsia" w:ascii="仿宋" w:hAnsi="仿宋" w:eastAsia="仿宋"/>
          <w:spacing w:val="5"/>
          <w:sz w:val="32"/>
          <w:szCs w:val="32"/>
        </w:rPr>
        <w:t>元，收款单位为亿诚建设项目管理有限公司始兴分公司，主要内容对隘子镇中心小学和隘子镇中心幼儿园新建围墙项目施工监理。</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（13）县财政直接支付教育局付司前庚靖学校监理服务费</w:t>
      </w:r>
      <w:r>
        <w:rPr>
          <w:rFonts w:ascii="仿宋" w:hAnsi="仿宋" w:eastAsia="仿宋"/>
          <w:spacing w:val="5"/>
          <w:sz w:val="32"/>
          <w:szCs w:val="32"/>
        </w:rPr>
        <w:t>80,000.00</w:t>
      </w:r>
      <w:r>
        <w:rPr>
          <w:rFonts w:hint="eastAsia" w:ascii="仿宋" w:hAnsi="仿宋" w:eastAsia="仿宋"/>
          <w:spacing w:val="5"/>
          <w:sz w:val="32"/>
          <w:szCs w:val="32"/>
        </w:rPr>
        <w:t>元，收款单位为深圳科宇工程顾问有限公司韶关分公司，主要内容对司前庚靖学校拆建教学楼项目监理。</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（14）县财政直接支付始兴县幸福学校勘察费用</w:t>
      </w:r>
      <w:r>
        <w:rPr>
          <w:rFonts w:ascii="仿宋" w:hAnsi="仿宋" w:eastAsia="仿宋"/>
          <w:spacing w:val="5"/>
          <w:sz w:val="32"/>
          <w:szCs w:val="32"/>
        </w:rPr>
        <w:t>15,000.00</w:t>
      </w:r>
      <w:r>
        <w:rPr>
          <w:rFonts w:hint="eastAsia" w:ascii="仿宋" w:hAnsi="仿宋" w:eastAsia="仿宋"/>
          <w:spacing w:val="5"/>
          <w:sz w:val="32"/>
          <w:szCs w:val="32"/>
        </w:rPr>
        <w:t>元，收款单位为核工业衡阳第二地质工程勘察有限公司韶关分公司，主要内容对幸福学校加装电梯项目勘察。</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（15）县财政直接支付太平镇中心小学造价咨询费</w:t>
      </w:r>
      <w:r>
        <w:rPr>
          <w:rFonts w:ascii="仿宋" w:hAnsi="仿宋" w:eastAsia="仿宋"/>
          <w:spacing w:val="5"/>
          <w:sz w:val="32"/>
          <w:szCs w:val="32"/>
        </w:rPr>
        <w:t>35,000.00</w:t>
      </w:r>
      <w:r>
        <w:rPr>
          <w:rFonts w:hint="eastAsia" w:ascii="仿宋" w:hAnsi="仿宋" w:eastAsia="仿宋"/>
          <w:spacing w:val="5"/>
          <w:sz w:val="32"/>
          <w:szCs w:val="32"/>
        </w:rPr>
        <w:t>元，收款单位为湖南宏源中柱工程项目管理有限公司，主要内容对太平镇中心小学扩建项目工程造价咨询。</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（16）县财政直接支付太平镇小学设计费</w:t>
      </w:r>
      <w:r>
        <w:rPr>
          <w:rFonts w:ascii="仿宋" w:hAnsi="仿宋" w:eastAsia="仿宋"/>
          <w:spacing w:val="5"/>
          <w:sz w:val="32"/>
          <w:szCs w:val="32"/>
        </w:rPr>
        <w:t>138,000.00</w:t>
      </w:r>
      <w:r>
        <w:rPr>
          <w:rFonts w:hint="eastAsia" w:ascii="仿宋" w:hAnsi="仿宋" w:eastAsia="仿宋"/>
          <w:spacing w:val="5"/>
          <w:sz w:val="32"/>
          <w:szCs w:val="32"/>
        </w:rPr>
        <w:t>元，收款单位为深圳建昌工程设计有限公司韶关分公司，主要内容对太平镇中心小学建设项目规划建筑方案设计。</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（17）县财政直接支付幸福学校空气治理和检测费</w:t>
      </w:r>
      <w:r>
        <w:rPr>
          <w:rFonts w:ascii="仿宋" w:hAnsi="仿宋" w:eastAsia="仿宋"/>
          <w:spacing w:val="5"/>
          <w:sz w:val="32"/>
          <w:szCs w:val="32"/>
        </w:rPr>
        <w:t>12,800.00</w:t>
      </w:r>
      <w:r>
        <w:rPr>
          <w:rFonts w:hint="eastAsia" w:ascii="仿宋" w:hAnsi="仿宋" w:eastAsia="仿宋"/>
          <w:spacing w:val="5"/>
          <w:sz w:val="32"/>
          <w:szCs w:val="32"/>
        </w:rPr>
        <w:t>元，收款单位为始兴县爱我佳环保工作室。</w:t>
      </w:r>
    </w:p>
    <w:p>
      <w:pPr>
        <w:pStyle w:val="6"/>
        <w:numPr>
          <w:ilvl w:val="0"/>
          <w:numId w:val="1"/>
        </w:numPr>
        <w:spacing w:before="156" w:beforeLines="50" w:beforeAutospacing="0" w:after="156" w:afterLines="50" w:afterAutospacing="0" w:line="560" w:lineRule="exact"/>
        <w:rPr>
          <w:rFonts w:ascii="仿宋" w:hAnsi="仿宋" w:eastAsia="仿宋" w:cs="Times New Roman"/>
          <w:b/>
          <w:spacing w:val="5"/>
          <w:sz w:val="32"/>
          <w:szCs w:val="32"/>
        </w:rPr>
      </w:pPr>
      <w:r>
        <w:rPr>
          <w:rFonts w:hint="eastAsia" w:ascii="仿宋" w:hAnsi="仿宋" w:eastAsia="仿宋" w:cs="Times New Roman"/>
          <w:b/>
          <w:spacing w:val="5"/>
          <w:sz w:val="32"/>
          <w:szCs w:val="32"/>
        </w:rPr>
        <w:t>评价结论与绩效分析</w:t>
      </w:r>
    </w:p>
    <w:p>
      <w:pPr>
        <w:pStyle w:val="6"/>
        <w:spacing w:before="0" w:beforeAutospacing="0" w:after="0" w:afterAutospacing="0" w:line="560" w:lineRule="exact"/>
        <w:jc w:val="center"/>
        <w:rPr>
          <w:rFonts w:ascii="仿宋" w:hAnsi="仿宋" w:eastAsia="仿宋" w:cs="Times New Roman"/>
          <w:b/>
          <w:spacing w:val="5"/>
          <w:sz w:val="32"/>
          <w:szCs w:val="32"/>
        </w:rPr>
      </w:pPr>
      <w:r>
        <w:rPr>
          <w:rFonts w:hint="eastAsia" w:ascii="仿宋" w:hAnsi="仿宋" w:eastAsia="仿宋" w:cs="Times New Roman"/>
          <w:b/>
          <w:spacing w:val="5"/>
          <w:sz w:val="32"/>
          <w:szCs w:val="32"/>
        </w:rPr>
        <w:t>评审得分情况汇总表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9"/>
        <w:gridCol w:w="1546"/>
        <w:gridCol w:w="1825"/>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trPr>
        <w:tc>
          <w:tcPr>
            <w:tcW w:w="1906"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评价因素</w:t>
            </w:r>
          </w:p>
        </w:tc>
        <w:tc>
          <w:tcPr>
            <w:tcW w:w="907"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分值</w:t>
            </w:r>
          </w:p>
        </w:tc>
        <w:tc>
          <w:tcPr>
            <w:tcW w:w="1071"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评价得分</w:t>
            </w:r>
          </w:p>
        </w:tc>
        <w:tc>
          <w:tcPr>
            <w:tcW w:w="1116"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trPr>
        <w:tc>
          <w:tcPr>
            <w:tcW w:w="1906" w:type="pct"/>
          </w:tcPr>
          <w:p>
            <w:pPr>
              <w:pStyle w:val="6"/>
              <w:spacing w:before="0" w:beforeAutospacing="0" w:after="0" w:afterAutospacing="0" w:line="560" w:lineRule="exact"/>
              <w:rPr>
                <w:rFonts w:ascii="仿宋" w:hAnsi="仿宋" w:eastAsia="仿宋" w:cs="Times New Roman"/>
                <w:b/>
                <w:spacing w:val="5"/>
                <w:sz w:val="32"/>
                <w:szCs w:val="32"/>
              </w:rPr>
            </w:pPr>
            <w:r>
              <w:rPr>
                <w:rFonts w:hint="eastAsia" w:ascii="仿宋" w:hAnsi="仿宋" w:eastAsia="仿宋" w:cs="Times New Roman"/>
                <w:b/>
                <w:spacing w:val="5"/>
                <w:sz w:val="32"/>
                <w:szCs w:val="32"/>
              </w:rPr>
              <w:t>评价总得分</w:t>
            </w:r>
          </w:p>
        </w:tc>
        <w:tc>
          <w:tcPr>
            <w:tcW w:w="907" w:type="pct"/>
          </w:tcPr>
          <w:p>
            <w:pPr>
              <w:pStyle w:val="6"/>
              <w:spacing w:before="0" w:beforeAutospacing="0" w:after="0" w:afterAutospacing="0" w:line="560" w:lineRule="exact"/>
              <w:rPr>
                <w:rFonts w:ascii="仿宋" w:hAnsi="仿宋" w:eastAsia="仿宋" w:cs="Times New Roman"/>
                <w:b/>
                <w:spacing w:val="5"/>
                <w:sz w:val="32"/>
                <w:szCs w:val="32"/>
              </w:rPr>
            </w:pPr>
            <w:r>
              <w:rPr>
                <w:rFonts w:hint="eastAsia" w:ascii="仿宋" w:hAnsi="仿宋" w:eastAsia="仿宋" w:cs="Times New Roman"/>
                <w:b/>
                <w:spacing w:val="5"/>
                <w:sz w:val="32"/>
                <w:szCs w:val="32"/>
              </w:rPr>
              <w:t>100</w:t>
            </w:r>
          </w:p>
        </w:tc>
        <w:tc>
          <w:tcPr>
            <w:tcW w:w="1071" w:type="pct"/>
          </w:tcPr>
          <w:p>
            <w:pPr>
              <w:pStyle w:val="6"/>
              <w:spacing w:before="0" w:beforeAutospacing="0" w:after="0" w:afterAutospacing="0" w:line="560" w:lineRule="exact"/>
              <w:rPr>
                <w:rFonts w:ascii="仿宋" w:hAnsi="仿宋" w:eastAsia="仿宋" w:cs="Times New Roman"/>
                <w:b/>
                <w:spacing w:val="5"/>
                <w:sz w:val="32"/>
                <w:szCs w:val="32"/>
              </w:rPr>
            </w:pPr>
            <w:r>
              <w:rPr>
                <w:rFonts w:hint="eastAsia" w:ascii="仿宋" w:hAnsi="仿宋" w:eastAsia="仿宋" w:cs="Times New Roman"/>
                <w:b/>
                <w:spacing w:val="5"/>
                <w:sz w:val="32"/>
                <w:szCs w:val="32"/>
              </w:rPr>
              <w:t>98</w:t>
            </w:r>
          </w:p>
        </w:tc>
        <w:tc>
          <w:tcPr>
            <w:tcW w:w="1116" w:type="pct"/>
          </w:tcPr>
          <w:p>
            <w:pPr>
              <w:pStyle w:val="6"/>
              <w:spacing w:before="0" w:beforeAutospacing="0" w:after="0" w:afterAutospacing="0" w:line="560" w:lineRule="exact"/>
              <w:rPr>
                <w:rFonts w:ascii="仿宋" w:hAnsi="仿宋" w:eastAsia="仿宋" w:cs="Times New Roman"/>
                <w:b/>
                <w:spacing w:val="5"/>
                <w:sz w:val="32"/>
                <w:szCs w:val="32"/>
              </w:rPr>
            </w:pPr>
            <w:r>
              <w:rPr>
                <w:rFonts w:hint="eastAsia" w:ascii="仿宋" w:hAnsi="仿宋" w:eastAsia="仿宋" w:cs="Times New Roman"/>
                <w:b/>
                <w:spacing w:val="5"/>
                <w:sz w:val="32"/>
                <w:szCs w:val="32"/>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trPr>
        <w:tc>
          <w:tcPr>
            <w:tcW w:w="1906"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一、投入</w:t>
            </w:r>
          </w:p>
        </w:tc>
        <w:tc>
          <w:tcPr>
            <w:tcW w:w="907"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20</w:t>
            </w:r>
          </w:p>
        </w:tc>
        <w:tc>
          <w:tcPr>
            <w:tcW w:w="1071"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20</w:t>
            </w:r>
          </w:p>
        </w:tc>
        <w:tc>
          <w:tcPr>
            <w:tcW w:w="1116"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trPr>
        <w:tc>
          <w:tcPr>
            <w:tcW w:w="1906"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二、过程</w:t>
            </w:r>
          </w:p>
        </w:tc>
        <w:tc>
          <w:tcPr>
            <w:tcW w:w="907"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20</w:t>
            </w:r>
          </w:p>
        </w:tc>
        <w:tc>
          <w:tcPr>
            <w:tcW w:w="1071"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18</w:t>
            </w:r>
          </w:p>
        </w:tc>
        <w:tc>
          <w:tcPr>
            <w:tcW w:w="1116"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trPr>
        <w:tc>
          <w:tcPr>
            <w:tcW w:w="1906"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三、产出</w:t>
            </w:r>
          </w:p>
        </w:tc>
        <w:tc>
          <w:tcPr>
            <w:tcW w:w="907"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30</w:t>
            </w:r>
          </w:p>
        </w:tc>
        <w:tc>
          <w:tcPr>
            <w:tcW w:w="1071"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30</w:t>
            </w:r>
          </w:p>
        </w:tc>
        <w:tc>
          <w:tcPr>
            <w:tcW w:w="1116"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906"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四、效益</w:t>
            </w:r>
          </w:p>
        </w:tc>
        <w:tc>
          <w:tcPr>
            <w:tcW w:w="907"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30</w:t>
            </w:r>
          </w:p>
        </w:tc>
        <w:tc>
          <w:tcPr>
            <w:tcW w:w="1071"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30</w:t>
            </w:r>
          </w:p>
        </w:tc>
        <w:tc>
          <w:tcPr>
            <w:tcW w:w="1116" w:type="pct"/>
          </w:tcPr>
          <w:p>
            <w:pPr>
              <w:pStyle w:val="6"/>
              <w:spacing w:before="0" w:beforeAutospacing="0" w:after="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100%</w:t>
            </w:r>
          </w:p>
        </w:tc>
      </w:tr>
    </w:tbl>
    <w:p>
      <w:pPr>
        <w:widowControl/>
        <w:adjustRightInd w:val="0"/>
        <w:spacing w:line="560" w:lineRule="exact"/>
        <w:ind w:firstLine="660" w:firstLineChars="200"/>
        <w:jc w:val="left"/>
        <w:rPr>
          <w:rFonts w:ascii="仿宋" w:hAnsi="仿宋" w:eastAsia="仿宋"/>
          <w:spacing w:val="5"/>
          <w:kern w:val="0"/>
          <w:sz w:val="32"/>
          <w:szCs w:val="32"/>
        </w:rPr>
      </w:pP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（一）总体结论</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通过对项目主管部门、资金使用单位提供的相关材料进行书面评价，总体看来，项目主管单位对加强中小学校建设持续发力，补齐了教育的短板，保证了学校教育的正常运转，同时改善了各个学校的基本办学条件，但在资金支出规范性存在一定的问题。本项目自评得分为100分，评审得分为98分，等级为“优”。</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（二）各项目评价指标分析</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1、投入合理性分析</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该指标分值20分，评审得分20分，得分率为100%。从评价指标得分情况看，在论证决策上，论证充分性方面完成较好，论证决策过程完备，提供了向上级请示经费的申请；在目标设置上，完整性、合理性、可衡量性达到预期效果；在资金落实上，计划安排合理性，资金到位及时、资金分配合理。</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2、过程分析</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该指标分值20分，评审得分18分，得分率为90%。主要绩效改善了中小学校的校舍条件，含厕所革命。从评价指标得分情况看，该项目在资金支出率高，资金支出金额达到预算额度；但在资金规范性存在一定的问题，会计核算未设专账核算。在程序规范性和监管有效性方面做得较好，制定了资金使用方案，按照项目计划和规定专款专用。项目合同程序管理较为规范，设备购置有预算、招标、合同、结算、财审和备案，还有验收报告。资金拨付时，由各服务单位申请、领导复核签字后，提供正规发票、合同以及相关附件。</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3、产出分析</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该指标分值30分，评审得分30分，得分率为100%。主要绩效通过中小学校建设经费（含中小学校厕所革命）（教育费附加）改善各个学校的基本办学条件，该项目在预算控制和成本控制方面较好，实际支出未超过预算计划。</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4、效益分析</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该指标分值30分，评审得分30分，得分率为100%。产出效益情况较好。主要起到以下方面的作用：</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经济效益：通过县财政项目资金的投入，对各学校校安工程建设的经费补助，很大程度地保障了校安工程建设项目的顺利实施，为项目实施单位解决了项目经费问题。</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社会效益：通过对县中小学建设经费（含中小学厕所革命）（教育费附加）项目经费使用，改善了始兴县中小学校舍条件，补齐了教育的短板，保证了教学的正常运作，促进学校教育改革的深入，教育事业的质量进一步得到提升，实现始兴教育资源公平合理分配。</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生态效益：县中小学建设经费（含中小学厕所革命）（教育费附加）项目经费使用，改善了校舍的条件，在一定程度上给师生教育生活提供了便利，优化了师生的教学及居住环境。</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可持续发展：本项目从解决中小学校基础设施建设入手，改善了学校的办学条件，为始兴县实施基本均衡发展提供保障，进一步提升教学质量，为提升始兴县教育总水平打下坚实的基础。</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5、总体分析</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综合投入、过程、产出、效益四方面综合对项目资金使用进行比较分析，评价工作认为：总体上，项目在投入、产出方面表现较好，但在资金方面会计核算未设专账核算。本项目最后评价得分为98分，等级为“优”。</w:t>
      </w:r>
    </w:p>
    <w:p>
      <w:pPr>
        <w:pStyle w:val="6"/>
        <w:numPr>
          <w:ilvl w:val="0"/>
          <w:numId w:val="1"/>
        </w:numPr>
        <w:spacing w:before="156" w:beforeLines="50" w:beforeAutospacing="0" w:after="156" w:afterLines="50" w:afterAutospacing="0" w:line="560" w:lineRule="exact"/>
        <w:rPr>
          <w:rFonts w:ascii="仿宋" w:hAnsi="仿宋" w:eastAsia="仿宋" w:cs="Times New Roman"/>
          <w:b/>
          <w:spacing w:val="5"/>
          <w:sz w:val="32"/>
          <w:szCs w:val="32"/>
        </w:rPr>
      </w:pPr>
      <w:r>
        <w:rPr>
          <w:rFonts w:hint="eastAsia" w:ascii="仿宋" w:hAnsi="仿宋" w:eastAsia="仿宋" w:cs="Times New Roman"/>
          <w:b/>
          <w:spacing w:val="5"/>
          <w:sz w:val="32"/>
          <w:szCs w:val="32"/>
        </w:rPr>
        <w:t>主要绩效</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2020年，县中小学校建设经费</w:t>
      </w:r>
      <w:r>
        <w:rPr>
          <w:rFonts w:hint="eastAsia" w:ascii="仿宋" w:hAnsi="仿宋" w:eastAsia="仿宋"/>
          <w:spacing w:val="5"/>
          <w:sz w:val="32"/>
          <w:szCs w:val="32"/>
        </w:rPr>
        <w:t>（含中小学厕所革命）（教育费附加）项目经费使用补齐了教育的短板，目标明确，资金到位及时，使用按计划进行，实施程序规范，项目的组织管理基本有效；产出达到预期目标，改善了学校的校舍环境，效果良好，绩效基本实现。</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（一）财务管理规范有序。</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2020年县级财政预算资金1,000,000.00元，截止2020年12月31日，资金全部拨付到位，2020年12月专项资金全部支付完毕。设备购置有预算、论证或报告，采购严格按照政府采购程序进行，制订预算、有招标、合同、结算、财审和备案，有验收报告。专项资金专款专用，由县财政直接支付到供应商。</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（二）项目预期目标完成程度。</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截止2020年12月31日，县教育局较好的完成中小学校基础设施建设项目的实施，主要体现：始兴县实验小学采购视频监控设备，已付款和验收合格；丹凤小学采购新增课室及办公系统设施设备，已付款和验收合格；沈所镇中心小学完成了厕所改造工程，已付款和验收合格。项目的实施改善了学校办学的基本条件，保证了教育的正常运作。</w:t>
      </w:r>
    </w:p>
    <w:p>
      <w:pPr>
        <w:pStyle w:val="6"/>
        <w:numPr>
          <w:ilvl w:val="0"/>
          <w:numId w:val="1"/>
        </w:numPr>
        <w:spacing w:before="156" w:beforeLines="50" w:beforeAutospacing="0" w:after="156" w:afterLines="50" w:afterAutospacing="0" w:line="560" w:lineRule="exact"/>
        <w:rPr>
          <w:rFonts w:ascii="仿宋" w:hAnsi="仿宋" w:eastAsia="仿宋" w:cs="Times New Roman"/>
          <w:b/>
          <w:spacing w:val="5"/>
          <w:sz w:val="32"/>
          <w:szCs w:val="32"/>
        </w:rPr>
      </w:pPr>
      <w:r>
        <w:rPr>
          <w:rFonts w:hint="eastAsia" w:ascii="仿宋" w:hAnsi="仿宋" w:eastAsia="仿宋" w:cs="Times New Roman"/>
          <w:b/>
          <w:spacing w:val="5"/>
          <w:sz w:val="32"/>
          <w:szCs w:val="32"/>
        </w:rPr>
        <w:t>存在问题</w:t>
      </w:r>
    </w:p>
    <w:p>
      <w:pPr>
        <w:spacing w:line="620" w:lineRule="exact"/>
        <w:ind w:firstLine="660" w:firstLineChars="200"/>
        <w:rPr>
          <w:rFonts w:ascii="仿宋" w:hAnsi="仿宋" w:eastAsia="仿宋"/>
          <w:b/>
          <w:spacing w:val="5"/>
          <w:kern w:val="0"/>
          <w:sz w:val="32"/>
          <w:szCs w:val="32"/>
        </w:rPr>
      </w:pPr>
      <w:r>
        <w:rPr>
          <w:rFonts w:hint="eastAsia" w:ascii="仿宋" w:hAnsi="仿宋" w:eastAsia="仿宋"/>
          <w:spacing w:val="5"/>
          <w:kern w:val="0"/>
          <w:sz w:val="32"/>
          <w:szCs w:val="32"/>
        </w:rPr>
        <w:t>始兴县教育局中小学校建设经费（含中小学厕所革命）（教育费附加）项目基本实现了绩效目标，但仍存在一定的问题和不足，未设立专账或设立专项科目进行核算，项目资金支付未作相关的账务处理。</w:t>
      </w:r>
    </w:p>
    <w:p>
      <w:pPr>
        <w:widowControl/>
        <w:adjustRightInd w:val="0"/>
        <w:spacing w:before="156" w:beforeLines="50" w:after="156" w:afterLines="50" w:line="560" w:lineRule="exact"/>
        <w:jc w:val="left"/>
        <w:rPr>
          <w:rFonts w:ascii="仿宋" w:hAnsi="仿宋" w:eastAsia="仿宋"/>
          <w:b/>
          <w:spacing w:val="5"/>
          <w:kern w:val="0"/>
          <w:sz w:val="32"/>
          <w:szCs w:val="32"/>
        </w:rPr>
      </w:pPr>
      <w:r>
        <w:rPr>
          <w:rFonts w:hint="eastAsia" w:ascii="仿宋" w:hAnsi="仿宋" w:eastAsia="仿宋"/>
          <w:b/>
          <w:spacing w:val="5"/>
          <w:kern w:val="0"/>
          <w:sz w:val="32"/>
          <w:szCs w:val="32"/>
        </w:rPr>
        <w:t>五、相关建议</w:t>
      </w:r>
    </w:p>
    <w:p>
      <w:pPr>
        <w:pStyle w:val="6"/>
        <w:spacing w:before="0" w:beforeAutospacing="0" w:after="0" w:afterAutospacing="0" w:line="560" w:lineRule="exact"/>
        <w:ind w:firstLine="660"/>
        <w:rPr>
          <w:rFonts w:ascii="仿宋" w:hAnsi="仿宋" w:eastAsia="仿宋"/>
          <w:spacing w:val="5"/>
          <w:sz w:val="32"/>
          <w:szCs w:val="32"/>
        </w:rPr>
      </w:pPr>
      <w:r>
        <w:rPr>
          <w:rFonts w:hint="eastAsia" w:ascii="仿宋" w:hAnsi="仿宋" w:eastAsia="仿宋"/>
          <w:spacing w:val="5"/>
          <w:sz w:val="32"/>
          <w:szCs w:val="32"/>
        </w:rPr>
        <w:t>加强财政专项资金管理水平。通过加强会计人员培训，规范会计核算，提高专项资金管理水平，对于财政专项资金设立专账或设立专项科目进行核算。针对目前专项资金预算指标的性质，始兴县教育局财务人员在执行财政一体化支付的基础上，应严格按照专项资金管理办法设立专户核算，如实反映资金支付的实际情况，根据项目资金的类型和财政管理的要求确定核算项目及其内容，严格执行财务制度，必须专款专用，有迹可循。</w:t>
      </w:r>
    </w:p>
    <w:p>
      <w:pPr>
        <w:widowControl/>
        <w:adjustRightInd w:val="0"/>
        <w:spacing w:before="156" w:beforeLines="50" w:after="156" w:afterLines="50" w:line="560" w:lineRule="exact"/>
        <w:jc w:val="left"/>
        <w:rPr>
          <w:rFonts w:ascii="仿宋" w:hAnsi="仿宋" w:eastAsia="仿宋"/>
          <w:b/>
          <w:spacing w:val="5"/>
          <w:kern w:val="0"/>
          <w:sz w:val="32"/>
          <w:szCs w:val="32"/>
        </w:rPr>
      </w:pPr>
      <w:r>
        <w:rPr>
          <w:rFonts w:hint="eastAsia" w:ascii="仿宋" w:hAnsi="仿宋" w:eastAsia="仿宋"/>
          <w:b/>
          <w:spacing w:val="5"/>
          <w:kern w:val="0"/>
          <w:sz w:val="32"/>
          <w:szCs w:val="32"/>
        </w:rPr>
        <w:t>六、其他需要说明的问题</w:t>
      </w:r>
    </w:p>
    <w:p>
      <w:pPr>
        <w:widowControl/>
        <w:adjustRightInd w:val="0"/>
        <w:spacing w:before="156" w:beforeLines="50" w:after="156" w:afterLines="50" w:line="560" w:lineRule="exact"/>
        <w:ind w:firstLine="660" w:firstLineChars="200"/>
        <w:jc w:val="left"/>
        <w:rPr>
          <w:rFonts w:ascii="仿宋" w:hAnsi="仿宋" w:eastAsia="仿宋"/>
          <w:b/>
          <w:spacing w:val="5"/>
          <w:kern w:val="0"/>
          <w:sz w:val="32"/>
          <w:szCs w:val="32"/>
        </w:rPr>
      </w:pPr>
      <w:r>
        <w:rPr>
          <w:rFonts w:hint="eastAsia" w:ascii="仿宋" w:hAnsi="仿宋" w:eastAsia="仿宋"/>
          <w:spacing w:val="5"/>
          <w:sz w:val="32"/>
          <w:szCs w:val="32"/>
        </w:rPr>
        <w:t>（一）有关评价责任的说明</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spacing w:val="5"/>
          <w:sz w:val="32"/>
          <w:szCs w:val="32"/>
        </w:rPr>
        <w:t>始兴县教育局的责任是:提供与本次绩效评价相关的资料和数据，并对其真实性、准确性、完整性负责；</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 xml:space="preserve">中一事务所的责任是：在绩效评价工作中遵循绩效评价基本原则，采用科学的评价方法，实施合理的评价程序，保证评价结论的客观、公正。 </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（二）本次绩效评价的局限性</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1、由于时间关系，中一事务所采取抽样的方式核查，样本点绩效优劣直接关系到整体绩效综合评分。</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2、中一事务所的评价依据是被评价单位提供的资料和基础数据，其真实性、完整性、准确性受到资料提供方制约。</w:t>
      </w:r>
    </w:p>
    <w:p>
      <w:pPr>
        <w:widowControl/>
        <w:adjustRightInd w:val="0"/>
        <w:spacing w:line="560" w:lineRule="exact"/>
        <w:jc w:val="left"/>
        <w:rPr>
          <w:rFonts w:ascii="仿宋" w:hAnsi="仿宋" w:eastAsia="仿宋"/>
          <w:spacing w:val="5"/>
          <w:kern w:val="0"/>
          <w:sz w:val="32"/>
          <w:szCs w:val="32"/>
        </w:rPr>
      </w:pPr>
    </w:p>
    <w:p>
      <w:pPr>
        <w:widowControl/>
        <w:adjustRightInd w:val="0"/>
        <w:spacing w:line="560" w:lineRule="exact"/>
        <w:jc w:val="left"/>
        <w:rPr>
          <w:rFonts w:ascii="仿宋" w:hAnsi="仿宋" w:eastAsia="仿宋"/>
          <w:spacing w:val="5"/>
          <w:kern w:val="0"/>
          <w:sz w:val="32"/>
          <w:szCs w:val="32"/>
        </w:rPr>
      </w:pPr>
    </w:p>
    <w:p>
      <w:pPr>
        <w:widowControl/>
        <w:adjustRightInd w:val="0"/>
        <w:spacing w:line="560" w:lineRule="exact"/>
        <w:jc w:val="left"/>
        <w:rPr>
          <w:rFonts w:ascii="仿宋" w:hAnsi="仿宋" w:eastAsia="仿宋"/>
          <w:spacing w:val="5"/>
          <w:kern w:val="0"/>
          <w:sz w:val="32"/>
          <w:szCs w:val="32"/>
        </w:rPr>
      </w:pPr>
    </w:p>
    <w:p>
      <w:pPr>
        <w:widowControl/>
        <w:adjustRightInd w:val="0"/>
        <w:spacing w:line="560" w:lineRule="exact"/>
        <w:jc w:val="left"/>
        <w:rPr>
          <w:rFonts w:ascii="仿宋" w:hAnsi="仿宋" w:eastAsia="仿宋"/>
          <w:spacing w:val="5"/>
          <w:kern w:val="0"/>
          <w:sz w:val="32"/>
          <w:szCs w:val="32"/>
        </w:rPr>
      </w:pPr>
    </w:p>
    <w:p>
      <w:pPr>
        <w:widowControl/>
        <w:adjustRightInd w:val="0"/>
        <w:spacing w:line="560" w:lineRule="exact"/>
        <w:jc w:val="left"/>
        <w:rPr>
          <w:rFonts w:ascii="仿宋" w:hAnsi="仿宋" w:eastAsia="仿宋"/>
          <w:spacing w:val="5"/>
          <w:kern w:val="0"/>
          <w:sz w:val="32"/>
          <w:szCs w:val="32"/>
        </w:rPr>
      </w:pPr>
    </w:p>
    <w:p>
      <w:pPr>
        <w:widowControl/>
        <w:adjustRightInd w:val="0"/>
        <w:spacing w:line="560" w:lineRule="exact"/>
        <w:jc w:val="left"/>
        <w:rPr>
          <w:rFonts w:ascii="仿宋" w:hAnsi="仿宋" w:eastAsia="仿宋"/>
          <w:spacing w:val="5"/>
          <w:kern w:val="0"/>
          <w:sz w:val="32"/>
          <w:szCs w:val="32"/>
        </w:rPr>
      </w:pPr>
    </w:p>
    <w:p>
      <w:pPr>
        <w:widowControl/>
        <w:adjustRightInd w:val="0"/>
        <w:spacing w:line="560" w:lineRule="exact"/>
        <w:jc w:val="left"/>
        <w:rPr>
          <w:rFonts w:ascii="仿宋" w:hAnsi="仿宋" w:eastAsia="仿宋"/>
          <w:spacing w:val="5"/>
          <w:kern w:val="0"/>
          <w:sz w:val="32"/>
          <w:szCs w:val="32"/>
        </w:rPr>
      </w:pPr>
    </w:p>
    <w:p>
      <w:pPr>
        <w:widowControl/>
        <w:adjustRightInd w:val="0"/>
        <w:spacing w:before="156" w:beforeLines="50" w:after="156" w:afterLines="50" w:line="560" w:lineRule="exact"/>
        <w:jc w:val="left"/>
        <w:rPr>
          <w:rFonts w:ascii="仿宋" w:hAnsi="仿宋" w:eastAsia="仿宋"/>
          <w:spacing w:val="5"/>
          <w:kern w:val="0"/>
          <w:sz w:val="32"/>
          <w:szCs w:val="32"/>
        </w:rPr>
      </w:pPr>
    </w:p>
    <w:p>
      <w:pPr>
        <w:widowControl/>
        <w:adjustRightInd w:val="0"/>
        <w:spacing w:before="156" w:beforeLines="50" w:after="156" w:afterLines="50" w:line="560" w:lineRule="exact"/>
        <w:jc w:val="left"/>
        <w:rPr>
          <w:rFonts w:ascii="仿宋" w:hAnsi="仿宋" w:eastAsia="仿宋"/>
          <w:spacing w:val="5"/>
          <w:kern w:val="0"/>
          <w:sz w:val="32"/>
          <w:szCs w:val="32"/>
        </w:rPr>
      </w:pPr>
    </w:p>
    <w:p>
      <w:pPr>
        <w:widowControl/>
        <w:adjustRightInd w:val="0"/>
        <w:spacing w:before="156" w:beforeLines="50" w:after="156" w:afterLines="50" w:line="560" w:lineRule="exact"/>
        <w:jc w:val="left"/>
        <w:rPr>
          <w:rFonts w:ascii="仿宋" w:hAnsi="仿宋" w:eastAsia="仿宋"/>
          <w:spacing w:val="5"/>
          <w:kern w:val="0"/>
          <w:sz w:val="32"/>
          <w:szCs w:val="32"/>
        </w:rPr>
      </w:pPr>
    </w:p>
    <w:p>
      <w:pPr>
        <w:pStyle w:val="6"/>
        <w:spacing w:before="156" w:beforeLines="50" w:beforeAutospacing="0" w:after="156" w:afterLines="50" w:afterAutospacing="0" w:line="560" w:lineRule="exact"/>
        <w:rPr>
          <w:rFonts w:ascii="仿宋" w:hAnsi="仿宋" w:eastAsia="仿宋" w:cs="Times New Roman"/>
          <w:spacing w:val="5"/>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sdt>
      <w:sdtPr>
        <w:id w:val="-591859876"/>
      </w:sdtPr>
      <w:sdtContent/>
    </w:sdt>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466D49"/>
    <w:multiLevelType w:val="multilevel"/>
    <w:tmpl w:val="3D466D49"/>
    <w:lvl w:ilvl="0" w:tentative="0">
      <w:start w:val="1"/>
      <w:numFmt w:val="japaneseCounting"/>
      <w:lvlText w:val="%1、"/>
      <w:lvlJc w:val="left"/>
      <w:pPr>
        <w:ind w:left="720" w:hanging="720"/>
      </w:pPr>
      <w:rPr>
        <w:rFonts w:hint="default" w:ascii="仿宋" w:hAnsi="仿宋" w:eastAsia="仿宋"/>
        <w:b/>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D3"/>
    <w:rsid w:val="000270EC"/>
    <w:rsid w:val="0003096E"/>
    <w:rsid w:val="00052D11"/>
    <w:rsid w:val="00054569"/>
    <w:rsid w:val="000850F2"/>
    <w:rsid w:val="00086C20"/>
    <w:rsid w:val="000F2FB3"/>
    <w:rsid w:val="00113049"/>
    <w:rsid w:val="001478C0"/>
    <w:rsid w:val="00150826"/>
    <w:rsid w:val="00150AF2"/>
    <w:rsid w:val="0015694A"/>
    <w:rsid w:val="00182196"/>
    <w:rsid w:val="001D0F51"/>
    <w:rsid w:val="001F00CC"/>
    <w:rsid w:val="00207A39"/>
    <w:rsid w:val="00213DAF"/>
    <w:rsid w:val="002A413A"/>
    <w:rsid w:val="002A7BB3"/>
    <w:rsid w:val="002D5BB6"/>
    <w:rsid w:val="00315800"/>
    <w:rsid w:val="003929AC"/>
    <w:rsid w:val="003B48D3"/>
    <w:rsid w:val="003D48C9"/>
    <w:rsid w:val="003E2C05"/>
    <w:rsid w:val="003E7A17"/>
    <w:rsid w:val="00413E73"/>
    <w:rsid w:val="0044300F"/>
    <w:rsid w:val="004B2124"/>
    <w:rsid w:val="004E60AE"/>
    <w:rsid w:val="004E6AD8"/>
    <w:rsid w:val="005134F5"/>
    <w:rsid w:val="00556ACB"/>
    <w:rsid w:val="00560E95"/>
    <w:rsid w:val="00570808"/>
    <w:rsid w:val="005911D3"/>
    <w:rsid w:val="005A3F76"/>
    <w:rsid w:val="005A3FFA"/>
    <w:rsid w:val="005B1F0A"/>
    <w:rsid w:val="005C597C"/>
    <w:rsid w:val="005E2F36"/>
    <w:rsid w:val="0062045C"/>
    <w:rsid w:val="00635D8E"/>
    <w:rsid w:val="0064366D"/>
    <w:rsid w:val="0067071D"/>
    <w:rsid w:val="00674585"/>
    <w:rsid w:val="006F5B39"/>
    <w:rsid w:val="007063F8"/>
    <w:rsid w:val="00773E78"/>
    <w:rsid w:val="00786290"/>
    <w:rsid w:val="007A2ED2"/>
    <w:rsid w:val="007B32EE"/>
    <w:rsid w:val="007D18C1"/>
    <w:rsid w:val="007F1DA8"/>
    <w:rsid w:val="008265E3"/>
    <w:rsid w:val="00834534"/>
    <w:rsid w:val="00870C93"/>
    <w:rsid w:val="00871C3D"/>
    <w:rsid w:val="00884A5E"/>
    <w:rsid w:val="008D1B5F"/>
    <w:rsid w:val="008D231D"/>
    <w:rsid w:val="008E2F27"/>
    <w:rsid w:val="008E3B4F"/>
    <w:rsid w:val="008E6670"/>
    <w:rsid w:val="00924555"/>
    <w:rsid w:val="0092785F"/>
    <w:rsid w:val="0094131F"/>
    <w:rsid w:val="00950627"/>
    <w:rsid w:val="009840AE"/>
    <w:rsid w:val="009B32C8"/>
    <w:rsid w:val="009B799F"/>
    <w:rsid w:val="009D436C"/>
    <w:rsid w:val="009D49C8"/>
    <w:rsid w:val="009E7874"/>
    <w:rsid w:val="00A25303"/>
    <w:rsid w:val="00A76DFD"/>
    <w:rsid w:val="00A76E69"/>
    <w:rsid w:val="00A84ADB"/>
    <w:rsid w:val="00A91E17"/>
    <w:rsid w:val="00A97D9F"/>
    <w:rsid w:val="00AD4885"/>
    <w:rsid w:val="00AD6F08"/>
    <w:rsid w:val="00B05CFC"/>
    <w:rsid w:val="00B22962"/>
    <w:rsid w:val="00B41FAF"/>
    <w:rsid w:val="00B423F9"/>
    <w:rsid w:val="00B549F3"/>
    <w:rsid w:val="00B74F67"/>
    <w:rsid w:val="00B77478"/>
    <w:rsid w:val="00B843C5"/>
    <w:rsid w:val="00BD6782"/>
    <w:rsid w:val="00BE77D7"/>
    <w:rsid w:val="00C01EA9"/>
    <w:rsid w:val="00CA172D"/>
    <w:rsid w:val="00CB78AA"/>
    <w:rsid w:val="00CC10ED"/>
    <w:rsid w:val="00CD2D6B"/>
    <w:rsid w:val="00CE6DD7"/>
    <w:rsid w:val="00D24DA9"/>
    <w:rsid w:val="00D65B2C"/>
    <w:rsid w:val="00D751F3"/>
    <w:rsid w:val="00D9403B"/>
    <w:rsid w:val="00DD3BF3"/>
    <w:rsid w:val="00E206DC"/>
    <w:rsid w:val="00E41459"/>
    <w:rsid w:val="00E51759"/>
    <w:rsid w:val="00E5361A"/>
    <w:rsid w:val="00E6062E"/>
    <w:rsid w:val="00E62B16"/>
    <w:rsid w:val="00E65B5A"/>
    <w:rsid w:val="00E67A40"/>
    <w:rsid w:val="00EA1CFD"/>
    <w:rsid w:val="00EA6D3F"/>
    <w:rsid w:val="00EB7591"/>
    <w:rsid w:val="00ED3228"/>
    <w:rsid w:val="00F2752A"/>
    <w:rsid w:val="00F31CB5"/>
    <w:rsid w:val="00F67DDC"/>
    <w:rsid w:val="00F76552"/>
    <w:rsid w:val="00F767C1"/>
    <w:rsid w:val="00F77345"/>
    <w:rsid w:val="00F94C3D"/>
    <w:rsid w:val="012A6238"/>
    <w:rsid w:val="241A0448"/>
    <w:rsid w:val="41BA4030"/>
    <w:rsid w:val="45A5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adjustRightInd w:val="0"/>
      <w:spacing w:before="100" w:beforeAutospacing="1" w:after="100" w:afterAutospacing="1" w:line="312" w:lineRule="atLeast"/>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9"/>
    <w:link w:val="5"/>
    <w:qFormat/>
    <w:uiPriority w:val="99"/>
    <w:rPr>
      <w:rFonts w:ascii="Times New Roman" w:hAnsi="Times New Roman" w:eastAsia="宋体" w:cs="Times New Roman"/>
      <w:sz w:val="18"/>
      <w:szCs w:val="18"/>
    </w:rPr>
  </w:style>
  <w:style w:type="character" w:customStyle="1" w:styleId="12">
    <w:name w:val="页脚 Char"/>
    <w:basedOn w:val="9"/>
    <w:link w:val="4"/>
    <w:qFormat/>
    <w:uiPriority w:val="99"/>
    <w:rPr>
      <w:rFonts w:ascii="Times New Roman" w:hAnsi="Times New Roman" w:eastAsia="宋体" w:cs="Times New Roman"/>
      <w:sz w:val="18"/>
      <w:szCs w:val="18"/>
    </w:rPr>
  </w:style>
  <w:style w:type="character" w:customStyle="1" w:styleId="13">
    <w:name w:val="日期 Char"/>
    <w:basedOn w:val="9"/>
    <w:link w:val="2"/>
    <w:semiHidden/>
    <w:qFormat/>
    <w:uiPriority w:val="99"/>
    <w:rPr>
      <w:rFonts w:ascii="Times New Roman" w:hAnsi="Times New Roman" w:eastAsia="宋体" w:cs="Times New Roman"/>
      <w:szCs w:val="20"/>
    </w:rPr>
  </w:style>
  <w:style w:type="character" w:customStyle="1" w:styleId="14">
    <w:name w:val="批注框文本 Char"/>
    <w:basedOn w:val="9"/>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ky</Company>
  <Pages>12</Pages>
  <Words>726</Words>
  <Characters>4140</Characters>
  <Lines>34</Lines>
  <Paragraphs>9</Paragraphs>
  <TotalTime>70</TotalTime>
  <ScaleCrop>false</ScaleCrop>
  <LinksUpToDate>false</LinksUpToDate>
  <CharactersWithSpaces>4857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2021-11-09T08:03:00Z</dcterms:created>
  <dc:creator>Administrator</dc:creator>
  <cp:lastModifiedBy>Administrator</cp:lastModifiedBy>
  <dcterms:modified xsi:type="dcterms:W3CDTF">2021-12-30T01:02:51Z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9E79D08C468145A8B794805027FDEFDA</vt:lpwstr>
  </property>
</Properties>
</file>