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896"/>
        <w:gridCol w:w="1162"/>
        <w:gridCol w:w="553"/>
        <w:gridCol w:w="1539"/>
        <w:gridCol w:w="4163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原核准事项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始兴县百灵药店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中成药,化学药制剂,生化药品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中成药，化学药制剂，生化药品，中药饮片，抗生素制剂，生物制品（除疫苗）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2021年12月7日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5D657FC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DF531FF"/>
    <w:rsid w:val="3E2B5B9A"/>
    <w:rsid w:val="3FD160CB"/>
    <w:rsid w:val="420D0F9C"/>
    <w:rsid w:val="439D1DA0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8F0688D"/>
    <w:rsid w:val="6CE50657"/>
    <w:rsid w:val="7A1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2021-12-20T01:49:35Z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0776FD860FAE4312A91FA784EFC7F5EB</vt:lpwstr>
  </property>
</Properties>
</file>