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Style w:val="6"/>
          <w:rFonts w:ascii="宋体" w:hAnsi="宋体" w:eastAsia="黑体"/>
          <w:b/>
          <w:sz w:val="32"/>
          <w:szCs w:val="32"/>
        </w:rPr>
      </w:pPr>
      <w:r>
        <w:rPr>
          <w:rStyle w:val="6"/>
          <w:rFonts w:ascii="黑体" w:hAnsi="黑体" w:eastAsia="黑体"/>
          <w:color w:val="000000"/>
          <w:sz w:val="32"/>
          <w:szCs w:val="32"/>
        </w:rPr>
        <w:t>附件6</w:t>
      </w:r>
    </w:p>
    <w:p>
      <w:pPr>
        <w:jc w:val="center"/>
        <w:rPr>
          <w:rStyle w:val="6"/>
          <w:rFonts w:ascii="方正小标宋简体" w:hAnsi="宋体" w:eastAsia="方正小标宋简体" w:cs="Times New Roman"/>
          <w:b/>
          <w:bCs/>
          <w:sz w:val="52"/>
          <w:szCs w:val="52"/>
        </w:rPr>
      </w:pPr>
      <w:r>
        <w:rPr>
          <w:rStyle w:val="6"/>
          <w:rFonts w:ascii="方正小标宋简体" w:hAnsi="宋体" w:eastAsia="方正小标宋简体" w:cs="Times New Roman"/>
          <w:b/>
          <w:bCs/>
          <w:sz w:val="52"/>
          <w:szCs w:val="52"/>
        </w:rPr>
        <w:t>曲江区绩效自评报告</w:t>
      </w:r>
    </w:p>
    <w:p>
      <w:pPr>
        <w:jc w:val="center"/>
        <w:rPr>
          <w:rStyle w:val="6"/>
          <w:rFonts w:ascii="仿宋_GB2312" w:hAnsi="宋体" w:eastAsia="仿宋_GB2312"/>
          <w:sz w:val="32"/>
          <w:szCs w:val="32"/>
        </w:rPr>
      </w:pPr>
      <w:r>
        <w:rPr>
          <w:rStyle w:val="6"/>
          <w:rFonts w:ascii="仿宋_GB2312" w:hAnsi="宋体" w:eastAsia="仿宋_GB2312"/>
          <w:sz w:val="32"/>
          <w:szCs w:val="32"/>
        </w:rPr>
        <w:t>（2020年度）</w:t>
      </w:r>
    </w:p>
    <w:p>
      <w:pPr>
        <w:jc w:val="center"/>
        <w:rPr>
          <w:rStyle w:val="6"/>
          <w:rFonts w:ascii="仿宋_GB2312" w:hAnsi="宋体" w:eastAsia="仿宋_GB2312"/>
          <w:sz w:val="32"/>
          <w:szCs w:val="32"/>
        </w:rPr>
      </w:pPr>
    </w:p>
    <w:p>
      <w:pPr>
        <w:spacing w:line="720" w:lineRule="auto"/>
        <w:ind w:firstLine="1440" w:firstLineChars="450"/>
        <w:rPr>
          <w:rStyle w:val="6"/>
          <w:rFonts w:ascii="仿宋_GB2312" w:hAnsi="宋体" w:eastAsia="仿宋_GB2312"/>
          <w:sz w:val="32"/>
        </w:rPr>
      </w:pPr>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 xml:space="preserve">评价类型： 项目实施过程评价 </w:t>
      </w:r>
      <w:r>
        <w:rPr>
          <w:rStyle w:val="6"/>
          <w:rFonts w:hint="default" w:ascii="Arial" w:hAnsi="Arial" w:eastAsia="仿宋_GB2312" w:cs="Arial"/>
          <w:sz w:val="32"/>
        </w:rPr>
        <w:t>√</w:t>
      </w:r>
      <w:bookmarkStart w:id="0" w:name="_GoBack"/>
      <w:bookmarkEnd w:id="0"/>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 xml:space="preserve">           项目完成结果评价 </w:t>
      </w:r>
    </w:p>
    <w:p>
      <w:pPr>
        <w:spacing w:before="312" w:after="312" w:line="1000" w:lineRule="exact"/>
        <w:ind w:left="3178" w:leftChars="686" w:hanging="1737" w:hangingChars="543"/>
        <w:rPr>
          <w:rStyle w:val="6"/>
          <w:rFonts w:ascii="仿宋_GB2312" w:hAnsi="宋体" w:eastAsia="仿宋_GB2312"/>
          <w:sz w:val="32"/>
        </w:rPr>
      </w:pPr>
      <w:r>
        <w:rPr>
          <w:rStyle w:val="6"/>
          <w:rFonts w:ascii="仿宋_GB2312" w:hAnsi="宋体" w:eastAsia="仿宋_GB2312"/>
          <w:sz w:val="32"/>
        </w:rPr>
        <w:t>项目名称：</w:t>
      </w:r>
      <w:r>
        <w:rPr>
          <w:rStyle w:val="6"/>
          <w:rFonts w:hint="eastAsia" w:ascii="仿宋_GB2312" w:hAnsi="宋体" w:eastAsia="仿宋_GB2312"/>
          <w:sz w:val="32"/>
        </w:rPr>
        <w:t>2020年曲江区文化馆资金群众文化演出、比赛经费</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项目单位：（公章）</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填报人姓名：陈德斌</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联系电话：6667052</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填报日期：2021年4月7日</w:t>
      </w:r>
    </w:p>
    <w:p>
      <w:pPr>
        <w:ind w:firstLine="1449" w:firstLineChars="453"/>
        <w:rPr>
          <w:rStyle w:val="6"/>
          <w:rFonts w:ascii="仿宋_GB2312" w:hAnsi="宋体" w:eastAsia="仿宋_GB2312"/>
          <w:sz w:val="32"/>
          <w:u w:val="single"/>
        </w:rPr>
      </w:pPr>
    </w:p>
    <w:p>
      <w:pPr>
        <w:pStyle w:val="10"/>
        <w:spacing w:before="0" w:after="0" w:line="480" w:lineRule="auto"/>
        <w:ind w:firstLine="914" w:firstLineChars="207"/>
        <w:rPr>
          <w:rStyle w:val="6"/>
          <w:rFonts w:hAnsi="微软雅黑"/>
          <w:b/>
          <w:color w:val="333333"/>
          <w:sz w:val="44"/>
        </w:rPr>
      </w:pPr>
      <w:r>
        <w:rPr>
          <w:rStyle w:val="6"/>
          <w:rFonts w:hAnsi="微软雅黑"/>
          <w:b/>
          <w:color w:val="333333"/>
          <w:sz w:val="44"/>
        </w:rPr>
        <w:t>曲江区文化馆2020年度绩效自评报告</w:t>
      </w:r>
    </w:p>
    <w:p>
      <w:pPr>
        <w:pStyle w:val="10"/>
        <w:spacing w:before="0" w:after="0" w:line="480" w:lineRule="auto"/>
        <w:ind w:firstLine="640" w:firstLineChars="200"/>
        <w:jc w:val="both"/>
        <w:rPr>
          <w:rStyle w:val="6"/>
          <w:rFonts w:ascii="仿宋" w:hAnsi="微软雅黑" w:eastAsia="仿宋"/>
          <w:color w:val="333333"/>
          <w:sz w:val="32"/>
        </w:rPr>
      </w:pP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根据曲江区财政局《关于开展2020年度区级财政支出项目绩效自评工作的的通知》, 我馆对2020年区文化馆运行经费绩效情况进行了全面综合评价。现将项目资金支出绩效自评情况报告如下。</w:t>
      </w:r>
    </w:p>
    <w:p>
      <w:pPr>
        <w:pStyle w:val="10"/>
        <w:numPr>
          <w:ilvl w:val="0"/>
          <w:numId w:val="1"/>
        </w:numPr>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基本情况</w:t>
      </w:r>
    </w:p>
    <w:p>
      <w:pPr>
        <w:ind w:firstLine="640" w:firstLineChars="200"/>
        <w:rPr>
          <w:rStyle w:val="6"/>
          <w:rFonts w:ascii="仿宋_GB2312" w:hAnsi="仿宋_GB2312" w:eastAsia="仿宋_GB2312"/>
          <w:sz w:val="32"/>
          <w:szCs w:val="32"/>
        </w:rPr>
      </w:pPr>
      <w:r>
        <w:rPr>
          <w:rStyle w:val="6"/>
          <w:rFonts w:ascii="仿宋_GB2312" w:hAnsi="仿宋_GB2312" w:eastAsia="仿宋_GB2312"/>
          <w:sz w:val="32"/>
          <w:szCs w:val="32"/>
        </w:rPr>
        <w:t>馆内设有多功能排练厅、非遗展厅、展览长廊、小剧场、美术书法辅导室、业余辅导室、创作策划室、培训室、多媒体室等。2014年12月体制改革，区采茶艺术传承中心并入文化馆，馆设办公室、群文部、非遗保护中心三大部门，在职人员29人；其中：具有本科学历3人；副高级演员1人；中级职称11人。初级职称16人，2016年被国家文化部评为二级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由区财政年度预算安排，项目资金均来源于财政资金。区文化馆群众文化演出、比赛经费10000元。</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二、项目资金使用管理情况</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1、严格遵守《会计法》和财经纪律，合理安排预算，建立和完善财务制度。</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2、严格执行报销程序，把好票据审核关，及时付款。</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3、增强责任意识，进一步构筑防腐拒变防线。</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4、强化效能监察，严格责任追究。</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5、各项开支严格执行中央、省、市、区政府公务接待相关规定。</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6、严格按照有关规定国库集中支付管理、事业单位会计制度规定和财政下达资金的使用范围管理和使用项目经费，做到专款专用，确保资金支出的真实性、安全性、合理性。</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三、绩效表现</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1、项目资金实际使用情况</w:t>
      </w:r>
    </w:p>
    <w:p>
      <w:pPr>
        <w:pStyle w:val="10"/>
        <w:spacing w:before="0" w:after="0" w:line="480" w:lineRule="auto"/>
        <w:jc w:val="both"/>
        <w:rPr>
          <w:rStyle w:val="6"/>
          <w:rFonts w:ascii="微软雅黑" w:hAnsi="微软雅黑" w:eastAsia="微软雅黑"/>
          <w:color w:val="333333"/>
        </w:rPr>
      </w:pPr>
      <w:r>
        <w:rPr>
          <w:rStyle w:val="6"/>
          <w:rFonts w:ascii="微软雅黑" w:hAnsi="微软雅黑" w:eastAsia="微软雅黑"/>
          <w:color w:val="333333"/>
        </w:rPr>
        <w:t xml:space="preserve">    </w:t>
      </w:r>
      <w:r>
        <w:rPr>
          <w:rStyle w:val="6"/>
          <w:rFonts w:ascii="仿宋" w:hAnsi="微软雅黑" w:eastAsia="仿宋"/>
          <w:color w:val="333333"/>
          <w:sz w:val="32"/>
        </w:rPr>
        <w:t xml:space="preserve"> 由于疫情原因，资金未使用。</w:t>
      </w:r>
    </w:p>
    <w:p>
      <w:pPr>
        <w:pStyle w:val="10"/>
        <w:spacing w:before="0" w:after="0" w:line="480" w:lineRule="auto"/>
        <w:ind w:firstLine="482" w:firstLineChars="150"/>
        <w:jc w:val="both"/>
        <w:rPr>
          <w:rStyle w:val="6"/>
          <w:rFonts w:ascii="仿宋" w:hAnsi="微软雅黑" w:eastAsia="仿宋"/>
          <w:color w:val="333333"/>
          <w:sz w:val="32"/>
        </w:rPr>
      </w:pPr>
      <w:r>
        <w:rPr>
          <w:rStyle w:val="6"/>
          <w:rFonts w:ascii="仿宋" w:hAnsi="微软雅黑" w:eastAsia="仿宋"/>
          <w:b/>
          <w:color w:val="333333"/>
          <w:sz w:val="32"/>
        </w:rPr>
        <w:t xml:space="preserve"> 四、存在的问题</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1、对于绩效评价的认识不够深入，把预算绩效简单等同于工作目标、工作考核和业务管理。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2、绩效目标和指标往往根据项目实际完成情况制定，对项目执行过程有效约束不够，存在一定的偏差。</w:t>
      </w:r>
    </w:p>
    <w:p>
      <w:pPr>
        <w:pStyle w:val="10"/>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五、整改措施</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1．加强对财政资金拨付和使用的管理。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2．加强绩效评价管理制度和流程的建设，进一步深化、完善绩效管理体系，建立全过程的预算绩效管理机制，促进绩效管理工作向广度和深度延伸。</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3．进一步加强会计核算，强化预算管理意识，严格执行预算，确保专款专用。</w:t>
      </w:r>
    </w:p>
    <w:p>
      <w:pPr>
        <w:pStyle w:val="10"/>
        <w:spacing w:before="0" w:after="0" w:line="480" w:lineRule="auto"/>
        <w:ind w:firstLine="4960" w:firstLineChars="1550"/>
        <w:jc w:val="both"/>
        <w:rPr>
          <w:rStyle w:val="6"/>
          <w:rFonts w:ascii="仿宋" w:hAnsi="微软雅黑" w:eastAsia="仿宋"/>
          <w:color w:val="333333"/>
          <w:sz w:val="32"/>
        </w:rPr>
      </w:pPr>
    </w:p>
    <w:p>
      <w:pPr>
        <w:pStyle w:val="10"/>
        <w:spacing w:before="0" w:after="0" w:line="480" w:lineRule="auto"/>
        <w:ind w:firstLine="5440" w:firstLineChars="1700"/>
        <w:jc w:val="both"/>
        <w:rPr>
          <w:rStyle w:val="6"/>
          <w:rFonts w:ascii="仿宋" w:hAnsi="微软雅黑" w:eastAsia="仿宋"/>
          <w:color w:val="333333"/>
          <w:sz w:val="32"/>
        </w:rPr>
      </w:pPr>
    </w:p>
    <w:p>
      <w:pPr>
        <w:pStyle w:val="10"/>
        <w:spacing w:before="0" w:after="0" w:line="480" w:lineRule="auto"/>
        <w:ind w:firstLine="5920" w:firstLineChars="1850"/>
        <w:jc w:val="both"/>
        <w:rPr>
          <w:rStyle w:val="6"/>
          <w:rFonts w:ascii="仿宋" w:hAnsi="微软雅黑" w:eastAsia="仿宋"/>
          <w:color w:val="333333"/>
          <w:sz w:val="32"/>
        </w:rPr>
      </w:pPr>
      <w:r>
        <w:rPr>
          <w:rStyle w:val="6"/>
          <w:rFonts w:ascii="仿宋" w:hAnsi="微软雅黑" w:eastAsia="仿宋"/>
          <w:color w:val="333333"/>
          <w:sz w:val="32"/>
        </w:rPr>
        <w:t>曲江区文化馆</w:t>
      </w:r>
    </w:p>
    <w:p>
      <w:pPr>
        <w:pStyle w:val="10"/>
        <w:spacing w:before="0" w:after="0" w:line="480" w:lineRule="auto"/>
        <w:ind w:firstLine="5760" w:firstLineChars="1800"/>
        <w:jc w:val="both"/>
        <w:rPr>
          <w:rStyle w:val="6"/>
          <w:rFonts w:ascii="仿宋" w:hAnsi="微软雅黑" w:eastAsia="仿宋"/>
          <w:color w:val="333333"/>
          <w:sz w:val="32"/>
        </w:rPr>
      </w:pPr>
      <w:r>
        <w:rPr>
          <w:rStyle w:val="6"/>
          <w:rFonts w:ascii="仿宋" w:hAnsi="微软雅黑" w:eastAsia="仿宋"/>
          <w:color w:val="333333"/>
          <w:sz w:val="32"/>
        </w:rPr>
        <w:t>2021年4月7日</w:t>
      </w:r>
    </w:p>
    <w:p>
      <w:pPr>
        <w:jc w:val="center"/>
        <w:rPr>
          <w:rStyle w:val="6"/>
          <w:rFonts w:eastAsia="仿宋_GB2312"/>
          <w:sz w:val="32"/>
          <w:szCs w:val="32"/>
        </w:rPr>
      </w:pPr>
    </w:p>
    <w:p>
      <w:pPr>
        <w:jc w:val="center"/>
        <w:rPr>
          <w:rStyle w:val="6"/>
          <w:rFonts w:eastAsia="仿宋_GB2312"/>
          <w:sz w:val="32"/>
          <w:szCs w:val="32"/>
        </w:rPr>
      </w:pPr>
    </w:p>
    <w:sectPr>
      <w:footerReference r:id="rId3" w:type="default"/>
      <w:footerReference r:id="rId4" w:type="even"/>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79A2DC"/>
    <w:multiLevelType w:val="singleLevel"/>
    <w:tmpl w:val="7679A2DC"/>
    <w:lvl w:ilvl="0" w:tentative="0">
      <w:start w:val="1"/>
      <w:numFmt w:val="chineseCounting"/>
      <w:suff w:val="nothing"/>
      <w:lvlText w:val="%1、"/>
      <w:lvlJc w:val="left"/>
      <w:pPr>
        <w:widowControl/>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693E37"/>
    <w:rsid w:val="001C31DA"/>
    <w:rsid w:val="00693E37"/>
    <w:rsid w:val="00EB38A0"/>
    <w:rsid w:val="18AD4945"/>
    <w:rsid w:val="64D27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qFormat/>
    <w:uiPriority w:val="0"/>
  </w:style>
  <w:style w:type="table" w:customStyle="1" w:styleId="7">
    <w:name w:val="TableNormal"/>
    <w:qFormat/>
    <w:uiPriority w:val="0"/>
    <w:tblPr>
      <w:tblCellMar>
        <w:top w:w="0" w:type="dxa"/>
        <w:left w:w="0" w:type="dxa"/>
        <w:bottom w:w="0" w:type="dxa"/>
        <w:right w:w="0" w:type="dxa"/>
      </w:tblCellMar>
    </w:tblPr>
  </w:style>
  <w:style w:type="character" w:customStyle="1" w:styleId="8">
    <w:name w:val="页脚 Char"/>
    <w:basedOn w:val="6"/>
    <w:link w:val="2"/>
    <w:semiHidden/>
    <w:qFormat/>
    <w:uiPriority w:val="0"/>
    <w:rPr>
      <w:rFonts w:ascii="Times New Roman" w:hAnsi="Times New Roman" w:eastAsia="宋体"/>
      <w:sz w:val="18"/>
      <w:szCs w:val="18"/>
    </w:rPr>
  </w:style>
  <w:style w:type="character" w:customStyle="1" w:styleId="9">
    <w:name w:val="页眉 Char"/>
    <w:basedOn w:val="6"/>
    <w:link w:val="3"/>
    <w:semiHidden/>
    <w:qFormat/>
    <w:uiPriority w:val="0"/>
    <w:rPr>
      <w:rFonts w:ascii="Times New Roman" w:hAnsi="Times New Roman" w:eastAsia="宋体"/>
      <w:sz w:val="18"/>
      <w:szCs w:val="18"/>
    </w:rPr>
  </w:style>
  <w:style w:type="paragraph" w:customStyle="1" w:styleId="10">
    <w:name w:val="HtmlNormal"/>
    <w:basedOn w:val="1"/>
    <w:qFormat/>
    <w:uiPriority w:val="0"/>
    <w:pPr>
      <w:spacing w:before="100" w:beforeAutospacing="1" w:after="100" w:afterAutospacing="1"/>
      <w:jc w:val="left"/>
    </w:pPr>
    <w:rPr>
      <w:rFonts w:ascii="宋体" w:hAnsi="宋体"/>
      <w:kern w:val="0"/>
      <w:sz w:val="24"/>
      <w:szCs w:val="24"/>
    </w:rPr>
  </w:style>
  <w:style w:type="character" w:customStyle="1" w:styleId="11">
    <w:name w:val="Page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Words>
  <Characters>833</Characters>
  <Lines>6</Lines>
  <Paragraphs>1</Paragraphs>
  <TotalTime>0</TotalTime>
  <ScaleCrop>false</ScaleCrop>
  <LinksUpToDate>false</LinksUpToDate>
  <CharactersWithSpaces>977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2021-04-07T02:09:00Z</dcterms:created>
  <dc:creator>Administrator</dc:creator>
  <cp:lastModifiedBy>Administrator</cp:lastModifiedBy>
  <dcterms:modified xsi:type="dcterms:W3CDTF">2021-04-08T02:44:13Z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