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Style w:val="6"/>
          <w:rFonts w:ascii="宋体" w:hAnsi="宋体" w:eastAsia="黑体"/>
          <w:b/>
          <w:sz w:val="32"/>
          <w:szCs w:val="32"/>
        </w:rPr>
      </w:pPr>
      <w:r>
        <w:rPr>
          <w:rStyle w:val="6"/>
          <w:rFonts w:ascii="黑体" w:hAnsi="黑体" w:eastAsia="黑体"/>
          <w:color w:val="000000"/>
          <w:sz w:val="32"/>
          <w:szCs w:val="32"/>
        </w:rPr>
        <w:t>附件6</w:t>
      </w:r>
    </w:p>
    <w:p>
      <w:pPr>
        <w:jc w:val="center"/>
        <w:rPr>
          <w:rStyle w:val="6"/>
          <w:rFonts w:ascii="方正小标宋简体" w:hAnsi="宋体" w:eastAsia="方正小标宋简体" w:cs="Times New Roman"/>
          <w:b/>
          <w:bCs/>
          <w:sz w:val="52"/>
          <w:szCs w:val="52"/>
        </w:rPr>
      </w:pPr>
      <w:r>
        <w:rPr>
          <w:rStyle w:val="6"/>
          <w:rFonts w:ascii="方正小标宋简体" w:hAnsi="宋体" w:eastAsia="方正小标宋简体" w:cs="Times New Roman"/>
          <w:b/>
          <w:bCs/>
          <w:sz w:val="52"/>
          <w:szCs w:val="52"/>
        </w:rPr>
        <w:t>曲江区绩效自评报告</w:t>
      </w:r>
    </w:p>
    <w:p>
      <w:pPr>
        <w:jc w:val="center"/>
        <w:rPr>
          <w:rStyle w:val="6"/>
          <w:rFonts w:ascii="仿宋_GB2312" w:hAnsi="宋体" w:eastAsia="仿宋_GB2312"/>
          <w:sz w:val="32"/>
          <w:szCs w:val="32"/>
        </w:rPr>
      </w:pPr>
      <w:r>
        <w:rPr>
          <w:rStyle w:val="6"/>
          <w:rFonts w:ascii="仿宋_GB2312" w:hAnsi="宋体" w:eastAsia="仿宋_GB2312"/>
          <w:sz w:val="32"/>
          <w:szCs w:val="32"/>
        </w:rPr>
        <w:t>（2020年度）</w:t>
      </w:r>
    </w:p>
    <w:p>
      <w:pPr>
        <w:jc w:val="center"/>
        <w:rPr>
          <w:rStyle w:val="6"/>
          <w:rFonts w:ascii="仿宋_GB2312" w:hAnsi="宋体" w:eastAsia="仿宋_GB2312"/>
          <w:sz w:val="32"/>
          <w:szCs w:val="32"/>
        </w:rPr>
      </w:pPr>
    </w:p>
    <w:p>
      <w:pPr>
        <w:spacing w:line="720" w:lineRule="auto"/>
        <w:ind w:firstLine="1440" w:firstLineChars="450"/>
        <w:rPr>
          <w:rStyle w:val="6"/>
          <w:rFonts w:ascii="仿宋_GB2312" w:hAnsi="宋体" w:eastAsia="仿宋_GB2312"/>
          <w:sz w:val="32"/>
        </w:rPr>
      </w:pPr>
    </w:p>
    <w:p>
      <w:pPr>
        <w:spacing w:line="720" w:lineRule="auto"/>
        <w:ind w:firstLine="1440" w:firstLineChars="450"/>
        <w:rPr>
          <w:rStyle w:val="6"/>
          <w:rFonts w:ascii="仿宋_GB2312" w:hAnsi="宋体" w:eastAsia="仿宋_GB2312"/>
          <w:sz w:val="32"/>
        </w:rPr>
      </w:pPr>
      <w:r>
        <w:rPr>
          <w:rStyle w:val="6"/>
          <w:rFonts w:ascii="仿宋_GB2312" w:hAnsi="宋体" w:eastAsia="仿宋_GB2312"/>
          <w:sz w:val="32"/>
        </w:rPr>
        <w:t>评价类型： 项目实施过程评价</w:t>
      </w:r>
      <w:r>
        <w:rPr>
          <w:rStyle w:val="6"/>
          <w:rFonts w:hint="default" w:ascii="Arial" w:hAnsi="Arial" w:eastAsia="仿宋_GB2312" w:cs="Arial"/>
          <w:sz w:val="32"/>
        </w:rPr>
        <w:t>√</w:t>
      </w:r>
    </w:p>
    <w:p>
      <w:pPr>
        <w:spacing w:line="720" w:lineRule="auto"/>
        <w:ind w:firstLine="1440" w:firstLineChars="450"/>
        <w:rPr>
          <w:rStyle w:val="6"/>
          <w:rFonts w:ascii="仿宋_GB2312" w:hAnsi="宋体" w:eastAsia="仿宋_GB2312"/>
          <w:sz w:val="32"/>
        </w:rPr>
      </w:pPr>
      <w:r>
        <w:rPr>
          <w:rStyle w:val="6"/>
          <w:rFonts w:ascii="仿宋_GB2312" w:hAnsi="宋体" w:eastAsia="仿宋_GB2312"/>
          <w:sz w:val="32"/>
        </w:rPr>
        <w:t xml:space="preserve">           项目完成结果评价 </w:t>
      </w:r>
    </w:p>
    <w:p>
      <w:pPr>
        <w:spacing w:before="312" w:after="312" w:line="1000" w:lineRule="exact"/>
        <w:ind w:firstLine="1440" w:firstLineChars="450"/>
        <w:rPr>
          <w:rStyle w:val="6"/>
          <w:rFonts w:ascii="仿宋_GB2312" w:hAnsi="宋体" w:eastAsia="仿宋_GB2312"/>
          <w:sz w:val="32"/>
        </w:rPr>
      </w:pPr>
      <w:r>
        <w:rPr>
          <w:rStyle w:val="6"/>
          <w:rFonts w:ascii="仿宋_GB2312" w:hAnsi="宋体" w:eastAsia="仿宋_GB2312"/>
          <w:sz w:val="32"/>
        </w:rPr>
        <w:t>项目名称：</w:t>
      </w:r>
      <w:r>
        <w:rPr>
          <w:rStyle w:val="6"/>
          <w:rFonts w:hint="eastAsia" w:ascii="仿宋_GB2312" w:hAnsi="宋体" w:eastAsia="仿宋_GB2312"/>
          <w:sz w:val="32"/>
        </w:rPr>
        <w:t>2020年曲江区文化馆资金送戏下乡经费</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项目单位：（公章）</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填报人姓名：陈德斌</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联系电话：6667052</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填报日期：2021年4月7日</w:t>
      </w:r>
    </w:p>
    <w:p>
      <w:pPr>
        <w:ind w:firstLine="1449" w:firstLineChars="453"/>
        <w:rPr>
          <w:rStyle w:val="6"/>
          <w:rFonts w:ascii="仿宋_GB2312" w:hAnsi="宋体" w:eastAsia="仿宋_GB2312"/>
          <w:sz w:val="32"/>
          <w:u w:val="single"/>
        </w:rPr>
      </w:pPr>
    </w:p>
    <w:p>
      <w:pPr>
        <w:spacing w:line="360" w:lineRule="auto"/>
        <w:rPr>
          <w:rStyle w:val="6"/>
          <w:rFonts w:ascii="仿宋_GB2312" w:hAnsi="仿宋_GB2312" w:eastAsia="仿宋_GB2312"/>
          <w:sz w:val="32"/>
          <w:szCs w:val="32"/>
        </w:rPr>
      </w:pPr>
    </w:p>
    <w:p>
      <w:pPr>
        <w:pStyle w:val="10"/>
        <w:spacing w:before="0" w:after="0" w:line="480" w:lineRule="auto"/>
        <w:rPr>
          <w:rStyle w:val="6"/>
          <w:rFonts w:hAnsi="微软雅黑"/>
          <w:b/>
          <w:color w:val="333333"/>
          <w:sz w:val="44"/>
        </w:rPr>
      </w:pPr>
      <w:r>
        <w:rPr>
          <w:rStyle w:val="6"/>
          <w:rFonts w:hAnsi="微软雅黑"/>
          <w:b/>
          <w:color w:val="333333"/>
          <w:sz w:val="44"/>
        </w:rPr>
        <w:t>曲江区文化</w:t>
      </w:r>
      <w:r>
        <w:rPr>
          <w:rStyle w:val="6"/>
          <w:rFonts w:hint="eastAsia" w:hAnsi="微软雅黑"/>
          <w:b/>
          <w:color w:val="333333"/>
          <w:sz w:val="44"/>
          <w:lang w:val="en-US" w:eastAsia="zh-CN"/>
        </w:rPr>
        <w:t>馆</w:t>
      </w:r>
      <w:r>
        <w:rPr>
          <w:rStyle w:val="6"/>
          <w:rFonts w:hAnsi="微软雅黑"/>
          <w:b/>
          <w:color w:val="333333"/>
          <w:sz w:val="44"/>
        </w:rPr>
        <w:t>2020</w:t>
      </w:r>
      <w:r>
        <w:rPr>
          <w:rStyle w:val="6"/>
          <w:rFonts w:hint="eastAsia" w:hAnsi="微软雅黑"/>
          <w:b/>
          <w:color w:val="333333"/>
          <w:sz w:val="44"/>
          <w:lang w:val="en-US" w:eastAsia="zh-CN"/>
        </w:rPr>
        <w:t>年</w:t>
      </w:r>
      <w:r>
        <w:rPr>
          <w:rStyle w:val="6"/>
          <w:rFonts w:hAnsi="微软雅黑"/>
          <w:b/>
          <w:color w:val="333333"/>
          <w:sz w:val="44"/>
        </w:rPr>
        <w:t>度绩效自评报告</w:t>
      </w:r>
    </w:p>
    <w:p>
      <w:pPr>
        <w:pStyle w:val="10"/>
        <w:spacing w:before="0" w:after="0" w:line="480" w:lineRule="auto"/>
        <w:ind w:firstLine="640" w:firstLineChars="200"/>
        <w:jc w:val="both"/>
        <w:rPr>
          <w:rStyle w:val="6"/>
          <w:rFonts w:ascii="仿宋" w:hAnsi="微软雅黑" w:eastAsia="仿宋"/>
          <w:color w:val="333333"/>
          <w:sz w:val="32"/>
        </w:rPr>
      </w:pP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根据曲江区财政局《关于开展2020年度区级财政支出项目绩效自评工作的的通知》, 我馆对2020年区文化馆运行经费绩效情况进行了全面综合评价。现将项目资金支出绩效自评情况报告如下。</w:t>
      </w:r>
    </w:p>
    <w:p>
      <w:pPr>
        <w:pStyle w:val="10"/>
        <w:numPr>
          <w:ilvl w:val="0"/>
          <w:numId w:val="1"/>
        </w:numPr>
        <w:spacing w:before="0" w:after="0" w:line="480" w:lineRule="auto"/>
        <w:ind w:firstLine="643" w:firstLineChars="200"/>
        <w:jc w:val="both"/>
        <w:rPr>
          <w:rStyle w:val="6"/>
          <w:rFonts w:ascii="仿宋" w:hAnsi="微软雅黑" w:eastAsia="仿宋"/>
          <w:b/>
          <w:color w:val="333333"/>
          <w:sz w:val="32"/>
        </w:rPr>
      </w:pPr>
      <w:r>
        <w:rPr>
          <w:rStyle w:val="6"/>
          <w:rFonts w:ascii="仿宋" w:hAnsi="微软雅黑" w:eastAsia="仿宋"/>
          <w:b/>
          <w:color w:val="333333"/>
          <w:sz w:val="32"/>
        </w:rPr>
        <w:t>基本情况</w:t>
      </w:r>
    </w:p>
    <w:p>
      <w:pPr>
        <w:ind w:firstLine="640" w:firstLineChars="200"/>
        <w:rPr>
          <w:rStyle w:val="6"/>
          <w:rFonts w:ascii="仿宋_GB2312" w:hAnsi="仿宋_GB2312" w:eastAsia="仿宋_GB2312"/>
          <w:sz w:val="32"/>
          <w:szCs w:val="32"/>
        </w:rPr>
      </w:pPr>
      <w:r>
        <w:rPr>
          <w:rStyle w:val="6"/>
          <w:rFonts w:ascii="仿宋_GB2312" w:hAnsi="仿宋_GB2312" w:eastAsia="仿宋_GB2312"/>
          <w:sz w:val="32"/>
          <w:szCs w:val="32"/>
        </w:rPr>
        <w:t>馆内设有多功能排练厅、非遗展厅、展览长廊、小剧场、美术书法辅导室、业余辅导室、创作策划室、培训室、多媒体室等。2014年12月体制改革，区采茶艺术传承中心并入文化馆，馆设办公室、群文部、非遗保护中心三大部门，在职人员29人；其中：具有本科学历3人；副高级演员1人；中级职称11人。初级职称16人，2016年被国家文化部评为二级馆。</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由区财政年度预算安排，项目资金均来源于财政资金。区文化馆送戏下乡专项经费20000元。</w:t>
      </w:r>
    </w:p>
    <w:p>
      <w:pPr>
        <w:pStyle w:val="10"/>
        <w:spacing w:before="0" w:after="0" w:line="480" w:lineRule="auto"/>
        <w:ind w:firstLine="803" w:firstLineChars="250"/>
        <w:jc w:val="both"/>
        <w:rPr>
          <w:rStyle w:val="6"/>
          <w:rFonts w:ascii="仿宋" w:hAnsi="微软雅黑" w:eastAsia="仿宋"/>
          <w:b/>
          <w:color w:val="333333"/>
          <w:sz w:val="32"/>
        </w:rPr>
      </w:pPr>
      <w:r>
        <w:rPr>
          <w:rStyle w:val="6"/>
          <w:rFonts w:ascii="仿宋" w:hAnsi="微软雅黑" w:eastAsia="仿宋"/>
          <w:b/>
          <w:color w:val="333333"/>
          <w:sz w:val="32"/>
        </w:rPr>
        <w:t>二、项目资金使用管理情况</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1、严格遵守《会计法》和财经纪律，合理安排预算，建立和完善财务制度。</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2、严格执行报销程序，把好票据审核关，及时付款。</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3、增强责任意识，进一步构筑防腐拒变防线。</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4、强化效能监察，严格责任追究。</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5、各项开支严格执行中央、省、市、区政府公务接待相关规定。</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6、严格按照有关规定国库集中支付管理、事业单位会计制度规定和财政下达资金的使用范围管理和使用项目经费，做到专款专用，确保资金支出的真实性、安全性、合理性。</w:t>
      </w:r>
    </w:p>
    <w:p>
      <w:pPr>
        <w:pStyle w:val="10"/>
        <w:spacing w:before="0" w:after="0" w:line="480" w:lineRule="auto"/>
        <w:ind w:firstLine="803" w:firstLineChars="250"/>
        <w:jc w:val="both"/>
        <w:rPr>
          <w:rStyle w:val="6"/>
          <w:rFonts w:ascii="仿宋" w:hAnsi="微软雅黑" w:eastAsia="仿宋"/>
          <w:b/>
          <w:color w:val="333333"/>
          <w:sz w:val="32"/>
        </w:rPr>
      </w:pPr>
      <w:r>
        <w:rPr>
          <w:rStyle w:val="6"/>
          <w:rFonts w:ascii="仿宋" w:hAnsi="微软雅黑" w:eastAsia="仿宋"/>
          <w:b/>
          <w:color w:val="333333"/>
          <w:sz w:val="32"/>
        </w:rPr>
        <w:t>三、绩效表现</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1、项目资金实际使用情况</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2020年项目资金预算开支经费如下：</w:t>
      </w:r>
      <w:bookmarkStart w:id="0" w:name="_GoBack"/>
      <w:bookmarkEnd w:id="0"/>
      <w:r>
        <w:rPr>
          <w:rStyle w:val="6"/>
          <w:rFonts w:ascii="仿宋" w:hAnsi="微软雅黑" w:eastAsia="仿宋"/>
          <w:color w:val="333333"/>
          <w:sz w:val="32"/>
        </w:rPr>
        <w:t>文化馆送戏下乡专项经费20000元，分十场每场2000元经费进行送戏下乡工作。</w:t>
      </w:r>
    </w:p>
    <w:p>
      <w:pPr>
        <w:pStyle w:val="10"/>
        <w:numPr>
          <w:ilvl w:val="0"/>
          <w:numId w:val="2"/>
        </w:numPr>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项目资金使用社会效益及影响</w:t>
      </w:r>
    </w:p>
    <w:p>
      <w:pPr>
        <w:pStyle w:val="10"/>
        <w:spacing w:before="0" w:after="0" w:line="480" w:lineRule="auto"/>
        <w:ind w:firstLine="320" w:firstLineChars="100"/>
        <w:jc w:val="both"/>
        <w:rPr>
          <w:rStyle w:val="6"/>
          <w:rFonts w:ascii="仿宋" w:hAnsi="微软雅黑" w:eastAsia="仿宋"/>
          <w:color w:val="333333"/>
          <w:sz w:val="32"/>
        </w:rPr>
      </w:pPr>
      <w:r>
        <w:rPr>
          <w:rStyle w:val="6"/>
          <w:rFonts w:ascii="仿宋" w:hAnsi="微软雅黑" w:eastAsia="仿宋"/>
          <w:color w:val="333333"/>
          <w:sz w:val="32"/>
        </w:rPr>
        <w:t>“送戏下乡”文化惠民工程是加快完善公共文化服务体系,落实科学发展观,实现文化与政治、经济、社会协调发展的需要,是丰富人民群众文化生活,营造喜庆祥和的文化氛围,满足老百姓日益增长的文化需求,实现公民文化权益的重要举措。"不断丰富城乡居民的文化生活,满足人民群众日益增长的文化需求。这是全国文化部门对文化工作者提出的要求。社会的不断发展与进步,我国城乡居民的精神文化生活的需求不断提高。送戏下乡就是在这种背景下产生的,它是丰富农村人民群众文化生活,满足他们日益增长的文化需求的一个重要措施和主要手段。</w:t>
      </w:r>
    </w:p>
    <w:p>
      <w:pPr>
        <w:pStyle w:val="10"/>
        <w:spacing w:before="0" w:after="0" w:line="480" w:lineRule="auto"/>
        <w:jc w:val="both"/>
        <w:rPr>
          <w:rStyle w:val="6"/>
          <w:rFonts w:ascii="微软雅黑" w:hAnsi="微软雅黑" w:eastAsia="微软雅黑"/>
          <w:color w:val="333333"/>
        </w:rPr>
      </w:pPr>
      <w:r>
        <w:rPr>
          <w:rStyle w:val="6"/>
          <w:rFonts w:ascii="微软雅黑" w:hAnsi="微软雅黑" w:eastAsia="微软雅黑"/>
          <w:color w:val="333333"/>
        </w:rPr>
        <w:t xml:space="preserve">    </w:t>
      </w:r>
      <w:r>
        <w:rPr>
          <w:rStyle w:val="6"/>
          <w:rFonts w:ascii="仿宋" w:hAnsi="微软雅黑" w:eastAsia="仿宋"/>
          <w:color w:val="333333"/>
          <w:sz w:val="32"/>
        </w:rPr>
        <w:t xml:space="preserve"> </w:t>
      </w:r>
    </w:p>
    <w:p>
      <w:pPr>
        <w:pStyle w:val="10"/>
        <w:spacing w:before="0" w:after="0" w:line="480" w:lineRule="auto"/>
        <w:ind w:firstLine="482" w:firstLineChars="150"/>
        <w:jc w:val="both"/>
        <w:rPr>
          <w:rStyle w:val="6"/>
          <w:rFonts w:ascii="仿宋" w:hAnsi="微软雅黑" w:eastAsia="仿宋"/>
          <w:color w:val="333333"/>
          <w:sz w:val="32"/>
        </w:rPr>
      </w:pPr>
      <w:r>
        <w:rPr>
          <w:rStyle w:val="6"/>
          <w:rFonts w:ascii="仿宋" w:hAnsi="微软雅黑" w:eastAsia="仿宋"/>
          <w:b/>
          <w:color w:val="333333"/>
          <w:sz w:val="32"/>
        </w:rPr>
        <w:t xml:space="preserve"> 四、存在的问题</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1、对于绩效评价的认识不够深入，把预算绩效简单等同于工作目标、工作考核和业务管理。</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2、绩效目标和指标往往根据项目实际完成情况制定，对项目执行过程有效约束不够，存在一定的偏差。</w:t>
      </w:r>
    </w:p>
    <w:p>
      <w:pPr>
        <w:pStyle w:val="10"/>
        <w:spacing w:before="0" w:after="0" w:line="480" w:lineRule="auto"/>
        <w:ind w:firstLine="643" w:firstLineChars="200"/>
        <w:jc w:val="both"/>
        <w:rPr>
          <w:rStyle w:val="6"/>
          <w:rFonts w:ascii="仿宋" w:hAnsi="微软雅黑" w:eastAsia="仿宋"/>
          <w:b/>
          <w:color w:val="333333"/>
          <w:sz w:val="32"/>
        </w:rPr>
      </w:pPr>
      <w:r>
        <w:rPr>
          <w:rStyle w:val="6"/>
          <w:rFonts w:ascii="仿宋" w:hAnsi="微软雅黑" w:eastAsia="仿宋"/>
          <w:b/>
          <w:color w:val="333333"/>
          <w:sz w:val="32"/>
        </w:rPr>
        <w:t>五、整改措施</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1．加强对财政资金拨付和使用的管理。</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2．加强绩效评价管理制度和流程的建设，进一步深化、完善绩效管理体系，建立全过程的预算绩效管理机制，促进绩效管理工作向广度和深度延伸。</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3．进一步加强会计核算，强化预算管理意识，严格执行预算，确保专款专用。</w:t>
      </w:r>
    </w:p>
    <w:p>
      <w:pPr>
        <w:pStyle w:val="10"/>
        <w:spacing w:before="0" w:after="0" w:line="480" w:lineRule="auto"/>
        <w:ind w:firstLine="4960" w:firstLineChars="1550"/>
        <w:jc w:val="both"/>
        <w:rPr>
          <w:rStyle w:val="6"/>
          <w:rFonts w:ascii="仿宋" w:hAnsi="微软雅黑" w:eastAsia="仿宋"/>
          <w:color w:val="333333"/>
          <w:sz w:val="32"/>
        </w:rPr>
      </w:pPr>
    </w:p>
    <w:p>
      <w:pPr>
        <w:pStyle w:val="10"/>
        <w:spacing w:before="0" w:after="0" w:line="480" w:lineRule="auto"/>
        <w:ind w:firstLine="5440" w:firstLineChars="1700"/>
        <w:jc w:val="both"/>
        <w:rPr>
          <w:rStyle w:val="6"/>
          <w:rFonts w:ascii="仿宋" w:hAnsi="微软雅黑" w:eastAsia="仿宋"/>
          <w:color w:val="333333"/>
          <w:sz w:val="32"/>
        </w:rPr>
      </w:pPr>
    </w:p>
    <w:p>
      <w:pPr>
        <w:pStyle w:val="10"/>
        <w:spacing w:before="0" w:after="0" w:line="480" w:lineRule="auto"/>
        <w:ind w:firstLine="5920" w:firstLineChars="1850"/>
        <w:jc w:val="both"/>
        <w:rPr>
          <w:rStyle w:val="6"/>
          <w:rFonts w:ascii="仿宋" w:hAnsi="微软雅黑" w:eastAsia="仿宋"/>
          <w:color w:val="333333"/>
          <w:sz w:val="32"/>
        </w:rPr>
      </w:pPr>
      <w:r>
        <w:rPr>
          <w:rStyle w:val="6"/>
          <w:rFonts w:ascii="仿宋" w:hAnsi="微软雅黑" w:eastAsia="仿宋"/>
          <w:color w:val="333333"/>
          <w:sz w:val="32"/>
        </w:rPr>
        <w:t>曲江区文化馆</w:t>
      </w:r>
    </w:p>
    <w:p>
      <w:pPr>
        <w:pStyle w:val="10"/>
        <w:spacing w:before="0" w:after="0" w:line="480" w:lineRule="auto"/>
        <w:ind w:firstLine="5760" w:firstLineChars="1800"/>
        <w:jc w:val="both"/>
        <w:rPr>
          <w:rStyle w:val="6"/>
          <w:rFonts w:ascii="仿宋" w:hAnsi="微软雅黑" w:eastAsia="仿宋"/>
          <w:color w:val="333333"/>
          <w:sz w:val="32"/>
        </w:rPr>
      </w:pPr>
      <w:r>
        <w:rPr>
          <w:rStyle w:val="6"/>
          <w:rFonts w:ascii="仿宋" w:hAnsi="微软雅黑" w:eastAsia="仿宋"/>
          <w:color w:val="333333"/>
          <w:sz w:val="32"/>
        </w:rPr>
        <w:t>2021年4月7日</w:t>
      </w:r>
    </w:p>
    <w:p>
      <w:pPr>
        <w:jc w:val="center"/>
        <w:rPr>
          <w:rStyle w:val="6"/>
          <w:rFonts w:eastAsia="仿宋_GB2312"/>
          <w:sz w:val="32"/>
          <w:szCs w:val="32"/>
        </w:rPr>
      </w:pPr>
    </w:p>
    <w:p>
      <w:pPr>
        <w:jc w:val="center"/>
        <w:rPr>
          <w:rStyle w:val="6"/>
          <w:rFonts w:eastAsia="仿宋_GB2312"/>
          <w:sz w:val="32"/>
          <w:szCs w:val="32"/>
        </w:rPr>
      </w:pPr>
    </w:p>
    <w:sectPr>
      <w:footerReference r:id="rId3" w:type="default"/>
      <w:footerReference r:id="rId4" w:type="even"/>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1"/>
      </w:rPr>
    </w:pPr>
  </w:p>
  <w:p>
    <w:pPr>
      <w:pStyle w:val="2"/>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1"/>
      </w:rPr>
    </w:pPr>
  </w:p>
  <w:p>
    <w:pPr>
      <w:pStyle w:val="2"/>
      <w:rPr>
        <w:rStyle w:val="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2EA117"/>
    <w:multiLevelType w:val="singleLevel"/>
    <w:tmpl w:val="4A2EA117"/>
    <w:lvl w:ilvl="0" w:tentative="0">
      <w:start w:val="2"/>
      <w:numFmt w:val="decimal"/>
      <w:suff w:val="nothing"/>
      <w:lvlText w:val="%1、"/>
      <w:lvlJc w:val="left"/>
      <w:pPr>
        <w:widowControl/>
        <w:textAlignment w:val="baseline"/>
      </w:pPr>
    </w:lvl>
  </w:abstractNum>
  <w:abstractNum w:abstractNumId="1">
    <w:nsid w:val="7679A2DC"/>
    <w:multiLevelType w:val="singleLevel"/>
    <w:tmpl w:val="7679A2DC"/>
    <w:lvl w:ilvl="0" w:tentative="0">
      <w:start w:val="1"/>
      <w:numFmt w:val="chineseCounting"/>
      <w:suff w:val="nothing"/>
      <w:lvlText w:val="%1、"/>
      <w:lvlJc w:val="left"/>
      <w:pPr>
        <w:widowControl/>
        <w:textAlignment w:val="baseline"/>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C73CD1"/>
    <w:rsid w:val="00407E48"/>
    <w:rsid w:val="00513D98"/>
    <w:rsid w:val="00C73CD1"/>
    <w:rsid w:val="1D8331F9"/>
    <w:rsid w:val="64D27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heme="minorBidi"/>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000000" w:sz="6" w:space="1"/>
      </w:pBdr>
      <w:tabs>
        <w:tab w:val="center" w:pos="4153"/>
        <w:tab w:val="right" w:pos="8306"/>
      </w:tabs>
      <w:snapToGrid w:val="0"/>
      <w:jc w:val="center"/>
    </w:pPr>
    <w:rPr>
      <w:sz w:val="18"/>
      <w:szCs w:val="18"/>
    </w:rPr>
  </w:style>
  <w:style w:type="character" w:customStyle="1" w:styleId="6">
    <w:name w:val="NormalCharacter"/>
    <w:uiPriority w:val="0"/>
  </w:style>
  <w:style w:type="table" w:customStyle="1" w:styleId="7">
    <w:name w:val="TableNormal"/>
    <w:qFormat/>
    <w:uiPriority w:val="0"/>
    <w:tblPr>
      <w:tblCellMar>
        <w:top w:w="0" w:type="dxa"/>
        <w:left w:w="0" w:type="dxa"/>
        <w:bottom w:w="0" w:type="dxa"/>
        <w:right w:w="0" w:type="dxa"/>
      </w:tblCellMar>
    </w:tblPr>
  </w:style>
  <w:style w:type="character" w:customStyle="1" w:styleId="8">
    <w:name w:val="页脚 Char"/>
    <w:basedOn w:val="6"/>
    <w:link w:val="2"/>
    <w:semiHidden/>
    <w:uiPriority w:val="0"/>
    <w:rPr>
      <w:rFonts w:ascii="Times New Roman" w:hAnsi="Times New Roman" w:eastAsia="宋体"/>
      <w:sz w:val="18"/>
      <w:szCs w:val="18"/>
    </w:rPr>
  </w:style>
  <w:style w:type="character" w:customStyle="1" w:styleId="9">
    <w:name w:val="页眉 Char"/>
    <w:basedOn w:val="6"/>
    <w:link w:val="3"/>
    <w:semiHidden/>
    <w:qFormat/>
    <w:uiPriority w:val="0"/>
    <w:rPr>
      <w:rFonts w:ascii="Times New Roman" w:hAnsi="Times New Roman" w:eastAsia="宋体"/>
      <w:sz w:val="18"/>
      <w:szCs w:val="18"/>
    </w:rPr>
  </w:style>
  <w:style w:type="paragraph" w:customStyle="1" w:styleId="10">
    <w:name w:val="HtmlNormal"/>
    <w:basedOn w:val="1"/>
    <w:uiPriority w:val="0"/>
    <w:pPr>
      <w:spacing w:before="100" w:beforeAutospacing="1" w:after="100" w:afterAutospacing="1"/>
      <w:jc w:val="left"/>
    </w:pPr>
    <w:rPr>
      <w:rFonts w:ascii="宋体" w:hAnsi="宋体"/>
      <w:kern w:val="0"/>
      <w:sz w:val="24"/>
      <w:szCs w:val="24"/>
    </w:rPr>
  </w:style>
  <w:style w:type="character" w:customStyle="1" w:styleId="11">
    <w:name w:val="Page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198</Words>
  <Characters>1129</Characters>
  <Lines>9</Lines>
  <Paragraphs>2</Paragraphs>
  <TotalTime>79</TotalTime>
  <ScaleCrop>false</ScaleCrop>
  <LinksUpToDate>false</LinksUpToDate>
  <CharactersWithSpaces>1325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2021-04-07T02:09:00Z</dcterms:created>
  <dc:creator>Administrator</dc:creator>
  <cp:lastModifiedBy>Administrator</cp:lastModifiedBy>
  <dcterms:modified xsi:type="dcterms:W3CDTF">2021-04-08T02:47:46Z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