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44"/>
          <w:szCs w:val="44"/>
        </w:rPr>
      </w:pPr>
      <w:r>
        <w:rPr>
          <w:rFonts w:hint="eastAsia" w:asciiTheme="minorEastAsia" w:hAnsiTheme="minorEastAsia"/>
          <w:b/>
          <w:sz w:val="44"/>
          <w:szCs w:val="44"/>
        </w:rPr>
        <w:t>广东省加快推进网络预约出租车</w:t>
      </w:r>
    </w:p>
    <w:p>
      <w:pPr>
        <w:jc w:val="center"/>
        <w:rPr>
          <w:rFonts w:asciiTheme="minorEastAsia" w:hAnsiTheme="minorEastAsia"/>
          <w:b/>
          <w:sz w:val="44"/>
          <w:szCs w:val="44"/>
        </w:rPr>
      </w:pPr>
      <w:r>
        <w:rPr>
          <w:rFonts w:hint="eastAsia" w:asciiTheme="minorEastAsia" w:hAnsiTheme="minorEastAsia"/>
          <w:b/>
          <w:sz w:val="44"/>
          <w:szCs w:val="44"/>
        </w:rPr>
        <w:t>规范经营行动方案</w:t>
      </w:r>
    </w:p>
    <w:p>
      <w:pPr>
        <w:ind w:firstLine="640" w:firstLineChars="200"/>
        <w:rPr>
          <w:rFonts w:ascii="仿宋" w:hAnsi="仿宋" w:eastAsia="仿宋"/>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维护公平竞争市场秩序，加快推进网约车合规化进程，促进网约车行业规范健康持续发展，按照《网络预约出租汽车经营服务管理暂行办法》《交通运输部办公厅关于维护公平竞争市场秩序加快推进网约车合规化的通知》要求，定于即日起在全省开展为期一年的加快推进网络预约出租汽车规范经营专项行动，特制定本方案。</w:t>
      </w:r>
    </w:p>
    <w:p>
      <w:pPr>
        <w:ind w:firstLine="640" w:firstLineChars="200"/>
        <w:rPr>
          <w:rFonts w:ascii="黑体" w:hAnsi="黑体" w:eastAsia="黑体"/>
          <w:b w:val="0"/>
          <w:bCs/>
          <w:sz w:val="32"/>
          <w:szCs w:val="32"/>
        </w:rPr>
      </w:pPr>
      <w:r>
        <w:rPr>
          <w:rFonts w:hint="eastAsia" w:ascii="黑体" w:hAnsi="黑体" w:eastAsia="黑体"/>
          <w:b w:val="0"/>
          <w:bCs/>
          <w:sz w:val="32"/>
          <w:szCs w:val="32"/>
        </w:rPr>
        <w:t>一、工作思路和目标</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 w:val="0"/>
          <w:bCs/>
          <w:sz w:val="32"/>
          <w:szCs w:val="32"/>
        </w:rPr>
        <w:t>（一）工作思路。</w:t>
      </w:r>
      <w:r>
        <w:rPr>
          <w:rFonts w:hint="eastAsia" w:ascii="仿宋_GB2312" w:hAnsi="仿宋_GB2312" w:eastAsia="仿宋_GB2312" w:cs="仿宋_GB2312"/>
          <w:sz w:val="32"/>
          <w:szCs w:val="32"/>
        </w:rPr>
        <w:t>深入贯彻落实中央全面深化改革委员会第二十一次会议精神，从服务构建新发展格局、推动高质量发展、促进共同富裕的战略高度出发，按照“坚持依法规范、坚持乘客为本、坚持问题导向、坚持改革创新、坚持统筹兼顾”的原则，加快完善监管体系、提高监管效能，以“五项强化措施”重点，以加快推进网约车合规化，维护公平竞争市场秩序为主要目标，促进网约车行业规范健康和可持续发展。</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 w:val="0"/>
          <w:bCs/>
          <w:sz w:val="32"/>
          <w:szCs w:val="32"/>
        </w:rPr>
        <w:t>（二）工作目标。</w:t>
      </w:r>
      <w:r>
        <w:rPr>
          <w:rFonts w:hint="eastAsia" w:ascii="仿宋_GB2312" w:hAnsi="仿宋_GB2312" w:eastAsia="仿宋_GB2312" w:cs="仿宋_GB2312"/>
          <w:sz w:val="32"/>
          <w:szCs w:val="32"/>
        </w:rPr>
        <w:t>通过为期一年的专项行动，实现广州、深圳两地网约车订单合规率（指驾驶员和车辆均获得许可的订单量占比，下同）不低于90%；珠三角范围珠海、佛山、肇庆、江门、惠州、东莞、中山等地市网约车订单合规率不低于65%，力争在现有基础上提高30%以上；粤东、粤西、粤北地市网约车订单合规率在现有基础上提高50%以上，力争在规范网络预约出租汽车经营取得显著成效，全省网约车订单合规率水平达到全国领先水平。</w:t>
      </w:r>
    </w:p>
    <w:p>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二、工作任务和措施</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 w:val="0"/>
          <w:bCs/>
          <w:sz w:val="32"/>
          <w:szCs w:val="32"/>
        </w:rPr>
        <w:t>（一）强化网约车政策法规宣贯力度。</w:t>
      </w:r>
      <w:r>
        <w:rPr>
          <w:rFonts w:hint="eastAsia" w:ascii="仿宋_GB2312" w:hAnsi="仿宋_GB2312" w:eastAsia="仿宋_GB2312" w:cs="仿宋_GB2312"/>
          <w:sz w:val="32"/>
          <w:szCs w:val="32"/>
        </w:rPr>
        <w:t>各地交通运输局要在2022年2月1日前集中开展网约车政策法规宣贯，利用微信公众号、网站、当地媒体等渠道，广泛宣传《网络预约出租汽车运输证》《网络预约出租汽车驾驶员证》办理条件和办理渠道，敦促不合规车辆和驾驶员尽快办理许可手续。同时要结合出租汽车市场运行指标信息监测发布工作，公布网约车平台订单合规率等信息，积极宣传客车非法营运等违法行为的危害和后果，引导广大市民群众自觉拒乘非法营运车辆。</w:t>
      </w:r>
    </w:p>
    <w:p>
      <w:pPr>
        <w:ind w:firstLine="645"/>
        <w:rPr>
          <w:rFonts w:hint="eastAsia" w:ascii="仿宋_GB2312" w:hAnsi="仿宋_GB2312" w:eastAsia="仿宋_GB2312" w:cs="仿宋_GB2312"/>
          <w:sz w:val="32"/>
          <w:szCs w:val="32"/>
        </w:rPr>
      </w:pPr>
      <w:r>
        <w:rPr>
          <w:rFonts w:hint="eastAsia" w:ascii="楷体_GB2312" w:hAnsi="楷体_GB2312" w:eastAsia="楷体_GB2312" w:cs="楷体_GB2312"/>
          <w:b w:val="0"/>
          <w:bCs/>
          <w:sz w:val="32"/>
          <w:szCs w:val="32"/>
        </w:rPr>
        <w:t>（二）强化网约车行政许可管理。</w:t>
      </w:r>
      <w:r>
        <w:rPr>
          <w:rFonts w:hint="eastAsia" w:ascii="仿宋_GB2312" w:hAnsi="仿宋_GB2312" w:eastAsia="仿宋_GB2312" w:cs="仿宋_GB2312"/>
          <w:sz w:val="32"/>
          <w:szCs w:val="32"/>
        </w:rPr>
        <w:t>各地交通运输主管部门要加强网约车政策评估和优化调整，深入研究《网络预约出租汽车运输证》《网络预约出租汽车驾驶员证》办理条件与当地社会经济和出租汽车行业适应情况，适时提请市人民政府修订网约车经营服务管理实施细则；持续优化审批程序，尽量减少许可工作层级，畅通办证渠道，在2022年6月30日前实现《网络预约出租汽车运输证》《网络预约出租汽车驾驶员证》网上受理或办理。对在本地非法从事网约车经营和违法违规情节严重的平台公司，要及时责令整改。</w:t>
      </w:r>
    </w:p>
    <w:p>
      <w:pPr>
        <w:ind w:firstLine="645"/>
        <w:rPr>
          <w:rFonts w:hint="eastAsia" w:ascii="仿宋_GB2312" w:hAnsi="仿宋_GB2312" w:eastAsia="仿宋_GB2312" w:cs="仿宋_GB2312"/>
          <w:sz w:val="32"/>
          <w:szCs w:val="32"/>
        </w:rPr>
      </w:pPr>
      <w:r>
        <w:rPr>
          <w:rFonts w:hint="eastAsia" w:ascii="楷体_GB2312" w:hAnsi="楷体_GB2312" w:eastAsia="楷体_GB2312" w:cs="楷体_GB2312"/>
          <w:b w:val="0"/>
          <w:bCs/>
          <w:sz w:val="32"/>
          <w:szCs w:val="32"/>
        </w:rPr>
        <w:t>（三）强化非法营运整治查处力度</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全省开展非法网约车查处整治攻坚，各地交通运输执法机构要坚持“一案双查”的原则,既要查处网约车非法营运，又要依法查处相关网约车平台公司违法行为，严厉打击未取得经营许可擅自从事或变相从事网约车经营活动违法行为。攻坚期间，厅将结合网约车订单合规率每季度对各地查处非法网约车和网约车平台违法案件情况进行全省通报，对工作落实不力的地市交通运输局进行专项督导。</w:t>
      </w:r>
    </w:p>
    <w:p>
      <w:pPr>
        <w:ind w:firstLine="645"/>
        <w:rPr>
          <w:rFonts w:hint="eastAsia" w:ascii="仿宋_GB2312" w:hAnsi="仿宋_GB2312" w:eastAsia="仿宋_GB2312" w:cs="仿宋_GB2312"/>
          <w:sz w:val="32"/>
          <w:szCs w:val="32"/>
        </w:rPr>
      </w:pPr>
      <w:r>
        <w:rPr>
          <w:rFonts w:hint="eastAsia" w:ascii="楷体_GB2312" w:hAnsi="楷体_GB2312" w:eastAsia="楷体_GB2312" w:cs="楷体_GB2312"/>
          <w:b w:val="0"/>
          <w:bCs/>
          <w:sz w:val="32"/>
          <w:szCs w:val="32"/>
        </w:rPr>
        <w:t>（四）强化多部门联合监管机制。</w:t>
      </w:r>
      <w:r>
        <w:rPr>
          <w:rFonts w:hint="eastAsia" w:ascii="仿宋_GB2312" w:hAnsi="仿宋_GB2312" w:eastAsia="仿宋_GB2312" w:cs="仿宋_GB2312"/>
          <w:sz w:val="32"/>
          <w:szCs w:val="32"/>
        </w:rPr>
        <w:t>强化与网信、公安、人民银行、税务、通信、市场监管等职能部门关于网络预约出租汽车行业的联合监管，对存在非法从事网络预约出租汽车经营的平台开展联合约谈、联合执法。对存在严重违法违规行为的平台企业要按有关规定发起联合监管，将违法违规情况及处理建议上报省厅，省厅提请交通运输部依法处置。各地交通运输执法机构要建立健全行政执法信息公示制度,及时准确完整地记录非法营运网络预约出租汽车案件，通过广东省行政执法信息公示平台公开行政执法信息，每季度将本地查处的非法营运网约车案件信息抄告当地主要保险公司；省厅每半年将全国网络预约出租汽车监管信息交互平台中在我省有接单记录的非合规车辆信息抄告省保险监督管理机构。</w:t>
      </w:r>
    </w:p>
    <w:p>
      <w:pPr>
        <w:ind w:firstLine="645"/>
        <w:rPr>
          <w:rFonts w:hint="eastAsia" w:ascii="仿宋_GB2312" w:hAnsi="仿宋_GB2312" w:eastAsia="仿宋_GB2312" w:cs="仿宋_GB2312"/>
          <w:sz w:val="32"/>
          <w:szCs w:val="32"/>
        </w:rPr>
      </w:pPr>
      <w:r>
        <w:rPr>
          <w:rFonts w:hint="eastAsia" w:ascii="楷体_GB2312" w:hAnsi="楷体_GB2312" w:eastAsia="楷体_GB2312" w:cs="楷体_GB2312"/>
          <w:b w:val="0"/>
          <w:bCs/>
          <w:sz w:val="32"/>
          <w:szCs w:val="32"/>
        </w:rPr>
        <w:t>（五）强化网约车平台安全责任落实。</w:t>
      </w:r>
      <w:r>
        <w:rPr>
          <w:rFonts w:hint="eastAsia" w:ascii="仿宋_GB2312" w:hAnsi="仿宋_GB2312" w:eastAsia="仿宋_GB2312" w:cs="仿宋_GB2312"/>
          <w:sz w:val="32"/>
          <w:szCs w:val="32"/>
        </w:rPr>
        <w:t>2021年12月31日前，各地市交通运输局根据《网络预约出租汽车经营服务管理暂行办法》和本方案内容，集中约谈辖区网约车平台企业，并发送安全生产警示函，要求其不得新接入不合规车辆和驾驶员，停止为不合规车辆和驾驶员派单经营。对网约车平台为不合规车辆和驾驶员派单非法从事网约车经营造成亡人责任事故的，各地交通运输主管部门要根据《生产安全事故报告和调查处理条例》等规定，积极配合当地事故调查组进行调查；并按照安全事故“四不放过”处理原则，对事故发生负有责任的网约车平台公司及相关负责人依法进行行政处罚。</w:t>
      </w:r>
    </w:p>
    <w:p>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三、工作要求</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 w:val="0"/>
          <w:bCs/>
          <w:sz w:val="32"/>
          <w:szCs w:val="32"/>
        </w:rPr>
        <w:t>（一）提高思想认识，强化责任担当。</w:t>
      </w:r>
      <w:r>
        <w:rPr>
          <w:rFonts w:hint="eastAsia" w:ascii="仿宋_GB2312" w:hAnsi="仿宋_GB2312" w:eastAsia="仿宋_GB2312" w:cs="仿宋_GB2312"/>
          <w:sz w:val="32"/>
          <w:szCs w:val="32"/>
        </w:rPr>
        <w:t>各地交通运输主管部门要进一步提高政治站位，充分认识网约车合规化对维护公平竞争市场环境的重要意义，认真评估分析本地网约车行业现状，以攻坚的决心和意志，切实推动本地网约车合规率持续提升。</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 w:val="0"/>
          <w:bCs/>
          <w:sz w:val="32"/>
          <w:szCs w:val="32"/>
        </w:rPr>
        <w:t>（二）聚焦重点任务，扎实推进整治。</w:t>
      </w:r>
      <w:r>
        <w:rPr>
          <w:rFonts w:hint="eastAsia" w:ascii="仿宋_GB2312" w:hAnsi="仿宋_GB2312" w:eastAsia="仿宋_GB2312" w:cs="仿宋_GB2312"/>
          <w:sz w:val="32"/>
          <w:szCs w:val="32"/>
        </w:rPr>
        <w:t>各地市交通运输局要统筹调动运管、执法和承担出租汽车公共服务职能机构力量，严格按照本方案各项工作任务措施，细化举措、量化目标，规定完成时限和责任人，于2021年11月30日前报备省厅（格式见附件）。广州、深圳两地要单独制定本地网约车合规化工作方案，不断巩固加强网约车行业治理成果。</w:t>
      </w:r>
    </w:p>
    <w:p>
      <w:pPr>
        <w:ind w:firstLine="640" w:firstLineChars="200"/>
        <w:rPr>
          <w:rFonts w:hint="eastAsia" w:ascii="仿宋_GB2312" w:hAnsi="仿宋_GB2312" w:eastAsia="仿宋_GB2312" w:cs="仿宋_GB2312"/>
          <w:sz w:val="32"/>
          <w:szCs w:val="32"/>
        </w:rPr>
      </w:pPr>
      <w:bookmarkStart w:id="0" w:name="_GoBack"/>
      <w:r>
        <w:rPr>
          <w:rFonts w:hint="eastAsia" w:ascii="楷体_GB2312" w:hAnsi="楷体_GB2312" w:eastAsia="楷体_GB2312" w:cs="楷体_GB2312"/>
          <w:b w:val="0"/>
          <w:bCs/>
          <w:sz w:val="32"/>
          <w:szCs w:val="32"/>
        </w:rPr>
        <w:t>（三）加强跟踪问效，压实各级责任。</w:t>
      </w:r>
      <w:bookmarkEnd w:id="0"/>
      <w:r>
        <w:rPr>
          <w:rFonts w:hint="eastAsia" w:ascii="仿宋_GB2312" w:hAnsi="仿宋_GB2312" w:eastAsia="仿宋_GB2312" w:cs="仿宋_GB2312"/>
          <w:sz w:val="32"/>
          <w:szCs w:val="32"/>
        </w:rPr>
        <w:t>各地交通运输主管部门要对照工作任务和工作目标，及时对相关工作成效进行评价，对未达到预定目标的情况研究制定整改措施，及时解决存在的问题。对整治工作不严不实、效果不明显的重点地区、重点问题，省厅将开展专项督导。</w:t>
      </w:r>
    </w:p>
    <w:p>
      <w:pPr>
        <w:rPr>
          <w:rFonts w:hint="eastAsia" w:ascii="仿宋_GB2312" w:hAnsi="仿宋_GB2312" w:eastAsia="仿宋_GB2312" w:cs="仿宋_GB2312"/>
          <w:sz w:val="32"/>
          <w:szCs w:val="32"/>
        </w:rPr>
      </w:pPr>
    </w:p>
    <w:p>
      <w:pPr>
        <w:rPr>
          <w:rFonts w:ascii="仿宋" w:hAnsi="仿宋" w:eastAsia="仿宋"/>
          <w:sz w:val="32"/>
          <w:szCs w:val="32"/>
        </w:rPr>
      </w:pPr>
    </w:p>
    <w:p>
      <w:pPr>
        <w:rPr>
          <w:rFonts w:ascii="仿宋" w:hAnsi="仿宋" w:eastAsia="仿宋"/>
          <w:sz w:val="32"/>
          <w:szCs w:val="32"/>
        </w:rPr>
        <w:sectPr>
          <w:pgSz w:w="11906" w:h="16838"/>
          <w:pgMar w:top="1440" w:right="1800" w:bottom="1440" w:left="1800" w:header="851" w:footer="992" w:gutter="0"/>
          <w:cols w:space="425" w:num="1"/>
          <w:docGrid w:type="lines" w:linePitch="312" w:charSpace="0"/>
        </w:sectPr>
      </w:pPr>
    </w:p>
    <w:p>
      <w:pPr>
        <w:rPr>
          <w:rFonts w:ascii="仿宋" w:hAnsi="仿宋" w:eastAsia="仿宋"/>
          <w:sz w:val="32"/>
          <w:szCs w:val="32"/>
        </w:rPr>
      </w:pPr>
      <w:r>
        <w:rPr>
          <w:rFonts w:hint="eastAsia" w:ascii="仿宋" w:hAnsi="仿宋" w:eastAsia="仿宋"/>
          <w:sz w:val="32"/>
          <w:szCs w:val="32"/>
        </w:rPr>
        <w:t>附件：</w:t>
      </w:r>
    </w:p>
    <w:p>
      <w:pPr>
        <w:ind w:firstLine="960" w:firstLineChars="3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u w:val="single"/>
        </w:rPr>
        <w:t xml:space="preserve">    </w:t>
      </w:r>
      <w:r>
        <w:rPr>
          <w:rFonts w:hint="eastAsia" w:asciiTheme="majorEastAsia" w:hAnsiTheme="majorEastAsia" w:eastAsiaTheme="majorEastAsia"/>
          <w:b/>
          <w:sz w:val="32"/>
          <w:szCs w:val="32"/>
        </w:rPr>
        <w:t>市网络预约出租汽车合规化工作清单</w:t>
      </w:r>
    </w:p>
    <w:tbl>
      <w:tblPr>
        <w:tblStyle w:val="7"/>
        <w:tblW w:w="13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391"/>
        <w:gridCol w:w="2391"/>
        <w:gridCol w:w="2021"/>
        <w:gridCol w:w="2013"/>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trPr>
        <w:tc>
          <w:tcPr>
            <w:tcW w:w="976" w:type="dxa"/>
            <w:vAlign w:val="center"/>
          </w:tcPr>
          <w:p>
            <w:pPr>
              <w:jc w:val="center"/>
              <w:rPr>
                <w:rFonts w:ascii="仿宋" w:hAnsi="仿宋" w:eastAsia="仿宋"/>
                <w:b/>
                <w:sz w:val="30"/>
                <w:szCs w:val="30"/>
              </w:rPr>
            </w:pPr>
            <w:r>
              <w:rPr>
                <w:rFonts w:ascii="仿宋" w:hAnsi="仿宋" w:eastAsia="仿宋"/>
                <w:b/>
                <w:sz w:val="30"/>
                <w:szCs w:val="30"/>
              </w:rPr>
              <w:t>序号</w:t>
            </w:r>
          </w:p>
        </w:tc>
        <w:tc>
          <w:tcPr>
            <w:tcW w:w="4391" w:type="dxa"/>
            <w:vAlign w:val="center"/>
          </w:tcPr>
          <w:p>
            <w:pPr>
              <w:jc w:val="center"/>
              <w:rPr>
                <w:rFonts w:ascii="仿宋" w:hAnsi="仿宋" w:eastAsia="仿宋"/>
                <w:b/>
                <w:sz w:val="30"/>
                <w:szCs w:val="30"/>
              </w:rPr>
            </w:pPr>
            <w:r>
              <w:rPr>
                <w:rFonts w:ascii="仿宋" w:hAnsi="仿宋" w:eastAsia="仿宋"/>
                <w:b/>
                <w:sz w:val="30"/>
                <w:szCs w:val="30"/>
              </w:rPr>
              <w:t>工作措施</w:t>
            </w:r>
          </w:p>
        </w:tc>
        <w:tc>
          <w:tcPr>
            <w:tcW w:w="2391" w:type="dxa"/>
            <w:vAlign w:val="center"/>
          </w:tcPr>
          <w:p>
            <w:pPr>
              <w:jc w:val="center"/>
              <w:rPr>
                <w:rFonts w:ascii="仿宋" w:hAnsi="仿宋" w:eastAsia="仿宋"/>
                <w:b/>
                <w:sz w:val="30"/>
                <w:szCs w:val="30"/>
              </w:rPr>
            </w:pPr>
            <w:r>
              <w:rPr>
                <w:rFonts w:ascii="仿宋" w:hAnsi="仿宋" w:eastAsia="仿宋"/>
                <w:b/>
                <w:sz w:val="30"/>
                <w:szCs w:val="30"/>
              </w:rPr>
              <w:t>细化举措</w:t>
            </w:r>
          </w:p>
        </w:tc>
        <w:tc>
          <w:tcPr>
            <w:tcW w:w="2021" w:type="dxa"/>
            <w:vAlign w:val="center"/>
          </w:tcPr>
          <w:p>
            <w:pPr>
              <w:jc w:val="center"/>
              <w:rPr>
                <w:rFonts w:ascii="仿宋" w:hAnsi="仿宋" w:eastAsia="仿宋"/>
                <w:b/>
                <w:sz w:val="30"/>
                <w:szCs w:val="30"/>
              </w:rPr>
            </w:pPr>
            <w:r>
              <w:rPr>
                <w:rFonts w:ascii="仿宋" w:hAnsi="仿宋" w:eastAsia="仿宋"/>
                <w:b/>
                <w:sz w:val="30"/>
                <w:szCs w:val="30"/>
              </w:rPr>
              <w:t>量化目标</w:t>
            </w:r>
          </w:p>
        </w:tc>
        <w:tc>
          <w:tcPr>
            <w:tcW w:w="2013" w:type="dxa"/>
            <w:vAlign w:val="center"/>
          </w:tcPr>
          <w:p>
            <w:pPr>
              <w:jc w:val="center"/>
              <w:rPr>
                <w:rFonts w:ascii="仿宋" w:hAnsi="仿宋" w:eastAsia="仿宋"/>
                <w:b/>
                <w:sz w:val="30"/>
                <w:szCs w:val="30"/>
              </w:rPr>
            </w:pPr>
            <w:r>
              <w:rPr>
                <w:rFonts w:ascii="仿宋" w:hAnsi="仿宋" w:eastAsia="仿宋"/>
                <w:b/>
                <w:sz w:val="30"/>
                <w:szCs w:val="30"/>
              </w:rPr>
              <w:t>完成时限</w:t>
            </w:r>
          </w:p>
        </w:tc>
        <w:tc>
          <w:tcPr>
            <w:tcW w:w="2045" w:type="dxa"/>
            <w:vAlign w:val="center"/>
          </w:tcPr>
          <w:p>
            <w:pPr>
              <w:jc w:val="center"/>
              <w:rPr>
                <w:rFonts w:ascii="仿宋" w:hAnsi="仿宋" w:eastAsia="仿宋"/>
                <w:b/>
                <w:sz w:val="30"/>
                <w:szCs w:val="30"/>
              </w:rPr>
            </w:pPr>
            <w:r>
              <w:rPr>
                <w:rFonts w:ascii="仿宋" w:hAnsi="仿宋" w:eastAsia="仿宋"/>
                <w:b/>
                <w:sz w:val="30"/>
                <w:szCs w:val="30"/>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trPr>
        <w:tc>
          <w:tcPr>
            <w:tcW w:w="976" w:type="dxa"/>
            <w:vAlign w:val="center"/>
          </w:tcPr>
          <w:p>
            <w:pPr>
              <w:jc w:val="center"/>
              <w:rPr>
                <w:rFonts w:ascii="仿宋" w:hAnsi="仿宋" w:eastAsia="仿宋"/>
                <w:sz w:val="30"/>
                <w:szCs w:val="30"/>
              </w:rPr>
            </w:pPr>
            <w:r>
              <w:rPr>
                <w:rFonts w:hint="eastAsia" w:ascii="仿宋" w:hAnsi="仿宋" w:eastAsia="仿宋"/>
                <w:sz w:val="30"/>
                <w:szCs w:val="30"/>
              </w:rPr>
              <w:t>1</w:t>
            </w:r>
          </w:p>
        </w:tc>
        <w:tc>
          <w:tcPr>
            <w:tcW w:w="4391" w:type="dxa"/>
            <w:vAlign w:val="center"/>
          </w:tcPr>
          <w:p>
            <w:pPr>
              <w:jc w:val="center"/>
              <w:rPr>
                <w:rFonts w:ascii="仿宋" w:hAnsi="仿宋" w:eastAsia="仿宋"/>
                <w:sz w:val="28"/>
                <w:szCs w:val="28"/>
              </w:rPr>
            </w:pPr>
            <w:r>
              <w:rPr>
                <w:rFonts w:hint="eastAsia" w:ascii="仿宋" w:hAnsi="仿宋" w:eastAsia="仿宋"/>
                <w:sz w:val="28"/>
                <w:szCs w:val="28"/>
              </w:rPr>
              <w:t>强化网约车政策法规宣贯力度</w:t>
            </w:r>
          </w:p>
        </w:tc>
        <w:tc>
          <w:tcPr>
            <w:tcW w:w="2391" w:type="dxa"/>
            <w:vAlign w:val="center"/>
          </w:tcPr>
          <w:p>
            <w:pPr>
              <w:rPr>
                <w:rFonts w:ascii="仿宋" w:hAnsi="仿宋" w:eastAsia="仿宋"/>
                <w:sz w:val="30"/>
                <w:szCs w:val="30"/>
              </w:rPr>
            </w:pPr>
          </w:p>
        </w:tc>
        <w:tc>
          <w:tcPr>
            <w:tcW w:w="2021" w:type="dxa"/>
            <w:vAlign w:val="center"/>
          </w:tcPr>
          <w:p>
            <w:pPr>
              <w:rPr>
                <w:rFonts w:ascii="仿宋" w:hAnsi="仿宋" w:eastAsia="仿宋"/>
                <w:sz w:val="30"/>
                <w:szCs w:val="30"/>
              </w:rPr>
            </w:pPr>
          </w:p>
        </w:tc>
        <w:tc>
          <w:tcPr>
            <w:tcW w:w="2013" w:type="dxa"/>
            <w:vAlign w:val="center"/>
          </w:tcPr>
          <w:p>
            <w:pPr>
              <w:rPr>
                <w:rFonts w:ascii="仿宋" w:hAnsi="仿宋" w:eastAsia="仿宋"/>
                <w:sz w:val="30"/>
                <w:szCs w:val="30"/>
              </w:rPr>
            </w:pPr>
          </w:p>
        </w:tc>
        <w:tc>
          <w:tcPr>
            <w:tcW w:w="2045" w:type="dxa"/>
            <w:vAlign w:val="center"/>
          </w:tcPr>
          <w:p>
            <w:pP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trPr>
        <w:tc>
          <w:tcPr>
            <w:tcW w:w="976" w:type="dxa"/>
            <w:vAlign w:val="center"/>
          </w:tcPr>
          <w:p>
            <w:pPr>
              <w:jc w:val="center"/>
              <w:rPr>
                <w:rFonts w:ascii="仿宋" w:hAnsi="仿宋" w:eastAsia="仿宋"/>
                <w:sz w:val="30"/>
                <w:szCs w:val="30"/>
              </w:rPr>
            </w:pPr>
            <w:r>
              <w:rPr>
                <w:rFonts w:hint="eastAsia" w:ascii="仿宋" w:hAnsi="仿宋" w:eastAsia="仿宋"/>
                <w:sz w:val="30"/>
                <w:szCs w:val="30"/>
              </w:rPr>
              <w:t>2</w:t>
            </w:r>
          </w:p>
        </w:tc>
        <w:tc>
          <w:tcPr>
            <w:tcW w:w="4391" w:type="dxa"/>
            <w:vAlign w:val="center"/>
          </w:tcPr>
          <w:p>
            <w:pPr>
              <w:jc w:val="center"/>
              <w:rPr>
                <w:rFonts w:ascii="仿宋" w:hAnsi="仿宋" w:eastAsia="仿宋"/>
                <w:sz w:val="28"/>
                <w:szCs w:val="28"/>
              </w:rPr>
            </w:pPr>
            <w:r>
              <w:rPr>
                <w:rFonts w:hint="eastAsia" w:ascii="仿宋" w:hAnsi="仿宋" w:eastAsia="仿宋"/>
                <w:sz w:val="28"/>
                <w:szCs w:val="28"/>
              </w:rPr>
              <w:t>强化非法营运整治查处力度</w:t>
            </w:r>
          </w:p>
        </w:tc>
        <w:tc>
          <w:tcPr>
            <w:tcW w:w="2391" w:type="dxa"/>
            <w:vAlign w:val="center"/>
          </w:tcPr>
          <w:p>
            <w:pPr>
              <w:rPr>
                <w:rFonts w:ascii="仿宋" w:hAnsi="仿宋" w:eastAsia="仿宋"/>
                <w:sz w:val="30"/>
                <w:szCs w:val="30"/>
              </w:rPr>
            </w:pPr>
          </w:p>
        </w:tc>
        <w:tc>
          <w:tcPr>
            <w:tcW w:w="2021" w:type="dxa"/>
            <w:vAlign w:val="center"/>
          </w:tcPr>
          <w:p>
            <w:pPr>
              <w:rPr>
                <w:rFonts w:ascii="仿宋" w:hAnsi="仿宋" w:eastAsia="仿宋"/>
                <w:sz w:val="30"/>
                <w:szCs w:val="30"/>
              </w:rPr>
            </w:pPr>
          </w:p>
        </w:tc>
        <w:tc>
          <w:tcPr>
            <w:tcW w:w="2013" w:type="dxa"/>
            <w:vAlign w:val="center"/>
          </w:tcPr>
          <w:p>
            <w:pPr>
              <w:rPr>
                <w:rFonts w:ascii="仿宋" w:hAnsi="仿宋" w:eastAsia="仿宋"/>
                <w:sz w:val="30"/>
                <w:szCs w:val="30"/>
              </w:rPr>
            </w:pPr>
          </w:p>
        </w:tc>
        <w:tc>
          <w:tcPr>
            <w:tcW w:w="2045" w:type="dxa"/>
            <w:vAlign w:val="center"/>
          </w:tcPr>
          <w:p>
            <w:pP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trPr>
        <w:tc>
          <w:tcPr>
            <w:tcW w:w="976" w:type="dxa"/>
            <w:vAlign w:val="center"/>
          </w:tcPr>
          <w:p>
            <w:pPr>
              <w:jc w:val="center"/>
              <w:rPr>
                <w:rFonts w:ascii="仿宋" w:hAnsi="仿宋" w:eastAsia="仿宋"/>
                <w:sz w:val="30"/>
                <w:szCs w:val="30"/>
              </w:rPr>
            </w:pPr>
            <w:r>
              <w:rPr>
                <w:rFonts w:hint="eastAsia" w:ascii="仿宋" w:hAnsi="仿宋" w:eastAsia="仿宋"/>
                <w:sz w:val="30"/>
                <w:szCs w:val="30"/>
              </w:rPr>
              <w:t>3</w:t>
            </w:r>
          </w:p>
        </w:tc>
        <w:tc>
          <w:tcPr>
            <w:tcW w:w="4391" w:type="dxa"/>
            <w:vAlign w:val="center"/>
          </w:tcPr>
          <w:p>
            <w:pPr>
              <w:jc w:val="center"/>
              <w:rPr>
                <w:rFonts w:ascii="仿宋" w:hAnsi="仿宋" w:eastAsia="仿宋"/>
                <w:sz w:val="28"/>
                <w:szCs w:val="28"/>
              </w:rPr>
            </w:pPr>
            <w:r>
              <w:rPr>
                <w:rFonts w:hint="eastAsia" w:ascii="仿宋" w:hAnsi="仿宋" w:eastAsia="仿宋"/>
                <w:sz w:val="28"/>
                <w:szCs w:val="28"/>
              </w:rPr>
              <w:t>强化网约车行政许可管理</w:t>
            </w:r>
          </w:p>
        </w:tc>
        <w:tc>
          <w:tcPr>
            <w:tcW w:w="2391" w:type="dxa"/>
            <w:vAlign w:val="center"/>
          </w:tcPr>
          <w:p>
            <w:pPr>
              <w:rPr>
                <w:rFonts w:ascii="仿宋" w:hAnsi="仿宋" w:eastAsia="仿宋"/>
                <w:sz w:val="30"/>
                <w:szCs w:val="30"/>
              </w:rPr>
            </w:pPr>
          </w:p>
        </w:tc>
        <w:tc>
          <w:tcPr>
            <w:tcW w:w="2021" w:type="dxa"/>
            <w:vAlign w:val="center"/>
          </w:tcPr>
          <w:p>
            <w:pPr>
              <w:rPr>
                <w:rFonts w:ascii="仿宋" w:hAnsi="仿宋" w:eastAsia="仿宋"/>
                <w:sz w:val="30"/>
                <w:szCs w:val="30"/>
              </w:rPr>
            </w:pPr>
          </w:p>
        </w:tc>
        <w:tc>
          <w:tcPr>
            <w:tcW w:w="2013" w:type="dxa"/>
            <w:vAlign w:val="center"/>
          </w:tcPr>
          <w:p>
            <w:pPr>
              <w:rPr>
                <w:rFonts w:ascii="仿宋" w:hAnsi="仿宋" w:eastAsia="仿宋"/>
                <w:sz w:val="30"/>
                <w:szCs w:val="30"/>
              </w:rPr>
            </w:pPr>
          </w:p>
        </w:tc>
        <w:tc>
          <w:tcPr>
            <w:tcW w:w="2045" w:type="dxa"/>
            <w:vAlign w:val="center"/>
          </w:tcPr>
          <w:p>
            <w:pP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976" w:type="dxa"/>
            <w:vAlign w:val="center"/>
          </w:tcPr>
          <w:p>
            <w:pPr>
              <w:jc w:val="center"/>
              <w:rPr>
                <w:rFonts w:ascii="仿宋" w:hAnsi="仿宋" w:eastAsia="仿宋"/>
                <w:sz w:val="30"/>
                <w:szCs w:val="30"/>
              </w:rPr>
            </w:pPr>
            <w:r>
              <w:rPr>
                <w:rFonts w:hint="eastAsia" w:ascii="仿宋" w:hAnsi="仿宋" w:eastAsia="仿宋"/>
                <w:sz w:val="30"/>
                <w:szCs w:val="30"/>
              </w:rPr>
              <w:t>4</w:t>
            </w:r>
          </w:p>
        </w:tc>
        <w:tc>
          <w:tcPr>
            <w:tcW w:w="4391" w:type="dxa"/>
            <w:vAlign w:val="center"/>
          </w:tcPr>
          <w:p>
            <w:pPr>
              <w:jc w:val="center"/>
              <w:rPr>
                <w:rFonts w:ascii="仿宋" w:hAnsi="仿宋" w:eastAsia="仿宋"/>
                <w:sz w:val="28"/>
                <w:szCs w:val="28"/>
              </w:rPr>
            </w:pPr>
            <w:r>
              <w:rPr>
                <w:rFonts w:hint="eastAsia" w:ascii="仿宋" w:hAnsi="仿宋" w:eastAsia="仿宋"/>
                <w:sz w:val="28"/>
                <w:szCs w:val="28"/>
              </w:rPr>
              <w:t>强化多部门联合监管机制</w:t>
            </w:r>
          </w:p>
        </w:tc>
        <w:tc>
          <w:tcPr>
            <w:tcW w:w="2391" w:type="dxa"/>
            <w:vAlign w:val="center"/>
          </w:tcPr>
          <w:p>
            <w:pPr>
              <w:rPr>
                <w:rFonts w:ascii="仿宋" w:hAnsi="仿宋" w:eastAsia="仿宋"/>
                <w:sz w:val="30"/>
                <w:szCs w:val="30"/>
              </w:rPr>
            </w:pPr>
          </w:p>
        </w:tc>
        <w:tc>
          <w:tcPr>
            <w:tcW w:w="2021" w:type="dxa"/>
            <w:vAlign w:val="center"/>
          </w:tcPr>
          <w:p>
            <w:pPr>
              <w:rPr>
                <w:rFonts w:ascii="仿宋" w:hAnsi="仿宋" w:eastAsia="仿宋"/>
                <w:sz w:val="30"/>
                <w:szCs w:val="30"/>
              </w:rPr>
            </w:pPr>
          </w:p>
        </w:tc>
        <w:tc>
          <w:tcPr>
            <w:tcW w:w="2013" w:type="dxa"/>
            <w:vAlign w:val="center"/>
          </w:tcPr>
          <w:p>
            <w:pPr>
              <w:rPr>
                <w:rFonts w:ascii="仿宋" w:hAnsi="仿宋" w:eastAsia="仿宋"/>
                <w:sz w:val="30"/>
                <w:szCs w:val="30"/>
              </w:rPr>
            </w:pPr>
          </w:p>
        </w:tc>
        <w:tc>
          <w:tcPr>
            <w:tcW w:w="2045" w:type="dxa"/>
            <w:vAlign w:val="center"/>
          </w:tcPr>
          <w:p>
            <w:pP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976" w:type="dxa"/>
            <w:vAlign w:val="center"/>
          </w:tcPr>
          <w:p>
            <w:pPr>
              <w:jc w:val="center"/>
              <w:rPr>
                <w:rFonts w:ascii="仿宋" w:hAnsi="仿宋" w:eastAsia="仿宋"/>
                <w:sz w:val="30"/>
                <w:szCs w:val="30"/>
              </w:rPr>
            </w:pPr>
            <w:r>
              <w:rPr>
                <w:rFonts w:hint="eastAsia" w:ascii="仿宋" w:hAnsi="仿宋" w:eastAsia="仿宋"/>
                <w:sz w:val="30"/>
                <w:szCs w:val="30"/>
              </w:rPr>
              <w:t>5</w:t>
            </w:r>
          </w:p>
        </w:tc>
        <w:tc>
          <w:tcPr>
            <w:tcW w:w="4391" w:type="dxa"/>
            <w:vAlign w:val="center"/>
          </w:tcPr>
          <w:p>
            <w:pPr>
              <w:jc w:val="center"/>
              <w:rPr>
                <w:rFonts w:ascii="仿宋" w:hAnsi="仿宋" w:eastAsia="仿宋"/>
                <w:sz w:val="28"/>
                <w:szCs w:val="28"/>
              </w:rPr>
            </w:pPr>
            <w:r>
              <w:rPr>
                <w:rFonts w:hint="eastAsia" w:ascii="仿宋" w:hAnsi="仿宋" w:eastAsia="仿宋"/>
                <w:sz w:val="28"/>
                <w:szCs w:val="28"/>
              </w:rPr>
              <w:t>强化网约车平台安全责任落实</w:t>
            </w:r>
          </w:p>
        </w:tc>
        <w:tc>
          <w:tcPr>
            <w:tcW w:w="2391" w:type="dxa"/>
            <w:vAlign w:val="center"/>
          </w:tcPr>
          <w:p>
            <w:pPr>
              <w:rPr>
                <w:rFonts w:ascii="仿宋" w:hAnsi="仿宋" w:eastAsia="仿宋"/>
                <w:sz w:val="30"/>
                <w:szCs w:val="30"/>
              </w:rPr>
            </w:pPr>
          </w:p>
        </w:tc>
        <w:tc>
          <w:tcPr>
            <w:tcW w:w="2021" w:type="dxa"/>
            <w:vAlign w:val="center"/>
          </w:tcPr>
          <w:p>
            <w:pPr>
              <w:rPr>
                <w:rFonts w:ascii="仿宋" w:hAnsi="仿宋" w:eastAsia="仿宋"/>
                <w:sz w:val="30"/>
                <w:szCs w:val="30"/>
              </w:rPr>
            </w:pPr>
          </w:p>
        </w:tc>
        <w:tc>
          <w:tcPr>
            <w:tcW w:w="2013" w:type="dxa"/>
            <w:vAlign w:val="center"/>
          </w:tcPr>
          <w:p>
            <w:pPr>
              <w:rPr>
                <w:rFonts w:ascii="仿宋" w:hAnsi="仿宋" w:eastAsia="仿宋"/>
                <w:sz w:val="30"/>
                <w:szCs w:val="30"/>
              </w:rPr>
            </w:pPr>
          </w:p>
        </w:tc>
        <w:tc>
          <w:tcPr>
            <w:tcW w:w="2045" w:type="dxa"/>
            <w:vAlign w:val="center"/>
          </w:tcPr>
          <w:p>
            <w:pP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976" w:type="dxa"/>
            <w:vAlign w:val="center"/>
          </w:tcPr>
          <w:p>
            <w:pPr>
              <w:jc w:val="center"/>
              <w:rPr>
                <w:rFonts w:ascii="仿宋" w:hAnsi="仿宋" w:eastAsia="仿宋"/>
                <w:sz w:val="30"/>
                <w:szCs w:val="30"/>
              </w:rPr>
            </w:pPr>
            <w:r>
              <w:rPr>
                <w:rFonts w:hint="eastAsia" w:ascii="仿宋" w:hAnsi="仿宋" w:eastAsia="仿宋"/>
                <w:sz w:val="30"/>
                <w:szCs w:val="30"/>
              </w:rPr>
              <w:t>6</w:t>
            </w:r>
          </w:p>
        </w:tc>
        <w:tc>
          <w:tcPr>
            <w:tcW w:w="4391" w:type="dxa"/>
            <w:vAlign w:val="center"/>
          </w:tcPr>
          <w:p>
            <w:pPr>
              <w:jc w:val="center"/>
              <w:rPr>
                <w:rFonts w:ascii="仿宋" w:hAnsi="仿宋" w:eastAsia="仿宋"/>
                <w:sz w:val="28"/>
                <w:szCs w:val="28"/>
              </w:rPr>
            </w:pPr>
            <w:r>
              <w:rPr>
                <w:rFonts w:hint="eastAsia" w:ascii="仿宋" w:hAnsi="仿宋" w:eastAsia="仿宋"/>
                <w:sz w:val="28"/>
                <w:szCs w:val="28"/>
              </w:rPr>
              <w:t>其他网约车规范经营行动措施</w:t>
            </w:r>
          </w:p>
        </w:tc>
        <w:tc>
          <w:tcPr>
            <w:tcW w:w="2391" w:type="dxa"/>
            <w:vAlign w:val="center"/>
          </w:tcPr>
          <w:p>
            <w:pPr>
              <w:rPr>
                <w:rFonts w:ascii="仿宋" w:hAnsi="仿宋" w:eastAsia="仿宋"/>
                <w:sz w:val="30"/>
                <w:szCs w:val="30"/>
              </w:rPr>
            </w:pPr>
          </w:p>
        </w:tc>
        <w:tc>
          <w:tcPr>
            <w:tcW w:w="2021" w:type="dxa"/>
            <w:vAlign w:val="center"/>
          </w:tcPr>
          <w:p>
            <w:pPr>
              <w:rPr>
                <w:rFonts w:ascii="仿宋" w:hAnsi="仿宋" w:eastAsia="仿宋"/>
                <w:sz w:val="30"/>
                <w:szCs w:val="30"/>
              </w:rPr>
            </w:pPr>
          </w:p>
        </w:tc>
        <w:tc>
          <w:tcPr>
            <w:tcW w:w="2013" w:type="dxa"/>
            <w:vAlign w:val="center"/>
          </w:tcPr>
          <w:p>
            <w:pPr>
              <w:rPr>
                <w:rFonts w:ascii="仿宋" w:hAnsi="仿宋" w:eastAsia="仿宋"/>
                <w:sz w:val="30"/>
                <w:szCs w:val="30"/>
              </w:rPr>
            </w:pPr>
          </w:p>
        </w:tc>
        <w:tc>
          <w:tcPr>
            <w:tcW w:w="2045" w:type="dxa"/>
            <w:vAlign w:val="center"/>
          </w:tcPr>
          <w:p>
            <w:pPr>
              <w:rPr>
                <w:rFonts w:ascii="仿宋" w:hAnsi="仿宋" w:eastAsia="仿宋"/>
                <w:sz w:val="30"/>
                <w:szCs w:val="30"/>
              </w:rPr>
            </w:pPr>
          </w:p>
        </w:tc>
      </w:tr>
    </w:tbl>
    <w:p>
      <w:pPr>
        <w:rPr>
          <w:rFonts w:ascii="仿宋" w:hAnsi="仿宋" w:eastAsia="仿宋"/>
          <w:sz w:val="32"/>
          <w:szCs w:val="32"/>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58F"/>
    <w:rsid w:val="00040773"/>
    <w:rsid w:val="00045CD3"/>
    <w:rsid w:val="000565C1"/>
    <w:rsid w:val="00061DF9"/>
    <w:rsid w:val="00084F1E"/>
    <w:rsid w:val="000C3F88"/>
    <w:rsid w:val="000E1AE5"/>
    <w:rsid w:val="000E25B6"/>
    <w:rsid w:val="00105099"/>
    <w:rsid w:val="0011583E"/>
    <w:rsid w:val="00121C91"/>
    <w:rsid w:val="0012627A"/>
    <w:rsid w:val="00136CC4"/>
    <w:rsid w:val="00180FC0"/>
    <w:rsid w:val="00195633"/>
    <w:rsid w:val="001B11CC"/>
    <w:rsid w:val="001E648B"/>
    <w:rsid w:val="001F1EF3"/>
    <w:rsid w:val="002002EF"/>
    <w:rsid w:val="00214FC9"/>
    <w:rsid w:val="00237CCA"/>
    <w:rsid w:val="00247722"/>
    <w:rsid w:val="002541C1"/>
    <w:rsid w:val="002672F6"/>
    <w:rsid w:val="00273AA5"/>
    <w:rsid w:val="00281278"/>
    <w:rsid w:val="002852F8"/>
    <w:rsid w:val="002909CC"/>
    <w:rsid w:val="00293C3A"/>
    <w:rsid w:val="002A71A8"/>
    <w:rsid w:val="002A76EB"/>
    <w:rsid w:val="0034458F"/>
    <w:rsid w:val="00352B6C"/>
    <w:rsid w:val="00353AF5"/>
    <w:rsid w:val="00364F72"/>
    <w:rsid w:val="00366BE0"/>
    <w:rsid w:val="00391D11"/>
    <w:rsid w:val="003A0C05"/>
    <w:rsid w:val="003C0138"/>
    <w:rsid w:val="003C3FA4"/>
    <w:rsid w:val="003D1EF2"/>
    <w:rsid w:val="00411F64"/>
    <w:rsid w:val="00465653"/>
    <w:rsid w:val="0049243D"/>
    <w:rsid w:val="00494D57"/>
    <w:rsid w:val="004A58BE"/>
    <w:rsid w:val="004D76B0"/>
    <w:rsid w:val="004E3DA9"/>
    <w:rsid w:val="004E5278"/>
    <w:rsid w:val="004E741A"/>
    <w:rsid w:val="005130D0"/>
    <w:rsid w:val="00524818"/>
    <w:rsid w:val="00550322"/>
    <w:rsid w:val="00553493"/>
    <w:rsid w:val="005619E0"/>
    <w:rsid w:val="00564464"/>
    <w:rsid w:val="005872F8"/>
    <w:rsid w:val="00587DD4"/>
    <w:rsid w:val="005B2EE0"/>
    <w:rsid w:val="005E0E08"/>
    <w:rsid w:val="00607176"/>
    <w:rsid w:val="0061358E"/>
    <w:rsid w:val="00613B55"/>
    <w:rsid w:val="00617A70"/>
    <w:rsid w:val="00621690"/>
    <w:rsid w:val="006275C0"/>
    <w:rsid w:val="00687570"/>
    <w:rsid w:val="006938A9"/>
    <w:rsid w:val="006B4DF2"/>
    <w:rsid w:val="006C2846"/>
    <w:rsid w:val="006C5D71"/>
    <w:rsid w:val="006E401B"/>
    <w:rsid w:val="006E4908"/>
    <w:rsid w:val="006E6233"/>
    <w:rsid w:val="007173D3"/>
    <w:rsid w:val="00755663"/>
    <w:rsid w:val="00765F0F"/>
    <w:rsid w:val="0077282A"/>
    <w:rsid w:val="007813AF"/>
    <w:rsid w:val="007918FE"/>
    <w:rsid w:val="007C02A6"/>
    <w:rsid w:val="007C0C4F"/>
    <w:rsid w:val="007E04AC"/>
    <w:rsid w:val="007E0AF1"/>
    <w:rsid w:val="00832228"/>
    <w:rsid w:val="00842FC7"/>
    <w:rsid w:val="00872309"/>
    <w:rsid w:val="008809F6"/>
    <w:rsid w:val="008A19F5"/>
    <w:rsid w:val="008A7532"/>
    <w:rsid w:val="008B7DE0"/>
    <w:rsid w:val="008D6C46"/>
    <w:rsid w:val="008E04A0"/>
    <w:rsid w:val="00901177"/>
    <w:rsid w:val="009244E8"/>
    <w:rsid w:val="0093562F"/>
    <w:rsid w:val="00955DC7"/>
    <w:rsid w:val="00972DFA"/>
    <w:rsid w:val="009809A7"/>
    <w:rsid w:val="0098538E"/>
    <w:rsid w:val="009A2C9B"/>
    <w:rsid w:val="009A366B"/>
    <w:rsid w:val="009B6B10"/>
    <w:rsid w:val="009D30B6"/>
    <w:rsid w:val="00A02A00"/>
    <w:rsid w:val="00A10803"/>
    <w:rsid w:val="00A10AE6"/>
    <w:rsid w:val="00A5794B"/>
    <w:rsid w:val="00A66DC4"/>
    <w:rsid w:val="00A75C67"/>
    <w:rsid w:val="00A8448A"/>
    <w:rsid w:val="00B056DF"/>
    <w:rsid w:val="00B05C61"/>
    <w:rsid w:val="00B12514"/>
    <w:rsid w:val="00B25243"/>
    <w:rsid w:val="00B30AB7"/>
    <w:rsid w:val="00B54EA6"/>
    <w:rsid w:val="00B611DB"/>
    <w:rsid w:val="00B61F14"/>
    <w:rsid w:val="00B72C8B"/>
    <w:rsid w:val="00B93296"/>
    <w:rsid w:val="00BC3803"/>
    <w:rsid w:val="00BD1041"/>
    <w:rsid w:val="00C27AF2"/>
    <w:rsid w:val="00C27DCD"/>
    <w:rsid w:val="00C37F2A"/>
    <w:rsid w:val="00C556F5"/>
    <w:rsid w:val="00C55FFA"/>
    <w:rsid w:val="00C62FF6"/>
    <w:rsid w:val="00C67F6D"/>
    <w:rsid w:val="00C74E89"/>
    <w:rsid w:val="00C92020"/>
    <w:rsid w:val="00C920B8"/>
    <w:rsid w:val="00CC27D0"/>
    <w:rsid w:val="00CC2EAE"/>
    <w:rsid w:val="00CC3612"/>
    <w:rsid w:val="00CE4243"/>
    <w:rsid w:val="00CE7F80"/>
    <w:rsid w:val="00CF05A1"/>
    <w:rsid w:val="00D015AB"/>
    <w:rsid w:val="00D24522"/>
    <w:rsid w:val="00D441C6"/>
    <w:rsid w:val="00D85BDE"/>
    <w:rsid w:val="00DA1359"/>
    <w:rsid w:val="00DC1957"/>
    <w:rsid w:val="00DF3D11"/>
    <w:rsid w:val="00E07F71"/>
    <w:rsid w:val="00E14F35"/>
    <w:rsid w:val="00E40D99"/>
    <w:rsid w:val="00E42C1A"/>
    <w:rsid w:val="00E967E6"/>
    <w:rsid w:val="00EC4351"/>
    <w:rsid w:val="00EE1716"/>
    <w:rsid w:val="00EF3980"/>
    <w:rsid w:val="00F1526B"/>
    <w:rsid w:val="00F15A17"/>
    <w:rsid w:val="00F261B3"/>
    <w:rsid w:val="00F4279A"/>
    <w:rsid w:val="00F52DA1"/>
    <w:rsid w:val="00F55373"/>
    <w:rsid w:val="00F63C4E"/>
    <w:rsid w:val="00FB21F6"/>
    <w:rsid w:val="00FD3DC0"/>
    <w:rsid w:val="00FF273F"/>
    <w:rsid w:val="4CDB6B50"/>
    <w:rsid w:val="78673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List Paragraph"/>
    <w:basedOn w:val="1"/>
    <w:qFormat/>
    <w:uiPriority w:val="34"/>
    <w:pPr>
      <w:ind w:firstLine="420" w:firstLineChars="200"/>
    </w:pPr>
  </w:style>
  <w:style w:type="character" w:customStyle="1" w:styleId="9">
    <w:name w:val="页眉 Char"/>
    <w:basedOn w:val="5"/>
    <w:link w:val="4"/>
    <w:uiPriority w:val="99"/>
    <w:rPr>
      <w:sz w:val="18"/>
      <w:szCs w:val="18"/>
    </w:rPr>
  </w:style>
  <w:style w:type="character" w:customStyle="1" w:styleId="10">
    <w:name w:val="页脚 Char"/>
    <w:basedOn w:val="5"/>
    <w:link w:val="3"/>
    <w:qFormat/>
    <w:uiPriority w:val="99"/>
    <w:rPr>
      <w:sz w:val="18"/>
      <w:szCs w:val="18"/>
    </w:r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352</Words>
  <Characters>2012</Characters>
  <Lines>16</Lines>
  <Paragraphs>4</Paragraphs>
  <TotalTime>1465</TotalTime>
  <ScaleCrop>false</ScaleCrop>
  <LinksUpToDate>false</LinksUpToDate>
  <CharactersWithSpaces>2360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2021-10-11T01:09:00Z</dcterms:created>
  <dc:creator>钟浪</dc:creator>
  <cp:lastModifiedBy>陈东</cp:lastModifiedBy>
  <cp:lastPrinted>2021-10-19T06:37:00Z</cp:lastPrinted>
  <dcterms:modified xsi:type="dcterms:W3CDTF">2021-11-10T02:51:31Z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