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eastAsia="方正小标宋简体"/>
          <w:color w:val="FF0000"/>
          <w:sz w:val="44"/>
          <w:szCs w:val="44"/>
          <w:lang w:val="en-US" w:eastAsia="zh-CN"/>
        </w:rPr>
      </w:pPr>
      <w:r>
        <w:rPr>
          <w:rFonts w:ascii="方正小标宋简体" w:hAnsi="方正小标宋简体" w:eastAsia="方正小标宋简体" w:cs="方正小标宋简体"/>
          <w:color w:val="FF0000"/>
          <w:kern w:val="0"/>
          <w:sz w:val="44"/>
          <w:szCs w:val="44"/>
          <w:lang w:val="en-US" w:eastAsia="zh-CN" w:bidi="ar"/>
        </w:rPr>
        <w:t>翁源县</w:t>
      </w:r>
      <w:r>
        <w:rPr>
          <w:rFonts w:hint="eastAsia" w:ascii="方正小标宋简体" w:hAnsi="方正小标宋简体" w:eastAsia="方正小标宋简体" w:cs="方正小标宋简体"/>
          <w:color w:val="FF0000"/>
          <w:kern w:val="0"/>
          <w:sz w:val="44"/>
          <w:szCs w:val="44"/>
          <w:lang w:val="en-US" w:eastAsia="zh-CN" w:bidi="ar"/>
        </w:rPr>
        <w:t>殡葬管理工作联席会议办公室</w:t>
      </w:r>
    </w:p>
    <w:p>
      <w:pPr>
        <w:pStyle w:val="5"/>
        <w:keepNext w:val="0"/>
        <w:keepLines w:val="0"/>
        <w:pageBreakBefore w:val="0"/>
        <w:widowControl w:val="0"/>
        <w:tabs>
          <w:tab w:val="left" w:pos="9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FF0000"/>
        </w:rPr>
      </w:pPr>
      <w:r>
        <w:rPr>
          <w:rFonts w:hint="default" w:ascii="Times New Roman" w:hAnsi="Times New Roman" w:cs="Times New Roman"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-267970</wp:posOffset>
                </wp:positionH>
                <wp:positionV relativeFrom="paragraph">
                  <wp:posOffset>90805</wp:posOffset>
                </wp:positionV>
                <wp:extent cx="6120130" cy="0"/>
                <wp:effectExtent l="0" t="28575" r="1397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1.1pt;margin-top:7.15pt;height:0pt;width:481.9pt;z-index:251659264;mso-width-relative:page;mso-height-relative:page;" filled="f" stroked="t" coordsize="21600,21600" o:gfxdata="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RXk7TUAAAACQEAAA8AAAAAAAAAAQAgAAAAIgAAAGRycy9kb3ducmV2LnhtbFBL&#10;AQIUABQAAAAIAIdO4kD2UgrA+gEAAOsDAAAOAAAAAAAAAAEAIAAAACMBAABkcnMvZTJvRG9jLnht&#10;bFBLBQYAAAAABgAGAFkBAACP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重申凭《居民死亡医学证明（推断）书》接运遗体的通知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各镇、有关单位、南龙殡葬服务中心：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为进一步规范遗体接运工作，根据国务院《殡葬管理条例》、《广东省民政厅关于进一步严格规范遗体火化管理的通知》（粤民</w:t>
      </w:r>
      <w:r>
        <w:rPr>
          <w:rFonts w:hint="eastAsia" w:ascii="仿宋_GB2312" w:hAnsi="仿宋_GB2312" w:eastAsia="仿宋_GB2312" w:cs="仿宋_GB2312"/>
          <w:sz w:val="32"/>
          <w:szCs w:val="32"/>
        </w:rPr>
        <w:t>函〔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538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韶关市卫生健康局韶关市公安局韶关市民政局关于印发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sz w:val="32"/>
          <w:szCs w:val="32"/>
        </w:rPr>
        <w:t>韶关市人口死亡登记报告管理实施细则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》(</w:t>
      </w:r>
      <w:r>
        <w:rPr>
          <w:rFonts w:hint="eastAsia" w:ascii="仿宋_GB2312" w:hAnsi="仿宋_GB2312" w:eastAsia="仿宋_GB2312" w:cs="仿宋_GB2312"/>
          <w:sz w:val="32"/>
          <w:szCs w:val="32"/>
        </w:rPr>
        <w:t>韶卫函〔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〕28号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)要求，现就遗体接运工作重申如下：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一、严格凭《死亡证》接运遗体。原则上，殡仪馆（南龙殡葬服务中心）凭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《居民死亡医学证明（推断）书》（简称《死亡证》）接运遗体，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分非正常死亡或未知名尸体，因办案或其他特殊情况（如医疗纠纷等）需要保存的，由公安机关办案单位、辖区公安派出所或医疗机构，按民政部门或殡仪馆的要求，填写《遗体交接登记表》（附件1），注明遗体冷冻寄存时限和相关信息，由殡仪馆收殓予以保存，并在事后及时补充提供《死亡证》，协助办理有关手续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二、各镇要利用村（居）委文书会议时机，宣传凭《死亡证》接运遗体的规定；卫健、公安等具有开具《死亡证》职能的单位要通知相关下属业务部门，优化办证流程，需列明各类死亡情况的签发流程、签发单位、签发部门以及工作日、节假日和24小时值班电话。公安部门需明确签发管理的协调部门和签发职能部门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三、殡仪馆（南龙殡葬服务中心）要细化遗体接运规定，遗体接运至殡仪馆后要及时建立遗体档案。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四、其他特殊情况且正常死亡的遗体，由丧属和村委会干部或村民小组长在《遗体接运表》（附表2）上签字后方可接运，次日必须办理《死亡证》。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五、任何单位和个人没有办理《死亡证》的，不得强行要求殡仪馆接运。没有合法手续或非法接运遗体的依法追究相关人员责任。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翁源县殡葬管理工作联席会议办公室</w:t>
      </w: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（代章）</w:t>
      </w:r>
    </w:p>
    <w:p>
      <w:pPr>
        <w:pStyle w:val="2"/>
        <w:ind w:firstLine="4160" w:firstLineChars="13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2021年11月10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F4C72"/>
    <w:rsid w:val="0CAE0E9F"/>
    <w:rsid w:val="172B75FB"/>
    <w:rsid w:val="19756879"/>
    <w:rsid w:val="259059C4"/>
    <w:rsid w:val="28F503E6"/>
    <w:rsid w:val="35384FDE"/>
    <w:rsid w:val="641F089E"/>
    <w:rsid w:val="693A0D61"/>
    <w:rsid w:val="714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 w:val="30"/>
      <w:szCs w:val="24"/>
      <w:lang w:bidi="ar-SA"/>
    </w:rPr>
  </w:style>
  <w:style w:type="paragraph" w:customStyle="1" w:styleId="5">
    <w:name w:val="样式2"/>
    <w:basedOn w:val="1"/>
    <w:qFormat/>
    <w:uiPriority w:val="0"/>
    <w:pPr>
      <w:spacing w:line="560" w:lineRule="atLeast"/>
    </w:pPr>
    <w:rPr>
      <w:rFonts w:eastAsia="创艺简黑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省民政厅</Company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2019-07-24T07:05:00Z</dcterms:created>
  <dc:creator>方夏</dc:creator>
  <cp:lastModifiedBy>Administrator</cp:lastModifiedBy>
  <cp:lastPrinted>2021-11-10T01:24:00Z</cp:lastPrinted>
  <dcterms:modified xsi:type="dcterms:W3CDTF">2021-11-10T03:20:23Z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9B8031338426448CB8512386D96169AE</vt:lpwstr>
  </property>
</Properties>
</file>