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6</w:t>
      </w: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  <w:lang w:eastAsia="zh-CN"/>
        </w:rPr>
        <w:t>曲江区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绩效自评报告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评价类型：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项目实施过程评价 </w:t>
      </w:r>
      <w:r>
        <w:rPr>
          <w:rFonts w:hint="eastAsia" w:ascii="仿宋_GB2312" w:hAnsi="宋体" w:eastAsia="仿宋_GB2312"/>
          <w:sz w:val="32"/>
          <w:lang w:val="en-US" w:eastAsia="zh-CN"/>
        </w:rPr>
        <w:sym w:font="Wingdings 2" w:char="00A3"/>
      </w: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         项目完成结果评价 </w:t>
      </w:r>
      <w:r>
        <w:rPr>
          <w:rFonts w:hint="eastAsia" w:ascii="仿宋_GB2312" w:hAnsi="宋体" w:eastAsia="仿宋_GB2312"/>
          <w:sz w:val="32"/>
          <w:lang w:val="en-US" w:eastAsia="zh-CN"/>
        </w:rPr>
        <w:sym w:font="Wingdings 2" w:char="00A3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0" w:firstLineChars="450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 w:eastAsia="仿宋_GB2312"/>
          <w:sz w:val="32"/>
          <w:lang w:eastAsia="zh-CN"/>
        </w:rPr>
        <w:t>妇女“两癌”筛查区配套资金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eastAsia="zh-CN"/>
        </w:rPr>
        <w:t>韶关市曲江区妇幼保健院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钟晓雯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13927889235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2021年3月30日</w:t>
      </w:r>
    </w:p>
    <w:p/>
    <w:p/>
    <w:p/>
    <w:p/>
    <w:p/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  <w:t>韶关市曲江区2020年城乡妇女“两癌”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  <w:t>筛查项目绩效评价报告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曲江区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绩效评价指标体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及评分标准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免费“两癌”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管理情况进行了一次绩效评价。现将有关情况报告如下: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项目基本情况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项目概况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：根据《中国妇女发展纲要（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2011-2020年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）》及《“健康广东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2030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”规划》等文件精神，制定了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《韶关市曲江区城乡妇女“两癌”免费检查项目实施方案（2020-2022年）》。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为提高广大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</w:t>
      </w:r>
      <w:r>
        <w:rPr>
          <w:rFonts w:hint="eastAsia" w:ascii="仿宋_GB2312" w:hAnsi="仿宋_GB2312" w:eastAsia="仿宋_GB2312" w:cs="仿宋_GB2312"/>
          <w:sz w:val="32"/>
          <w:szCs w:val="32"/>
        </w:rPr>
        <w:t>妇女健康水平，落实省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、市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政府重点民生实事项目，造福更多适龄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</w:t>
      </w:r>
      <w:r>
        <w:rPr>
          <w:rFonts w:hint="eastAsia" w:ascii="仿宋_GB2312" w:hAnsi="仿宋_GB2312" w:eastAsia="仿宋_GB2312" w:cs="仿宋_GB2312"/>
          <w:sz w:val="32"/>
          <w:szCs w:val="32"/>
        </w:rPr>
        <w:t>妇女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帮助广大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</w:t>
      </w:r>
      <w:r>
        <w:rPr>
          <w:rFonts w:hint="eastAsia" w:ascii="仿宋_GB2312" w:hAnsi="仿宋_GB2312" w:eastAsia="仿宋_GB2312" w:cs="仿宋_GB2312"/>
          <w:sz w:val="32"/>
          <w:szCs w:val="32"/>
        </w:rPr>
        <w:t>妇女增强自我保健意识，做到早发现、早诊断、早预防、早治疗，更好地保障我区妇女健康水平，我院与多部门密切合作，精心组织安排，合力推进全区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城乡</w:t>
      </w:r>
      <w:r>
        <w:rPr>
          <w:rFonts w:hint="eastAsia" w:ascii="仿宋_GB2312" w:hAnsi="仿宋_GB2312" w:eastAsia="仿宋_GB2312" w:cs="仿宋_GB2312"/>
          <w:sz w:val="32"/>
          <w:szCs w:val="32"/>
        </w:rPr>
        <w:t>妇女”两癌”免费检查项目顺利实施。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2020年“免费两癌”任务数6000人，实际完成6007人，完成“两癌”检查任务100.12%。</w:t>
      </w:r>
    </w:p>
    <w:p>
      <w:pPr>
        <w:ind w:firstLine="320" w:firstLineChars="1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（二）项目绩效目标情况</w:t>
      </w:r>
    </w:p>
    <w:p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根据韶关市财政局《关于安排2020年省级医疗卫生健康事业发展专项资金（第二批）的通知》（韶财社【2020】26号）精神，我区2020年“两癌”筛查项目任务数为6000人，区财政补助90600元。</w:t>
      </w:r>
      <w:r>
        <w:rPr>
          <w:rFonts w:hint="eastAsia" w:ascii="方正仿宋_GB2312" w:hAnsi="方正仿宋_GB2312" w:eastAsia="方正仿宋_GB2312" w:cs="方正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2020年使用“两癌”项目资金需方补助141.82万元（完成筛查6007人），全部为筛查费用。供方补助支出15622元，用于支付给广播电视台“两癌”知识宣传片制作费及播放费，项目管理人员参加培训差旅费，下乡筛查交通等费用</w:t>
      </w:r>
    </w:p>
    <w:p>
      <w:pPr>
        <w:numPr>
          <w:ilvl w:val="0"/>
          <w:numId w:val="0"/>
        </w:numPr>
        <w:ind w:firstLine="960" w:firstLineChars="3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项目实施及管理情况</w:t>
      </w:r>
    </w:p>
    <w:p>
      <w:pPr>
        <w:widowControl w:val="0"/>
        <w:numPr>
          <w:ilvl w:val="0"/>
          <w:numId w:val="0"/>
        </w:numPr>
        <w:ind w:left="320" w:leftChars="0" w:firstLine="320" w:firstLineChars="10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（一）政府主导，制定项目实施方案</w:t>
      </w:r>
    </w:p>
    <w:p>
      <w:pPr>
        <w:widowControl w:val="0"/>
        <w:numPr>
          <w:ilvl w:val="0"/>
          <w:numId w:val="0"/>
        </w:numPr>
        <w:ind w:left="320" w:leftChars="0"/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为了使项目顺利实施，韶关市区卫生健康局、区妇女联合会联合发文《关于印发韶关市曲江区城乡妇女“两癌”免费检查项目实施方案（2020-2022年）的通知》韶曲卫［2020］24号。让大家明白了项目的总体目标、服务人群、服务内容和工作要求。</w:t>
      </w:r>
    </w:p>
    <w:p>
      <w:p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（二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提高认识，加强领导　　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两癌”筛查工作作为关注妇女民生，促进妇女健康的一件好事实事，进一步提升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全区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妇女健康水平和生活质量的有利契机来抓。加强了”两癌”筛查项目的组织领导，成立了领导小组和专业技术小组，优选技术骨干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经省培训后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参与筛查工作，确保筛查质量。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加强培训和宣传，提高群众知晓度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1.筹备启动，精准摸底。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为了调动全区妇女参与“两癌“筛查工作的积极性和主动性，广泛动员，强化宣传，不断扩大项目影响力。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首先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曲江区妇幼保健院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由院长带队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深入各乡镇卫生院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、村委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，进行“两癌”的宣传发动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和基础数据摸底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由区卫健局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召开全区扶贫办、乡镇妇联主席、乡镇村委干部以及有关人员动员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暨培训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大会，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讲解了“两癌”筛查的目的和意义，并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将工作任务分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解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到乡镇各村委，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安排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时间到辖区村委会进行筛查。以省级下达的当年任务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解表下发至有关党委、人民政府。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“两癌”筛查知识宣传活动。为使宣传深入人心，让这一惠民政策得以落实，利用广播、电视、微信、横幅、派发宣传单，设立咨询台等群众喜闻乐见的方式广泛进行了广泛宣传。并通过微信公众号推送了微信宣传稿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印刷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“两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健康教育知识宣传折页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000份；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购置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“两癌”宣传环保袋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000份；购买宣传礼品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000份，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制作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“两癌”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查流程图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0份；利用下乡到村委会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、自然村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，分发到到广大群众手中，全方位宣传两癌筛查的必要性和重要性，让广大妇女了解掌握乳腺癌、宫颈癌等妇科疾病防治知识，培养健康、文明、科学的生活方式，营造群众主动接受筛查氛围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为今年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完成任务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奠定良好基础。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开展专题讲座。一是专业技术人员到乡镇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、村委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开展“两癌”知识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宣讲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让镇、村干部了解“两癌”预防知识和筛查的重要意义；二是对参与筛查群众开展面对面宣传，让她们更多的了解妇女常见病、多发病的预防知识，明确“两癌”早诊早治的重要性，在免费筛查期间，还为前来检查的每位妇女免费发放宣传品，让她们成为辖区的宣传者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加强沟通，及时反馈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在筛查中与镇、村干部加强沟通，互通信息，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做到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区、镇、村委三级联动，层层落实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工作的推进，并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结合各村特点和工作进展情况不断调整工作思路，对发现的问题及时向有关领导反映，探索了适合基层“两癌”筛查的服务模式和优化方案。在对适龄妇女做“两癌筛查”工作的同时，建立了档案，对筛查异常个案进行跟踪随访，并及时反馈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三、项目绩效自评开展情况和自评结论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(附相关评分表)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 w:val="0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按照工作规范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绩效评价指标体系及评分标准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，组织对项目实施情况进行考核与评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价</w:t>
      </w:r>
      <w:r>
        <w:rPr>
          <w:rFonts w:hint="eastAsia" w:ascii="仿宋_GB2312" w:hAnsi="仿宋_GB2312" w:eastAsia="仿宋_GB2312" w:cs="仿宋_GB2312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价主要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内容包括：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城乡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妇女宫颈癌检查目标人群覆盖率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100.12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宫颈癌早诊率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93.62%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；城乡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妇女乳腺癌检查目标人群覆盖率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100.12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乳腺癌早诊率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60%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四、城乡妇女“两癌”项目实现情况分析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 w:firstLineChars="2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年“两癌”筛查工作启动以来，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区妇幼保健院院实行日常门诊与下乡筛查相结合模式。设立“农村妇女两癌免费筛查室”，常年无休进行筛查，并按计划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次深入到镇、村开展“两癌”筛查工作。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2020年任务数6000人，宫颈癌实际检查600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人次，宫颈癌检查目标人群覆盖率100.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%，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宫颈组织病理检查结果为CIN2、CIN3高级别病变、原位癌及微小浸润癌的人数44人，宫颈组织病理检查结果为癌前病变及浸润癌的人数47人，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宫颈癌检查早期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率9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3.62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%。乳腺癌实际检查600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人次，乳腺癌癌检查目标人群覆盖率100.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%，实际进行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乳腺癌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检查人数中检查结果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TNM分期为0期+I期+IIa的人数为3人，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实际进行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乳腺癌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检查人数中检查结果为乳腺癌并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TNM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分期的人数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lang w:eastAsia="zh-CN"/>
        </w:rPr>
        <w:t>人，乳腺癌检查早期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60%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从检查的结果情况来看，“两癌”筛查是非常有必要的。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群众满意度问卷显示结果满意度高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总之，我区“两癌”筛查工作虽取得了一定的成绩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也能达到预期目标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，但仍存在一些不足，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特别是精准扶贫村和贫困妇女的筛查率不高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初筛结果阳性或有异常情况随访困难，群众依从性差。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下一步将着重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落实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技术人员的知识更新培训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提高群众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随访依从性工作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，把省民生工作落到实处，切实为群众办实事办好事。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480" w:firstLineChars="14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4480" w:firstLineChars="14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韶关市曲江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区妇幼保健院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jc w:val="left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2312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C5ED1"/>
    <w:rsid w:val="1BE36998"/>
    <w:rsid w:val="242F7F8D"/>
    <w:rsid w:val="286D562D"/>
    <w:rsid w:val="3CCC061B"/>
    <w:rsid w:val="4C7E0CF5"/>
    <w:rsid w:val="75974043"/>
    <w:rsid w:val="7A3808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qj</cp:lastModifiedBy>
  <dcterms:modified xsi:type="dcterms:W3CDTF">2021-04-09T09:20:49Z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