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7865"/>
      <w:bookmarkStart w:id="1" w:name="_Toc7668336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翁源县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bookmarkStart w:id="2" w:name="_Toc76683364"/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行政处罚决定书</w:t>
      </w:r>
      <w:bookmarkEnd w:id="2"/>
    </w:p>
    <w:p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eastAsia="zh-CN"/>
        </w:rPr>
        <w:t>翁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市监处罚〔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lang w:val="en-US" w:eastAsia="zh-CN"/>
        </w:rPr>
        <w:t>0083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号</w:t>
      </w:r>
    </w:p>
    <w:p>
      <w:pPr>
        <w:widowControl/>
        <w:wordWrap/>
        <w:snapToGrid w:val="0"/>
        <w:spacing w:line="240" w:lineRule="auto"/>
        <w:ind w:right="55" w:firstLine="5440" w:firstLineChars="1700"/>
        <w:textAlignment w:val="auto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kern w:val="2"/>
          <w:sz w:val="32"/>
          <w:szCs w:val="32"/>
          <w:lang w:val="en-US" w:eastAsia="zh-CN" w:bidi="ar-SA"/>
        </w:rPr>
        <w:pict>
          <v:shape id="直接箭头连接符 5" o:spid="_x0000_s1026" type="#_x0000_t32" style="position:absolute;left:0;margin-left:-3pt;margin-top:1638pt;height:0.05pt;width:453.7pt;rotation:0f;z-index:251658240;" o:ole="f" fillcolor="#FFFFFF" filled="t" o:preferrelative="t" stroked="t" coordorigin="0,0" coordsize="21600,21600" o:allowoverlap="f">
            <v:stroke weight="1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wordWrap/>
        <w:spacing w:line="240" w:lineRule="auto"/>
        <w:ind w:left="140" w:hanging="140"/>
        <w:textAlignment w:val="auto"/>
        <w:rPr>
          <w:rFonts w:hint="eastAsia" w:ascii="Times New Roman" w:hAnsi="Times New Roman" w:eastAsia="仿宋_GB2312" w:cs="Mongolian Baiti"/>
          <w:bCs/>
          <w:sz w:val="32"/>
          <w:szCs w:val="32"/>
        </w:rPr>
      </w:pP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翁源县翁城镇翁银地窖酒厂</w:t>
      </w:r>
    </w:p>
    <w:p>
      <w:pPr>
        <w:wordWrap/>
        <w:spacing w:line="240" w:lineRule="auto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bCs/>
          <w:kern w:val="1"/>
          <w:sz w:val="32"/>
          <w:szCs w:val="32"/>
        </w:rPr>
        <w:t>主体资格证照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eastAsia="zh-CN"/>
        </w:rPr>
        <w:t>《营业执照》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</w:t>
      </w:r>
    </w:p>
    <w:p>
      <w:pPr>
        <w:wordWrap/>
        <w:spacing w:line="240" w:lineRule="auto"/>
        <w:ind w:left="140" w:hanging="140"/>
        <w:textAlignment w:val="auto"/>
        <w:rPr>
          <w:rFonts w:hint="eastAsia"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92440229MA4X7UNK44</w:t>
      </w:r>
    </w:p>
    <w:p>
      <w:pPr>
        <w:wordWrap/>
        <w:spacing w:line="240" w:lineRule="auto"/>
        <w:textAlignment w:val="auto"/>
        <w:rPr>
          <w:rFonts w:hint="eastAsia"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翁源县翁城镇翁英路（农用加油站后面）</w:t>
      </w:r>
    </w:p>
    <w:p>
      <w:pPr>
        <w:wordWrap/>
        <w:spacing w:line="240" w:lineRule="auto"/>
        <w:textAlignment w:val="auto"/>
        <w:rPr>
          <w:rFonts w:hint="eastAsia"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法定代表人（负责人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eastAsia="zh-CN"/>
        </w:rPr>
        <w:t>、经营者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江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武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       </w:t>
      </w:r>
    </w:p>
    <w:p>
      <w:pPr>
        <w:pStyle w:val="2"/>
        <w:tabs>
          <w:tab w:val="left" w:pos="9060"/>
        </w:tabs>
        <w:wordWrap/>
        <w:spacing w:line="240" w:lineRule="auto"/>
        <w:ind w:firstLine="438" w:firstLineChars="196"/>
        <w:textAlignment w:val="auto"/>
        <w:rPr>
          <w:rFonts w:hint="eastAsia" w:ascii="仿宋_GB2312" w:hAnsi="方正仿宋_GBK" w:eastAsia="仿宋_GB2312"/>
          <w:b/>
          <w:strike/>
          <w:color w:val="231F20"/>
          <w:spacing w:val="-49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2021年9月24日，翁源县市场监督管理局翁城市场监督管理所执法人员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丘根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（F294151)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、梁德灵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（F293717)</w:t>
      </w:r>
      <w:r>
        <w:rPr>
          <w:rFonts w:hint="eastAsia" w:ascii="仿宋_GB2312" w:hAnsi="仿宋_GB2312" w:eastAsia="仿宋_GB2312" w:cs="仿宋_GB2312"/>
          <w:sz w:val="32"/>
          <w:szCs w:val="32"/>
        </w:rPr>
        <w:t>对位于翁源县翁城镇翁英路（农村加油站后面）的翁源县翁城镇翁银地窖酒厂进行监督检查。该厂已取得《营业执照》（统一社会信用代码：92440229MA4X7UNK44）和《广东省食品生产加工小作坊登记证》(编号：粤GD022900085)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现场发现该厂包装间存放有10斤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/箱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的“地窖酒”，外包装上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标示</w:t>
      </w:r>
      <w:r>
        <w:rPr>
          <w:rFonts w:hint="eastAsia" w:ascii="仿宋_GB2312" w:hAnsi="仿宋_GB2312" w:eastAsia="仿宋_GB2312" w:cs="仿宋_GB2312"/>
          <w:sz w:val="32"/>
          <w:szCs w:val="32"/>
        </w:rPr>
        <w:t>了“粤北特产 翁城地窖酒”、“正宗窖藏 手工制作”字样，外包装上未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标示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生产日期、保质期、配料表、小作坊信息等必须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信息。该厂现场未能提供产品销售台账。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该厂负责人江武在场，执法人员对现场进行了拍照留证并作现场笔录记录现场情况。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2021年9月24日对</w:t>
      </w:r>
      <w:r>
        <w:rPr>
          <w:rFonts w:hint="eastAsia" w:ascii="仿宋_GB2312" w:hAnsi="仿宋_GB2312" w:eastAsia="仿宋_GB2312" w:cs="仿宋_GB2312"/>
          <w:sz w:val="32"/>
          <w:szCs w:val="32"/>
        </w:rPr>
        <w:t>翁源县翁城镇翁银地窖酒厂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负责人江武进行询问，询问人丘根（F294151)和梁德灵（F293717)。</w:t>
      </w:r>
    </w:p>
    <w:p>
      <w:pPr>
        <w:pStyle w:val="2"/>
        <w:widowControl w:val="0"/>
        <w:tabs>
          <w:tab w:val="left" w:pos="9060"/>
        </w:tabs>
        <w:wordWrap/>
        <w:autoSpaceDE w:val="0"/>
        <w:autoSpaceDN w:val="0"/>
        <w:adjustRightInd w:val="0"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Times New Roman" w:eastAsia="仿宋_GB2312" w:cs="Mongolian Baiti"/>
          <w:kern w:val="1"/>
        </w:rPr>
        <w:t>经查，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翁源县翁城镇翁银地窖酒厂自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2017年10月17日营业至今，其生产经营的白酒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未建立销售台账；翁源县翁城镇翁银地窖酒厂生产经营的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10斤/箱的白酒未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标示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标签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 w:cs="仿宋_GB2312"/>
          <w:color w:val="000000"/>
        </w:rPr>
        <w:t xml:space="preserve">  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ascii="Times New Roman" w:eastAsia="仿宋_GB2312" w:cs="Mongolian Baiti"/>
          <w:kern w:val="1"/>
        </w:rPr>
      </w:pPr>
      <w:r>
        <w:rPr>
          <w:rFonts w:ascii="Times New Roman" w:eastAsia="仿宋_GB2312" w:cs="Mongolian Baiti"/>
          <w:kern w:val="1"/>
        </w:rPr>
        <w:t>上述事实，主要有以下证据证明：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Times New Roman" w:eastAsia="仿宋_GB2312" w:cs="仿宋_GB2312"/>
          <w:color w:val="000000"/>
        </w:rPr>
        <w:t xml:space="preserve">1.现场笔录一份共两页，证明执法人员现场发现有未标示标签包装的“地窖酒”。                              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Times New Roman" w:eastAsia="仿宋_GB2312" w:cs="仿宋_GB2312"/>
          <w:color w:val="000000"/>
        </w:rPr>
        <w:t>2.询问笔录一份共三页，证明翁源县翁城镇翁银地窖酒厂未建立销售台账，10斤</w:t>
      </w:r>
      <w:r>
        <w:rPr>
          <w:rFonts w:hint="eastAsia" w:ascii="Times New Roman" w:eastAsia="仿宋_GB2312" w:cs="仿宋_GB2312"/>
          <w:color w:val="000000"/>
          <w:lang w:eastAsia="zh-CN"/>
        </w:rPr>
        <w:t>/箱</w:t>
      </w:r>
      <w:r>
        <w:rPr>
          <w:rFonts w:hint="eastAsia" w:ascii="Times New Roman" w:eastAsia="仿宋_GB2312" w:cs="仿宋_GB2312"/>
          <w:color w:val="000000"/>
        </w:rPr>
        <w:t>“地窖酒”外包装未标示必要标签</w:t>
      </w:r>
      <w:r>
        <w:rPr>
          <w:rFonts w:hint="eastAsia" w:ascii="Times New Roman" w:eastAsia="仿宋_GB2312" w:cs="仿宋_GB2312"/>
          <w:color w:val="000000"/>
          <w:lang w:eastAsia="zh-CN"/>
        </w:rPr>
        <w:t>信息</w:t>
      </w:r>
      <w:r>
        <w:rPr>
          <w:rFonts w:hint="eastAsia" w:ascii="Times New Roman" w:eastAsia="仿宋_GB2312" w:cs="仿宋_GB2312"/>
          <w:color w:val="000000"/>
        </w:rPr>
        <w:t xml:space="preserve">。                                               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Times New Roman" w:eastAsia="仿宋_GB2312" w:cs="仿宋_GB2312"/>
          <w:color w:val="000000"/>
        </w:rPr>
        <w:t>3.证据提取单一份，证明现场发现的10斤</w:t>
      </w:r>
      <w:r>
        <w:rPr>
          <w:rFonts w:hint="eastAsia" w:ascii="Times New Roman" w:eastAsia="仿宋_GB2312" w:cs="仿宋_GB2312"/>
          <w:color w:val="000000"/>
          <w:lang w:eastAsia="zh-CN"/>
        </w:rPr>
        <w:t>/箱</w:t>
      </w:r>
      <w:r>
        <w:rPr>
          <w:rFonts w:hint="eastAsia" w:ascii="Times New Roman" w:eastAsia="仿宋_GB2312" w:cs="仿宋_GB2312"/>
          <w:color w:val="000000"/>
        </w:rPr>
        <w:t xml:space="preserve">包装的“地窖酒”外包装上未标示生产日期、保质期、配料表、小作坊信息等必须标示信息。           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Times New Roman" w:eastAsia="仿宋_GB2312" w:cs="仿宋_GB2312"/>
          <w:color w:val="000000"/>
        </w:rPr>
        <w:t xml:space="preserve">4.《营业执照》及《广东省食品加工小作坊登记证》复印件，证明翁源县翁城镇翁银地窖酒厂已取得生产销售白酒的相关资质。 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仿宋" w:hAnsi="仿宋" w:eastAsia="仿宋" w:cs="仿宋"/>
          <w:b w:val="0"/>
          <w:bCs/>
          <w:color w:val="231F20"/>
          <w:lang w:eastAsia="zh-CN"/>
        </w:rPr>
        <w:t>我局于</w:t>
      </w:r>
      <w:r>
        <w:rPr>
          <w:rFonts w:hint="eastAsia" w:ascii="仿宋" w:hAnsi="仿宋" w:eastAsia="仿宋" w:cs="仿宋"/>
          <w:b w:val="0"/>
          <w:bCs/>
          <w:color w:val="231F20"/>
          <w:lang w:val="en-US" w:eastAsia="zh-CN"/>
        </w:rPr>
        <w:t>2021年9月26日，依法将《翁源县市场监督管理局行政处罚告知书》(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翁</w:t>
      </w:r>
      <w:r>
        <w:rPr>
          <w:rFonts w:hint="eastAsia" w:ascii="Times New Roman" w:hAnsi="Times New Roman" w:eastAsia="仿宋_GB2312" w:cs="仿宋"/>
          <w:sz w:val="32"/>
          <w:szCs w:val="32"/>
        </w:rPr>
        <w:t>市监罚告〔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0076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  <w:r>
        <w:rPr>
          <w:rFonts w:hint="eastAsia" w:ascii="Times New Roman" w:eastAsia="仿宋_GB2312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231F20"/>
          <w:lang w:val="en-US" w:eastAsia="zh-CN"/>
        </w:rPr>
        <w:t>送达</w:t>
      </w:r>
      <w:r>
        <w:rPr>
          <w:rFonts w:hint="eastAsia" w:ascii="Times New Roman" w:eastAsia="仿宋_GB2312" w:cs="仿宋_GB2312"/>
          <w:color w:val="000000"/>
        </w:rPr>
        <w:t>翁源县翁城镇翁银地窖酒厂</w:t>
      </w:r>
      <w:r>
        <w:rPr>
          <w:rFonts w:hint="eastAsia" w:ascii="Times New Roman" w:eastAsia="仿宋_GB2312" w:cs="仿宋_GB2312"/>
          <w:color w:val="00000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在规定的时限内未提出申辩意见，陈述时对违法事实的认定无异议。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仿宋_GB2312" w:eastAsia="仿宋_GB2312" w:cs="Mongolian Baiti"/>
          <w:kern w:val="1"/>
        </w:rPr>
        <w:t>本局认为，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翁源县翁城镇翁银地窖酒厂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生产经营的白酒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未建立销售台账，违反了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广东省食品生产加工小作坊和食品摊贩管理条例》第十六条“食品小作坊应当建立进货（原辅材料）、销售台账，食品召回和销毁记录。相关记录、票据的保存期不得少于食品保质期满后六个月；没有明确保质期的，保存期限不得少于一年。”的规定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翁源县翁城镇翁银地窖酒厂未在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生产经营的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10斤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/箱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包装“地窖酒”外包装上标示生产日期、保质期、配料表、小作坊信息等必须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标示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信息，违反了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广东省食品生产加工小作坊和食品摊贩管理条例》第十七条第一款“食品小作坊生产的食品应当有包装和标签，标签应当包括：食品名称、生产日期、保质期、成分表或者配料表，食品小作坊名称、地址、登记证号码、联系方式及其他需要标示的内容。”的规定。</w:t>
      </w:r>
    </w:p>
    <w:p>
      <w:pPr>
        <w:pStyle w:val="2"/>
        <w:widowControl w:val="0"/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根据《广东省食品生产加工小作坊和食品摊贩管理条例》第五十一条第一款“违反本条例第十二条第二款、第十六条、第十七条规定， 食品小作坊未建立生产台账记录，或者违反包装要求，或者违反有关义务性规定的，由食品药品监督管理部门责令限期改正，给予警告；逾期不改正的，处二千元以上二万元以下罚款；情节严重的，责令停产停业或者吊销食品小作坊登记证。”的规定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进行处罚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widowControl w:val="0"/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ascii="Droid Sans Fallback"/>
          <w:sz w:val="23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翁源县翁城镇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翁银地窖</w:t>
      </w:r>
      <w:r>
        <w:rPr>
          <w:rFonts w:hint="eastAsia" w:ascii="Times New Roman" w:hAnsi="Times New Roman" w:eastAsia="仿宋_GB2312" w:cs="仿宋_GB2312"/>
          <w:sz w:val="32"/>
          <w:szCs w:val="32"/>
        </w:rPr>
        <w:t>酒厂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属于初次违反条例，且销售产品未造成不良影响，情节轻微。</w:t>
      </w:r>
    </w:p>
    <w:p>
      <w:pPr>
        <w:pStyle w:val="2"/>
        <w:widowControl w:val="0"/>
        <w:tabs>
          <w:tab w:val="left" w:pos="9060"/>
        </w:tabs>
        <w:wordWrap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综上，当事人上述行为违反了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《广东省食品生产加工小作坊和食品摊贩管理条例》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第十六条、第十七条第一款的规定，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依据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《广东省食品生产加工小作坊和食品摊贩管理条例》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五十一第一款规定</w:t>
      </w:r>
      <w:r>
        <w:rPr>
          <w:rFonts w:hint="eastAsia" w:ascii="黑体" w:hAnsi="Times New Roman" w:eastAsia="黑体" w:cs="Mongolian Baiti"/>
          <w:kern w:val="1"/>
          <w:sz w:val="32"/>
          <w:szCs w:val="32"/>
        </w:rPr>
        <w:t>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现责令当事人改正上述违法行为，并决定处罚如下：</w:t>
      </w:r>
    </w:p>
    <w:p>
      <w:pPr>
        <w:pStyle w:val="2"/>
        <w:widowControl w:val="0"/>
        <w:tabs>
          <w:tab w:val="left" w:pos="8405"/>
        </w:tabs>
        <w:wordWrap/>
        <w:snapToGrid/>
        <w:spacing w:line="240" w:lineRule="auto"/>
        <w:ind w:left="0" w:leftChars="0" w:right="0" w:firstLine="643" w:firstLineChars="200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仿宋_GB2312" w:hAnsi="方正仿宋_GBK" w:eastAsia="仿宋_GB2312"/>
          <w:b/>
          <w:color w:val="231F20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231F2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231F20"/>
          <w:lang w:eastAsia="zh-CN"/>
        </w:rPr>
        <w:t>警告</w:t>
      </w:r>
      <w:r>
        <w:rPr>
          <w:rFonts w:hint="eastAsia" w:ascii="仿宋_GB2312" w:hAnsi="仿宋_GB2312" w:eastAsia="仿宋_GB2312" w:cs="仿宋_GB2312"/>
          <w:b w:val="0"/>
          <w:bCs/>
          <w:color w:val="231F20"/>
        </w:rPr>
        <w:tab/>
      </w:r>
      <w:r>
        <w:rPr>
          <w:rFonts w:hint="eastAsia" w:ascii="Times New Roman" w:eastAsia="仿宋_GB2312" w:cs="仿宋_GB2312"/>
          <w:color w:val="000000"/>
        </w:rPr>
        <w:t xml:space="preserve">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eastAsia="仿宋_GB2312" w:cs="仿宋_GB2312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如不服本处罚决定，可在接到本处罚决定书之日起60日内向韶关市市场监督管理局或者翁源县人民政府申请行政复议，也可以于6个月内依法向韶关市武江区人民法院提起行政诉讼。</w:t>
      </w:r>
    </w:p>
    <w:p>
      <w:pPr>
        <w:widowControl/>
        <w:wordWrap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wordWrap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wordWrap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wordWrap/>
        <w:spacing w:line="240" w:lineRule="auto"/>
        <w:ind w:right="1280" w:firstLine="600"/>
        <w:jc w:val="right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翁源县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市场监督管理局</w:t>
      </w:r>
    </w:p>
    <w:p>
      <w:pPr>
        <w:wordWrap/>
        <w:spacing w:line="240" w:lineRule="auto"/>
        <w:ind w:right="1280" w:firstLine="600"/>
        <w:jc w:val="center"/>
        <w:textAlignment w:val="auto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        2021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widowControl/>
        <w:wordWrap/>
        <w:snapToGrid w:val="0"/>
        <w:spacing w:line="240" w:lineRule="auto"/>
        <w:ind w:right="64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</w:t>
      </w: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  <w:bookmarkStart w:id="3" w:name="_GoBack"/>
      <w:bookmarkEnd w:id="3"/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pStyle w:val="2"/>
        <w:spacing w:before="1"/>
        <w:ind w:left="163"/>
        <w:rPr>
          <w:rFonts w:hint="eastAsia" w:ascii="Times New Roman" w:hAnsi="Times New Roman" w:eastAsia="仿宋_GB2312" w:cs="仿宋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color w:val="231F20"/>
          <w:spacing w:val="-16"/>
        </w:rPr>
        <w:t>（市场监督管理部门将依法向社会公开行政处罚决定信息）</w:t>
      </w:r>
    </w:p>
    <w:p>
      <w:pPr>
        <w:spacing w:line="500" w:lineRule="exact"/>
        <w:jc w:val="center"/>
      </w:pP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pict>
          <v:line id="直接连接符 6" o:spid="_x0000_s1027" style="position:absolute;left:0;margin-top:-0.2pt;height:0.2pt;width:437.05pt;mso-position-horizontal:center;rotation:0f;z-index:251660288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 w:bidi="ar-SA"/>
        </w:rPr>
        <w:pict>
          <v:line id="直接连接符 4" o:spid="_x0000_s1028" style="position:absolute;left:0;margin-left:0pt;margin-top:1638.35pt;height:0.1pt;width:453.75pt;rotation:0f;z-index:251659264;" o:ole="f" fillcolor="#FFFFFF" filled="f" o:preferrelative="t" stroked="t" coordsize="21600,21600">
            <v:fill on="f" color2="#FFFFFF" focus="0%"/>
            <v:stroke weight="0.7370078740157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altName w:val="MS UI Gothic"/>
    <w:panose1 w:val="020B0502000000000001"/>
    <w:charset w:val="80"/>
    <w:family w:val="auto"/>
    <w:pitch w:val="default"/>
    <w:sig w:usb0="00000000" w:usb1="00000000" w:usb2="00000016" w:usb3="00000000" w:csb0="001A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69F2"/>
    <w:rsid w:val="00CE69F2"/>
    <w:rsid w:val="12FA7E12"/>
    <w:rsid w:val="13462765"/>
    <w:rsid w:val="26F57413"/>
    <w:rsid w:val="288D5494"/>
    <w:rsid w:val="29BC6200"/>
    <w:rsid w:val="2ECD2D46"/>
    <w:rsid w:val="385046DF"/>
    <w:rsid w:val="417F5174"/>
    <w:rsid w:val="5B691B15"/>
    <w:rsid w:val="5D886403"/>
    <w:rsid w:val="69DB471B"/>
    <w:rsid w:val="6B6F110E"/>
    <w:rsid w:val="6D50275E"/>
    <w:rsid w:val="7069119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2021-08-04T01:54:00Z</dcterms:created>
  <dc:creator>李翠菊</dc:creator>
  <cp:lastModifiedBy>吴美琴</cp:lastModifiedBy>
  <cp:lastPrinted>2021-10-13T03:51:00Z</cp:lastPrinted>
  <dcterms:modified xsi:type="dcterms:W3CDTF">2021-10-19T08:44:27Z</dcterms:modified>
  <dc:title>        市场监督管理局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ribbonExt">
    <vt:lpwstr>{"WPSExtOfficeTab":{"OnGetEnabled":false,"OnGetVisible":false}}</vt:lpwstr>
  </property>
</Properties>
</file>