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bookmarkStart w:id="1" w:name="_GoBack"/>
      <w:bookmarkEnd w:id="1"/>
      <w:r>
        <w:rPr>
          <w:rFonts w:hint="eastAsia" w:ascii="Times New Roman" w:hAnsi="Times New Roman" w:eastAsia="仿宋_GB2312" w:cs="Times New Roman"/>
          <w:sz w:val="32"/>
          <w:szCs w:val="32"/>
        </w:rPr>
        <w:t>附件1</w:t>
      </w:r>
    </w:p>
    <w:p>
      <w:pPr>
        <w:rPr>
          <w:rFonts w:ascii="Times New Roman" w:hAnsi="Times New Roman" w:eastAsia="仿宋_GB2312" w:cs="Times New Roman"/>
          <w:sz w:val="32"/>
          <w:szCs w:val="32"/>
        </w:rPr>
      </w:pP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标定地价的基本内容</w:t>
      </w:r>
    </w:p>
    <w:p>
      <w:pPr>
        <w:spacing w:line="560" w:lineRule="exact"/>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一、本次公布的城镇国有建设用地标定地价（以下简称标定地价）的</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范围</w:t>
      </w:r>
      <w:r>
        <w:rPr>
          <w:rFonts w:ascii="Times New Roman" w:hAnsi="Times New Roman" w:eastAsia="仿宋_GB2312" w:cs="Times New Roman"/>
          <w:sz w:val="32"/>
          <w:szCs w:val="32"/>
        </w:rPr>
        <w:t>包括浈江区、武江区建成区及五个建制镇（龙归镇、花坪镇、重阳镇、江湾镇、犁市镇）。</w:t>
      </w:r>
      <w:r>
        <w:rPr>
          <w:rFonts w:hint="eastAsia" w:ascii="Times New Roman" w:hAnsi="Times New Roman" w:eastAsia="仿宋_GB2312" w:cs="Times New Roman"/>
          <w:sz w:val="32"/>
          <w:szCs w:val="32"/>
        </w:rPr>
        <w:t>在工作范围的基础上，根据《标定地价规程》</w:t>
      </w:r>
      <w:r>
        <w:rPr>
          <w:rFonts w:hint="eastAsia" w:ascii="Times New Roman" w:hAnsi="Times New Roman" w:eastAsia="仿宋_GB2312"/>
          <w:color w:val="333333"/>
          <w:sz w:val="32"/>
          <w:szCs w:val="32"/>
        </w:rPr>
        <w:t>（TD/T 1052-2017）</w:t>
      </w:r>
      <w:r>
        <w:rPr>
          <w:rFonts w:hint="eastAsia" w:ascii="Times New Roman" w:hAnsi="Times New Roman" w:eastAsia="仿宋_GB2312" w:cs="Times New Roman"/>
          <w:sz w:val="32"/>
          <w:szCs w:val="32"/>
        </w:rPr>
        <w:t>的要求，依据韶关市区（浈江区、武江区）市场发育程度、应用方向、各用途土地分布的特点综合确定标定地价公示范围，由</w:t>
      </w:r>
      <w:r>
        <w:rPr>
          <w:rFonts w:ascii="Times New Roman" w:hAnsi="Times New Roman" w:eastAsia="仿宋_GB2312" w:cs="Times New Roman"/>
          <w:sz w:val="32"/>
          <w:szCs w:val="32"/>
        </w:rPr>
        <w:t>63</w:t>
      </w:r>
      <w:r>
        <w:rPr>
          <w:rFonts w:hint="eastAsia" w:ascii="Times New Roman" w:hAnsi="Times New Roman" w:eastAsia="仿宋_GB2312" w:cs="Times New Roman"/>
          <w:sz w:val="32"/>
          <w:szCs w:val="32"/>
        </w:rPr>
        <w:t>个标定区域组合构成的公示范围，公示范围面积约</w:t>
      </w:r>
      <w:r>
        <w:rPr>
          <w:rFonts w:ascii="Times New Roman" w:hAnsi="Times New Roman" w:eastAsia="仿宋_GB2312" w:cs="Times New Roman"/>
          <w:sz w:val="32"/>
          <w:szCs w:val="32"/>
        </w:rPr>
        <w:t>37.89</w:t>
      </w:r>
      <w:r>
        <w:rPr>
          <w:rFonts w:hint="eastAsia" w:ascii="Times New Roman" w:hAnsi="Times New Roman" w:eastAsia="仿宋_GB2312" w:cs="Times New Roman"/>
          <w:sz w:val="32"/>
          <w:szCs w:val="32"/>
        </w:rPr>
        <w:t>平方公里。</w:t>
      </w:r>
    </w:p>
    <w:p>
      <w:pPr>
        <w:spacing w:line="560" w:lineRule="exact"/>
        <w:ind w:firstLine="640" w:firstLineChars="200"/>
      </w:pPr>
      <w:r>
        <w:rPr>
          <w:rFonts w:hint="eastAsia" w:ascii="Times New Roman" w:hAnsi="Times New Roman" w:eastAsia="仿宋_GB2312" w:cs="Times New Roman"/>
          <w:sz w:val="32"/>
          <w:szCs w:val="32"/>
        </w:rPr>
        <w:t>二、本次韶关市（浈江区、武江区）2</w:t>
      </w:r>
      <w:r>
        <w:rPr>
          <w:rFonts w:ascii="Times New Roman" w:hAnsi="Times New Roman" w:eastAsia="仿宋_GB2312" w:cs="Times New Roman"/>
          <w:sz w:val="32"/>
          <w:szCs w:val="32"/>
        </w:rPr>
        <w:t>018</w:t>
      </w:r>
      <w:r>
        <w:rPr>
          <w:rFonts w:hint="eastAsia" w:ascii="Times New Roman" w:hAnsi="Times New Roman" w:eastAsia="仿宋_GB2312" w:cs="Times New Roman"/>
          <w:sz w:val="32"/>
          <w:szCs w:val="32"/>
        </w:rPr>
        <w:t>年城镇国有建设用地标定地价体系主要用地类型分为商服用地、住宅用地、混合用地（商住混合用地）、工业用地、公共管理与公共服务用地（公用设施用地）共五种用途。价格单位为元/平方米，币种为人民币。各用途标定地价的内涵见下表：</w:t>
      </w:r>
    </w:p>
    <w:p>
      <w:pPr>
        <w:pStyle w:val="18"/>
        <w:spacing w:line="560" w:lineRule="exact"/>
        <w:ind w:left="8000" w:firstLine="640"/>
      </w:pPr>
      <w:r>
        <w:rPr>
          <w:rFonts w:hint="eastAsia"/>
        </w:rPr>
        <w:t xml:space="preserve"> </w:t>
      </w:r>
      <w:r>
        <w:t xml:space="preserve">  </w:t>
      </w:r>
    </w:p>
    <w:p>
      <w:pPr>
        <w:pStyle w:val="18"/>
        <w:spacing w:line="560" w:lineRule="exact"/>
        <w:ind w:firstLine="640"/>
        <w:sectPr>
          <w:footerReference r:id="rId4" w:type="default"/>
          <w:pgSz w:w="11906" w:h="16838"/>
          <w:pgMar w:top="1474" w:right="1701" w:bottom="1474" w:left="1701" w:header="851" w:footer="652" w:gutter="0"/>
          <w:pgNumType w:start="1"/>
          <w:cols w:space="425" w:num="1"/>
          <w:docGrid w:type="lines" w:linePitch="312" w:charSpace="0"/>
        </w:sect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1429"/>
        <w:gridCol w:w="1587"/>
        <w:gridCol w:w="1871"/>
        <w:gridCol w:w="2738"/>
        <w:gridCol w:w="2446"/>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7"/>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仿宋_GB2312"/>
                <w:b/>
                <w:sz w:val="28"/>
                <w:szCs w:val="28"/>
              </w:rPr>
            </w:pPr>
            <w:r>
              <w:rPr>
                <w:rFonts w:hint="eastAsia" w:ascii="Times New Roman" w:hAnsi="Times New Roman" w:eastAsia="仿宋_GB2312"/>
                <w:b/>
                <w:sz w:val="28"/>
                <w:szCs w:val="28"/>
              </w:rPr>
              <w:t>表1</w:t>
            </w:r>
            <w:r>
              <w:rPr>
                <w:rFonts w:ascii="Times New Roman" w:hAnsi="Times New Roman" w:eastAsia="仿宋_GB2312"/>
                <w:b/>
                <w:sz w:val="28"/>
                <w:szCs w:val="28"/>
              </w:rPr>
              <w:t xml:space="preserve"> </w:t>
            </w:r>
            <w:r>
              <w:rPr>
                <w:rFonts w:hint="eastAsia" w:ascii="Times New Roman" w:hAnsi="Times New Roman" w:eastAsia="仿宋_GB2312"/>
                <w:b/>
                <w:sz w:val="28"/>
                <w:szCs w:val="28"/>
              </w:rPr>
              <w:t>标定地价内涵表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14"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jc w:val="center"/>
              <w:rPr>
                <w:rFonts w:ascii="Times New Roman" w:hAnsi="Times New Roman" w:eastAsia="仿宋_GB2312" w:cs="宋体"/>
                <w:b/>
                <w:bCs/>
                <w:color w:val="000000"/>
                <w:sz w:val="28"/>
                <w:szCs w:val="28"/>
              </w:rPr>
            </w:pPr>
            <w:r>
              <w:rPr>
                <w:rFonts w:hint="eastAsia" w:ascii="Times New Roman" w:hAnsi="Times New Roman" w:eastAsia="仿宋_GB2312" w:cs="宋体"/>
                <w:b/>
                <w:bCs/>
                <w:color w:val="000000"/>
                <w:sz w:val="28"/>
                <w:szCs w:val="28"/>
              </w:rPr>
              <w:t>用地类型</w:t>
            </w:r>
          </w:p>
        </w:tc>
        <w:tc>
          <w:tcPr>
            <w:tcW w:w="56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b/>
                <w:bCs/>
                <w:color w:val="000000"/>
                <w:sz w:val="28"/>
                <w:szCs w:val="28"/>
              </w:rPr>
            </w:pPr>
            <w:r>
              <w:rPr>
                <w:rFonts w:hint="eastAsia" w:ascii="Times New Roman" w:hAnsi="Times New Roman" w:eastAsia="仿宋_GB2312" w:cs="宋体"/>
                <w:b/>
                <w:bCs/>
                <w:color w:val="000000"/>
                <w:sz w:val="28"/>
                <w:szCs w:val="28"/>
              </w:rPr>
              <w:t>土地开发程度</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b/>
                <w:bCs/>
                <w:color w:val="000000"/>
                <w:sz w:val="28"/>
                <w:szCs w:val="28"/>
              </w:rPr>
            </w:pPr>
            <w:r>
              <w:rPr>
                <w:rFonts w:hint="eastAsia" w:ascii="Times New Roman" w:hAnsi="Times New Roman" w:eastAsia="仿宋_GB2312" w:cs="宋体"/>
                <w:b/>
                <w:bCs/>
                <w:color w:val="000000"/>
                <w:sz w:val="28"/>
                <w:szCs w:val="28"/>
              </w:rPr>
              <w:t>现状容积率</w:t>
            </w:r>
          </w:p>
        </w:tc>
        <w:tc>
          <w:tcPr>
            <w:tcW w:w="96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b/>
                <w:bCs/>
                <w:color w:val="000000"/>
                <w:sz w:val="28"/>
                <w:szCs w:val="28"/>
              </w:rPr>
            </w:pPr>
            <w:r>
              <w:rPr>
                <w:rFonts w:hint="eastAsia" w:ascii="Times New Roman" w:hAnsi="Times New Roman" w:eastAsia="仿宋_GB2312" w:cs="宋体"/>
                <w:b/>
                <w:bCs/>
                <w:color w:val="000000"/>
                <w:sz w:val="28"/>
                <w:szCs w:val="28"/>
              </w:rPr>
              <w:t>价格类型</w:t>
            </w:r>
          </w:p>
        </w:tc>
        <w:tc>
          <w:tcPr>
            <w:tcW w:w="863"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b/>
                <w:bCs/>
                <w:color w:val="000000"/>
                <w:sz w:val="28"/>
                <w:szCs w:val="28"/>
              </w:rPr>
            </w:pPr>
            <w:r>
              <w:rPr>
                <w:rFonts w:hint="eastAsia" w:ascii="Times New Roman" w:hAnsi="Times New Roman" w:eastAsia="仿宋_GB2312" w:cs="宋体"/>
                <w:b/>
                <w:bCs/>
                <w:color w:val="000000"/>
                <w:sz w:val="28"/>
                <w:szCs w:val="28"/>
              </w:rPr>
              <w:t>权利特征</w:t>
            </w:r>
          </w:p>
        </w:tc>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b/>
                <w:bCs/>
                <w:color w:val="000000"/>
                <w:sz w:val="28"/>
                <w:szCs w:val="28"/>
              </w:rPr>
            </w:pPr>
            <w:r>
              <w:rPr>
                <w:rFonts w:hint="eastAsia" w:ascii="Times New Roman" w:hAnsi="Times New Roman" w:eastAsia="仿宋_GB2312" w:cs="宋体"/>
                <w:b/>
                <w:bCs/>
                <w:color w:val="000000"/>
                <w:sz w:val="28"/>
                <w:szCs w:val="28"/>
              </w:rPr>
              <w:t>使用年期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商服用地</w:t>
            </w:r>
          </w:p>
        </w:tc>
        <w:tc>
          <w:tcPr>
            <w:tcW w:w="5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sz w:val="28"/>
                <w:szCs w:val="28"/>
                <w:lang w:val="zh-CN"/>
              </w:rPr>
              <w:t>宗地外按现状土地开发程度设定，红线内场地平整</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olor w:val="000000"/>
                <w:sz w:val="28"/>
                <w:szCs w:val="28"/>
              </w:rPr>
            </w:pPr>
            <w:r>
              <w:rPr>
                <w:rFonts w:ascii="Times New Roman" w:hAnsi="Times New Roman" w:eastAsia="仿宋_GB2312"/>
                <w:color w:val="000000" w:themeColor="text1"/>
                <w:spacing w:val="2"/>
                <w:sz w:val="28"/>
                <w:szCs w:val="28"/>
                <w14:textFill>
                  <w14:solidFill>
                    <w14:schemeClr w14:val="tx1"/>
                  </w14:solidFill>
                </w14:textFill>
              </w:rPr>
              <w:t>0.81-2.03</w:t>
            </w:r>
          </w:p>
        </w:tc>
        <w:tc>
          <w:tcPr>
            <w:tcW w:w="96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首层楼面地价</w:t>
            </w:r>
            <w:r>
              <w:rPr>
                <w:rFonts w:ascii="Times New Roman" w:hAnsi="Times New Roman" w:eastAsia="仿宋_GB2312" w:cs="宋体"/>
                <w:color w:val="000000"/>
                <w:sz w:val="28"/>
                <w:szCs w:val="28"/>
              </w:rPr>
              <w:t>/</w:t>
            </w:r>
            <w:r>
              <w:rPr>
                <w:rFonts w:hint="eastAsia" w:ascii="Times New Roman" w:hAnsi="Times New Roman" w:eastAsia="仿宋_GB2312" w:cs="宋体"/>
                <w:color w:val="000000"/>
                <w:sz w:val="28"/>
                <w:szCs w:val="28"/>
              </w:rPr>
              <w:t>平均楼面地价/地面地价</w:t>
            </w:r>
          </w:p>
        </w:tc>
        <w:tc>
          <w:tcPr>
            <w:tcW w:w="8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具有相对完整的国有出让土地权利，不考虑抵押权、地役权等他项权利的限制</w:t>
            </w:r>
          </w:p>
        </w:tc>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ascii="Times New Roman" w:hAnsi="Times New Roman" w:eastAsia="仿宋_GB2312"/>
                <w:color w:val="000000"/>
                <w:sz w:val="28"/>
                <w:szCs w:val="28"/>
              </w:rPr>
              <w:t>40</w:t>
            </w:r>
            <w:r>
              <w:rPr>
                <w:rFonts w:hint="eastAsia" w:ascii="Times New Roman" w:hAnsi="Times New Roman" w:eastAsia="仿宋_GB2312" w:cs="宋体"/>
                <w:color w:val="00000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住宅用地</w:t>
            </w:r>
          </w:p>
        </w:tc>
        <w:tc>
          <w:tcPr>
            <w:tcW w:w="56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宋体"/>
                <w:color w:val="000000"/>
                <w:sz w:val="28"/>
                <w:szCs w:val="28"/>
              </w:rPr>
            </w:pP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olor w:val="000000"/>
                <w:sz w:val="28"/>
                <w:szCs w:val="28"/>
              </w:rPr>
            </w:pPr>
            <w:r>
              <w:rPr>
                <w:rFonts w:ascii="Times New Roman" w:hAnsi="Times New Roman" w:eastAsia="仿宋_GB2312"/>
                <w:color w:val="000000" w:themeColor="text1"/>
                <w:spacing w:val="2"/>
                <w:sz w:val="28"/>
                <w:szCs w:val="28"/>
                <w14:textFill>
                  <w14:solidFill>
                    <w14:schemeClr w14:val="tx1"/>
                  </w14:solidFill>
                </w14:textFill>
              </w:rPr>
              <w:t>0.45-7.12</w:t>
            </w:r>
          </w:p>
        </w:tc>
        <w:tc>
          <w:tcPr>
            <w:tcW w:w="96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平均楼面地价/地面地价</w:t>
            </w:r>
          </w:p>
        </w:tc>
        <w:tc>
          <w:tcPr>
            <w:tcW w:w="8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p>
        </w:tc>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ascii="Times New Roman" w:hAnsi="Times New Roman" w:eastAsia="仿宋_GB2312"/>
                <w:color w:val="000000"/>
                <w:sz w:val="28"/>
                <w:szCs w:val="28"/>
              </w:rPr>
              <w:t>70</w:t>
            </w:r>
            <w:r>
              <w:rPr>
                <w:rFonts w:hint="eastAsia" w:ascii="Times New Roman" w:hAnsi="Times New Roman" w:eastAsia="仿宋_GB2312" w:cs="宋体"/>
                <w:color w:val="00000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混合用地</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商住混合用地</w:t>
            </w:r>
          </w:p>
        </w:tc>
        <w:tc>
          <w:tcPr>
            <w:tcW w:w="56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宋体"/>
                <w:color w:val="000000"/>
                <w:sz w:val="28"/>
                <w:szCs w:val="28"/>
              </w:rPr>
            </w:pP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olor w:val="000000"/>
                <w:sz w:val="28"/>
                <w:szCs w:val="28"/>
              </w:rPr>
            </w:pPr>
            <w:r>
              <w:rPr>
                <w:rFonts w:ascii="Times New Roman" w:hAnsi="Times New Roman" w:eastAsia="仿宋_GB2312"/>
                <w:color w:val="000000" w:themeColor="text1"/>
                <w:spacing w:val="2"/>
                <w:sz w:val="28"/>
                <w:szCs w:val="28"/>
                <w14:textFill>
                  <w14:solidFill>
                    <w14:schemeClr w14:val="tx1"/>
                  </w14:solidFill>
                </w14:textFill>
              </w:rPr>
              <w:t>1.15-7.92</w:t>
            </w:r>
          </w:p>
        </w:tc>
        <w:tc>
          <w:tcPr>
            <w:tcW w:w="96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首层楼面地价</w:t>
            </w:r>
            <w:r>
              <w:rPr>
                <w:rFonts w:ascii="Times New Roman" w:hAnsi="Times New Roman" w:eastAsia="仿宋_GB2312" w:cs="宋体"/>
                <w:color w:val="000000"/>
                <w:sz w:val="28"/>
                <w:szCs w:val="28"/>
              </w:rPr>
              <w:t>/</w:t>
            </w:r>
            <w:r>
              <w:rPr>
                <w:rFonts w:hint="eastAsia" w:ascii="Times New Roman" w:hAnsi="Times New Roman" w:eastAsia="仿宋_GB2312" w:cs="宋体"/>
                <w:color w:val="000000"/>
                <w:sz w:val="28"/>
                <w:szCs w:val="28"/>
              </w:rPr>
              <w:t>平均楼面地价/地面地价</w:t>
            </w:r>
          </w:p>
        </w:tc>
        <w:tc>
          <w:tcPr>
            <w:tcW w:w="8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p>
        </w:tc>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商服用地</w:t>
            </w:r>
            <w:r>
              <w:rPr>
                <w:rFonts w:ascii="Times New Roman" w:hAnsi="Times New Roman" w:eastAsia="仿宋_GB2312"/>
                <w:color w:val="000000"/>
                <w:sz w:val="28"/>
                <w:szCs w:val="28"/>
              </w:rPr>
              <w:t>40</w:t>
            </w:r>
            <w:r>
              <w:rPr>
                <w:rFonts w:hint="eastAsia" w:ascii="Times New Roman" w:hAnsi="Times New Roman" w:eastAsia="仿宋_GB2312" w:cs="宋体"/>
                <w:color w:val="000000"/>
                <w:sz w:val="28"/>
                <w:szCs w:val="28"/>
              </w:rPr>
              <w:t>年，住宅用地</w:t>
            </w:r>
            <w:r>
              <w:rPr>
                <w:rFonts w:ascii="Times New Roman" w:hAnsi="Times New Roman" w:eastAsia="仿宋_GB2312"/>
                <w:color w:val="000000"/>
                <w:sz w:val="28"/>
                <w:szCs w:val="28"/>
              </w:rPr>
              <w:t>70</w:t>
            </w:r>
            <w:r>
              <w:rPr>
                <w:rFonts w:hint="eastAsia" w:ascii="Times New Roman" w:hAnsi="Times New Roman" w:eastAsia="仿宋_GB2312" w:cs="宋体"/>
                <w:color w:val="00000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工业用地</w:t>
            </w:r>
          </w:p>
        </w:tc>
        <w:tc>
          <w:tcPr>
            <w:tcW w:w="56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宋体"/>
                <w:color w:val="000000"/>
                <w:sz w:val="28"/>
                <w:szCs w:val="28"/>
              </w:rPr>
            </w:pP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olor w:val="000000"/>
                <w:sz w:val="28"/>
                <w:szCs w:val="28"/>
              </w:rPr>
            </w:pPr>
            <w:r>
              <w:rPr>
                <w:rFonts w:ascii="Times New Roman" w:hAnsi="Times New Roman" w:eastAsia="仿宋_GB2312"/>
                <w:color w:val="000000" w:themeColor="text1"/>
                <w:spacing w:val="2"/>
                <w:sz w:val="28"/>
                <w:szCs w:val="28"/>
                <w14:textFill>
                  <w14:solidFill>
                    <w14:schemeClr w14:val="tx1"/>
                  </w14:solidFill>
                </w14:textFill>
              </w:rPr>
              <w:t>0.39-2.0</w:t>
            </w:r>
          </w:p>
        </w:tc>
        <w:tc>
          <w:tcPr>
            <w:tcW w:w="96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地面地价</w:t>
            </w:r>
          </w:p>
        </w:tc>
        <w:tc>
          <w:tcPr>
            <w:tcW w:w="8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p>
        </w:tc>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ascii="Times New Roman" w:hAnsi="Times New Roman" w:eastAsia="仿宋_GB2312"/>
                <w:color w:val="000000"/>
                <w:sz w:val="28"/>
                <w:szCs w:val="28"/>
              </w:rPr>
              <w:t>50</w:t>
            </w:r>
            <w:r>
              <w:rPr>
                <w:rFonts w:hint="eastAsia" w:ascii="Times New Roman" w:hAnsi="Times New Roman" w:eastAsia="仿宋_GB2312" w:cs="宋体"/>
                <w:color w:val="00000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sz w:val="28"/>
                <w:szCs w:val="28"/>
              </w:rPr>
              <w:t>公共管理与公共服务用地</w:t>
            </w:r>
          </w:p>
        </w:tc>
        <w:tc>
          <w:tcPr>
            <w:tcW w:w="504"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bookmarkStart w:id="0" w:name="_Hlk74651000"/>
            <w:r>
              <w:rPr>
                <w:rFonts w:hint="eastAsia" w:ascii="Times New Roman" w:hAnsi="Times New Roman" w:eastAsia="仿宋_GB2312" w:cs="宋体"/>
                <w:color w:val="000000"/>
                <w:sz w:val="28"/>
                <w:szCs w:val="28"/>
              </w:rPr>
              <w:t>公用设施用地</w:t>
            </w:r>
            <w:bookmarkEnd w:id="0"/>
          </w:p>
        </w:tc>
        <w:tc>
          <w:tcPr>
            <w:tcW w:w="56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olor w:val="000000"/>
                <w:sz w:val="28"/>
                <w:szCs w:val="28"/>
              </w:rPr>
            </w:pPr>
            <w:r>
              <w:rPr>
                <w:rFonts w:ascii="Times New Roman" w:hAnsi="Times New Roman" w:eastAsia="仿宋_GB2312"/>
                <w:bCs/>
                <w:color w:val="000000" w:themeColor="text1"/>
                <w:spacing w:val="2"/>
                <w:sz w:val="28"/>
                <w:szCs w:val="28"/>
                <w14:textFill>
                  <w14:solidFill>
                    <w14:schemeClr w14:val="tx1"/>
                  </w14:solidFill>
                </w14:textFill>
              </w:rPr>
              <w:t>0.8</w:t>
            </w:r>
          </w:p>
        </w:tc>
        <w:tc>
          <w:tcPr>
            <w:tcW w:w="966"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hint="eastAsia" w:ascii="Times New Roman" w:hAnsi="Times New Roman" w:eastAsia="仿宋_GB2312" w:cs="宋体"/>
                <w:color w:val="000000"/>
                <w:sz w:val="28"/>
                <w:szCs w:val="28"/>
              </w:rPr>
              <w:t>地面地价</w:t>
            </w:r>
          </w:p>
        </w:tc>
        <w:tc>
          <w:tcPr>
            <w:tcW w:w="8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p>
        </w:tc>
        <w:tc>
          <w:tcPr>
            <w:tcW w:w="937"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Times New Roman" w:hAnsi="Times New Roman" w:eastAsia="仿宋_GB2312" w:cs="宋体"/>
                <w:color w:val="000000"/>
                <w:sz w:val="28"/>
                <w:szCs w:val="28"/>
              </w:rPr>
            </w:pPr>
            <w:r>
              <w:rPr>
                <w:rFonts w:ascii="Times New Roman" w:hAnsi="Times New Roman" w:eastAsia="仿宋_GB2312"/>
                <w:color w:val="000000"/>
                <w:sz w:val="28"/>
                <w:szCs w:val="28"/>
              </w:rPr>
              <w:t>50</w:t>
            </w:r>
            <w:r>
              <w:rPr>
                <w:rFonts w:hint="eastAsia" w:ascii="Times New Roman" w:hAnsi="Times New Roman" w:eastAsia="仿宋_GB2312" w:cs="宋体"/>
                <w:color w:val="000000"/>
                <w:sz w:val="28"/>
                <w:szCs w:val="28"/>
              </w:rPr>
              <w:t>年</w:t>
            </w:r>
          </w:p>
        </w:tc>
      </w:tr>
    </w:tbl>
    <w:p>
      <w:pPr>
        <w:spacing w:line="40" w:lineRule="exact"/>
        <w:rPr>
          <w:sz w:val="24"/>
          <w:szCs w:val="24"/>
        </w:rPr>
      </w:pPr>
    </w:p>
    <w:p>
      <w:pPr>
        <w:ind w:firstLine="400" w:firstLineChars="200"/>
        <w:jc w:val="left"/>
        <w:rPr>
          <w:rFonts w:ascii="仿宋_GB2312" w:hAnsi="宋体"/>
          <w:sz w:val="20"/>
          <w:szCs w:val="20"/>
        </w:rPr>
      </w:pPr>
    </w:p>
    <w:p>
      <w:pPr>
        <w:jc w:val="right"/>
      </w:pPr>
    </w:p>
    <w:p>
      <w:pPr>
        <w:jc w:val="right"/>
        <w:sectPr>
          <w:pgSz w:w="16838" w:h="11906" w:orient="landscape"/>
          <w:pgMar w:top="1800" w:right="1440" w:bottom="1800" w:left="1440" w:header="851" w:footer="992" w:gutter="0"/>
          <w:cols w:space="425" w:num="1"/>
          <w:docGrid w:type="lines" w:linePitch="435" w:charSpace="0"/>
        </w:sect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三、本次标定地价的估价期日设定为2019年1月1日。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四、参考《土地利用现状分类》（GB/T 21010-2017），进一步将标定地价的土地用途细分至二级类。具体如下表：</w:t>
      </w:r>
    </w:p>
    <w:p>
      <w:pPr>
        <w:widowControl/>
        <w:jc w:val="center"/>
        <w:rPr>
          <w:rFonts w:ascii="Times New Roman" w:hAnsi="Times New Roman" w:eastAsia="仿宋_GB2312"/>
          <w:b/>
          <w:sz w:val="28"/>
          <w:szCs w:val="28"/>
        </w:rPr>
      </w:pPr>
      <w:r>
        <w:rPr>
          <w:rFonts w:hint="eastAsia" w:ascii="Times New Roman" w:hAnsi="Times New Roman" w:eastAsia="仿宋_GB2312"/>
          <w:b/>
          <w:sz w:val="28"/>
          <w:szCs w:val="28"/>
        </w:rPr>
        <w:t>表</w:t>
      </w:r>
      <w:r>
        <w:rPr>
          <w:rFonts w:ascii="Times New Roman" w:hAnsi="Times New Roman" w:eastAsia="仿宋_GB2312"/>
          <w:b/>
          <w:sz w:val="28"/>
          <w:szCs w:val="28"/>
        </w:rPr>
        <w:t xml:space="preserve">2 </w:t>
      </w:r>
      <w:r>
        <w:rPr>
          <w:rFonts w:hint="eastAsia" w:ascii="Times New Roman" w:hAnsi="Times New Roman" w:eastAsia="仿宋_GB2312"/>
          <w:b/>
          <w:sz w:val="28"/>
          <w:szCs w:val="28"/>
        </w:rPr>
        <w:t>标定地价土地用途分类表</w:t>
      </w:r>
    </w:p>
    <w:tbl>
      <w:tblPr>
        <w:tblStyle w:val="10"/>
        <w:tblW w:w="4870" w:type="pct"/>
        <w:jc w:val="center"/>
        <w:tblLayout w:type="fixed"/>
        <w:tblCellMar>
          <w:top w:w="0" w:type="dxa"/>
          <w:left w:w="108" w:type="dxa"/>
          <w:bottom w:w="0" w:type="dxa"/>
          <w:right w:w="108" w:type="dxa"/>
        </w:tblCellMar>
      </w:tblPr>
      <w:tblGrid>
        <w:gridCol w:w="1161"/>
        <w:gridCol w:w="1022"/>
        <w:gridCol w:w="2382"/>
        <w:gridCol w:w="3735"/>
      </w:tblGrid>
      <w:tr>
        <w:tblPrEx>
          <w:tblCellMar>
            <w:top w:w="0" w:type="dxa"/>
            <w:left w:w="108" w:type="dxa"/>
            <w:bottom w:w="0" w:type="dxa"/>
            <w:right w:w="108" w:type="dxa"/>
          </w:tblCellMar>
        </w:tblPrEx>
        <w:trPr>
          <w:trHeight w:val="369" w:hRule="atLeast"/>
          <w:tblHeader/>
          <w:jc w:val="center"/>
        </w:trPr>
        <w:tc>
          <w:tcPr>
            <w:tcW w:w="131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adjustRightInd w:val="0"/>
              <w:snapToGrid w:val="0"/>
              <w:spacing w:line="240" w:lineRule="auto"/>
              <w:rPr>
                <w:bCs/>
                <w:sz w:val="28"/>
              </w:rPr>
            </w:pPr>
            <w:r>
              <w:rPr>
                <w:bCs/>
                <w:sz w:val="28"/>
              </w:rPr>
              <w:t>标定地价评估用途</w:t>
            </w:r>
          </w:p>
        </w:tc>
        <w:tc>
          <w:tcPr>
            <w:tcW w:w="1435" w:type="pct"/>
            <w:tcBorders>
              <w:top w:val="single" w:color="auto" w:sz="4" w:space="0"/>
              <w:left w:val="nil"/>
              <w:bottom w:val="single" w:color="auto" w:sz="4" w:space="0"/>
              <w:right w:val="single" w:color="auto" w:sz="4" w:space="0"/>
            </w:tcBorders>
            <w:shd w:val="clear" w:color="auto" w:fill="auto"/>
            <w:vAlign w:val="center"/>
          </w:tcPr>
          <w:p>
            <w:pPr>
              <w:pStyle w:val="20"/>
              <w:adjustRightInd w:val="0"/>
              <w:snapToGrid w:val="0"/>
              <w:spacing w:line="240" w:lineRule="auto"/>
              <w:rPr>
                <w:bCs/>
                <w:sz w:val="28"/>
              </w:rPr>
            </w:pPr>
            <w:r>
              <w:rPr>
                <w:bCs/>
                <w:sz w:val="28"/>
              </w:rPr>
              <w:t>一级类</w:t>
            </w:r>
          </w:p>
        </w:tc>
        <w:tc>
          <w:tcPr>
            <w:tcW w:w="2250" w:type="pct"/>
            <w:tcBorders>
              <w:top w:val="single" w:color="auto" w:sz="4" w:space="0"/>
              <w:left w:val="nil"/>
              <w:bottom w:val="single" w:color="auto" w:sz="4" w:space="0"/>
              <w:right w:val="single" w:color="auto" w:sz="4" w:space="0"/>
            </w:tcBorders>
            <w:shd w:val="clear" w:color="auto" w:fill="auto"/>
            <w:vAlign w:val="center"/>
          </w:tcPr>
          <w:p>
            <w:pPr>
              <w:pStyle w:val="20"/>
              <w:adjustRightInd w:val="0"/>
              <w:snapToGrid w:val="0"/>
              <w:spacing w:line="240" w:lineRule="auto"/>
              <w:rPr>
                <w:bCs/>
                <w:sz w:val="28"/>
              </w:rPr>
            </w:pPr>
            <w:r>
              <w:rPr>
                <w:bCs/>
                <w:sz w:val="28"/>
              </w:rPr>
              <w:t>二级类</w:t>
            </w:r>
          </w:p>
        </w:tc>
      </w:tr>
      <w:tr>
        <w:tblPrEx>
          <w:tblCellMar>
            <w:top w:w="0" w:type="dxa"/>
            <w:left w:w="108" w:type="dxa"/>
            <w:bottom w:w="0" w:type="dxa"/>
            <w:right w:w="108" w:type="dxa"/>
          </w:tblCellMar>
        </w:tblPrEx>
        <w:trPr>
          <w:trHeight w:val="369" w:hRule="atLeast"/>
          <w:tblHeader/>
          <w:jc w:val="center"/>
        </w:trPr>
        <w:tc>
          <w:tcPr>
            <w:tcW w:w="699" w:type="pct"/>
            <w:vMerge w:val="restart"/>
            <w:tcBorders>
              <w:top w:val="single" w:color="auto" w:sz="4" w:space="0"/>
              <w:left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商服用地</w:t>
            </w:r>
          </w:p>
        </w:tc>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商</w:t>
            </w:r>
            <w:r>
              <w:rPr>
                <w:rFonts w:hint="eastAsia"/>
                <w:b w:val="0"/>
                <w:sz w:val="28"/>
              </w:rPr>
              <w:t>业</w:t>
            </w:r>
            <w:r>
              <w:rPr>
                <w:b w:val="0"/>
                <w:sz w:val="28"/>
              </w:rPr>
              <w:t>用地</w:t>
            </w:r>
          </w:p>
        </w:tc>
        <w:tc>
          <w:tcPr>
            <w:tcW w:w="143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商服用地</w:t>
            </w:r>
          </w:p>
        </w:tc>
        <w:tc>
          <w:tcPr>
            <w:tcW w:w="2250" w:type="pct"/>
            <w:tcBorders>
              <w:top w:val="single" w:color="auto" w:sz="4" w:space="0"/>
              <w:left w:val="nil"/>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零售商业用地、批发市场用地、餐饮用地、其他商服用地</w:t>
            </w:r>
          </w:p>
        </w:tc>
      </w:tr>
      <w:tr>
        <w:tblPrEx>
          <w:tblCellMar>
            <w:top w:w="0" w:type="dxa"/>
            <w:left w:w="108" w:type="dxa"/>
            <w:bottom w:w="0" w:type="dxa"/>
            <w:right w:w="108" w:type="dxa"/>
          </w:tblCellMar>
        </w:tblPrEx>
        <w:trPr>
          <w:trHeight w:val="369" w:hRule="atLeast"/>
          <w:tblHeader/>
          <w:jc w:val="center"/>
        </w:trPr>
        <w:tc>
          <w:tcPr>
            <w:tcW w:w="699" w:type="pct"/>
            <w:vMerge w:val="continue"/>
            <w:tcBorders>
              <w:left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p>
        </w:tc>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办公用地</w:t>
            </w:r>
          </w:p>
        </w:tc>
        <w:tc>
          <w:tcPr>
            <w:tcW w:w="1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p>
        </w:tc>
        <w:tc>
          <w:tcPr>
            <w:tcW w:w="2250" w:type="pct"/>
            <w:tcBorders>
              <w:top w:val="single" w:color="auto" w:sz="4" w:space="0"/>
              <w:left w:val="nil"/>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商务金融用地</w:t>
            </w:r>
          </w:p>
        </w:tc>
      </w:tr>
      <w:tr>
        <w:tblPrEx>
          <w:tblCellMar>
            <w:top w:w="0" w:type="dxa"/>
            <w:left w:w="108" w:type="dxa"/>
            <w:bottom w:w="0" w:type="dxa"/>
            <w:right w:w="108" w:type="dxa"/>
          </w:tblCellMar>
        </w:tblPrEx>
        <w:trPr>
          <w:trHeight w:val="369" w:hRule="atLeast"/>
          <w:tblHeader/>
          <w:jc w:val="center"/>
        </w:trPr>
        <w:tc>
          <w:tcPr>
            <w:tcW w:w="699" w:type="pct"/>
            <w:vMerge w:val="continue"/>
            <w:tcBorders>
              <w:left w:val="single" w:color="auto" w:sz="4" w:space="0"/>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p>
        </w:tc>
        <w:tc>
          <w:tcPr>
            <w:tcW w:w="61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商办混合用地</w:t>
            </w:r>
          </w:p>
        </w:tc>
        <w:tc>
          <w:tcPr>
            <w:tcW w:w="143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p>
        </w:tc>
        <w:tc>
          <w:tcPr>
            <w:tcW w:w="2250" w:type="pct"/>
            <w:tcBorders>
              <w:top w:val="single" w:color="auto" w:sz="4" w:space="0"/>
              <w:left w:val="nil"/>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零售商业用地、批发市场用地、餐饮用地、其他商服用地、商务金融用地</w:t>
            </w:r>
          </w:p>
        </w:tc>
      </w:tr>
      <w:tr>
        <w:tblPrEx>
          <w:tblCellMar>
            <w:top w:w="0" w:type="dxa"/>
            <w:left w:w="108" w:type="dxa"/>
            <w:bottom w:w="0" w:type="dxa"/>
            <w:right w:w="108" w:type="dxa"/>
          </w:tblCellMar>
        </w:tblPrEx>
        <w:trPr>
          <w:trHeight w:val="369" w:hRule="atLeast"/>
          <w:tblHeader/>
          <w:jc w:val="center"/>
        </w:trPr>
        <w:tc>
          <w:tcPr>
            <w:tcW w:w="131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住宅用地</w:t>
            </w:r>
            <w:r>
              <w:rPr>
                <w:rStyle w:val="14"/>
                <w:b w:val="0"/>
                <w:sz w:val="28"/>
              </w:rPr>
              <w:footnoteReference w:id="0"/>
            </w:r>
          </w:p>
        </w:tc>
        <w:tc>
          <w:tcPr>
            <w:tcW w:w="1435" w:type="pct"/>
            <w:tcBorders>
              <w:top w:val="single" w:color="auto" w:sz="4" w:space="0"/>
              <w:left w:val="nil"/>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住宅用地</w:t>
            </w:r>
          </w:p>
        </w:tc>
        <w:tc>
          <w:tcPr>
            <w:tcW w:w="2250" w:type="pct"/>
            <w:tcBorders>
              <w:top w:val="nil"/>
              <w:left w:val="nil"/>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城镇住宅用地</w:t>
            </w:r>
          </w:p>
        </w:tc>
      </w:tr>
      <w:tr>
        <w:tblPrEx>
          <w:tblCellMar>
            <w:top w:w="0" w:type="dxa"/>
            <w:left w:w="108" w:type="dxa"/>
            <w:bottom w:w="0" w:type="dxa"/>
            <w:right w:w="108" w:type="dxa"/>
          </w:tblCellMar>
        </w:tblPrEx>
        <w:trPr>
          <w:trHeight w:val="369" w:hRule="atLeast"/>
          <w:tblHeader/>
          <w:jc w:val="center"/>
        </w:trPr>
        <w:tc>
          <w:tcPr>
            <w:tcW w:w="699" w:type="pct"/>
            <w:tcBorders>
              <w:top w:val="nil"/>
              <w:left w:val="single" w:color="auto" w:sz="4" w:space="0"/>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混合用地</w:t>
            </w:r>
          </w:p>
        </w:tc>
        <w:tc>
          <w:tcPr>
            <w:tcW w:w="616" w:type="pct"/>
            <w:tcBorders>
              <w:top w:val="nil"/>
              <w:left w:val="nil"/>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商住混合用地</w:t>
            </w:r>
          </w:p>
        </w:tc>
        <w:tc>
          <w:tcPr>
            <w:tcW w:w="1435" w:type="pct"/>
            <w:tcBorders>
              <w:top w:val="nil"/>
              <w:left w:val="single" w:color="auto" w:sz="4" w:space="0"/>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商服用地、住宅用地</w:t>
            </w:r>
          </w:p>
        </w:tc>
        <w:tc>
          <w:tcPr>
            <w:tcW w:w="2250" w:type="pct"/>
            <w:tcBorders>
              <w:top w:val="nil"/>
              <w:left w:val="nil"/>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零售商业用地、批发市场用地、餐饮用地、其他商服用地、城镇住宅用地</w:t>
            </w:r>
          </w:p>
        </w:tc>
      </w:tr>
      <w:tr>
        <w:tblPrEx>
          <w:tblCellMar>
            <w:top w:w="0" w:type="dxa"/>
            <w:left w:w="108" w:type="dxa"/>
            <w:bottom w:w="0" w:type="dxa"/>
            <w:right w:w="108" w:type="dxa"/>
          </w:tblCellMar>
        </w:tblPrEx>
        <w:trPr>
          <w:trHeight w:val="369" w:hRule="atLeast"/>
          <w:tblHeader/>
          <w:jc w:val="center"/>
        </w:trPr>
        <w:tc>
          <w:tcPr>
            <w:tcW w:w="131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工业用地</w:t>
            </w:r>
          </w:p>
        </w:tc>
        <w:tc>
          <w:tcPr>
            <w:tcW w:w="1435" w:type="pct"/>
            <w:tcBorders>
              <w:top w:val="nil"/>
              <w:left w:val="nil"/>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工矿仓储用地</w:t>
            </w:r>
          </w:p>
        </w:tc>
        <w:tc>
          <w:tcPr>
            <w:tcW w:w="2250" w:type="pct"/>
            <w:tcBorders>
              <w:top w:val="nil"/>
              <w:left w:val="nil"/>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工业用地、仓储用地</w:t>
            </w:r>
          </w:p>
        </w:tc>
      </w:tr>
      <w:tr>
        <w:tblPrEx>
          <w:tblCellMar>
            <w:top w:w="0" w:type="dxa"/>
            <w:left w:w="108" w:type="dxa"/>
            <w:bottom w:w="0" w:type="dxa"/>
            <w:right w:w="108" w:type="dxa"/>
          </w:tblCellMar>
        </w:tblPrEx>
        <w:trPr>
          <w:trHeight w:val="1468" w:hRule="atLeast"/>
          <w:tblHeader/>
          <w:jc w:val="center"/>
        </w:trPr>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rFonts w:hint="eastAsia"/>
                <w:b w:val="0"/>
                <w:sz w:val="28"/>
              </w:rPr>
              <w:t>公共管理与公共服务用地</w:t>
            </w:r>
          </w:p>
        </w:tc>
        <w:tc>
          <w:tcPr>
            <w:tcW w:w="616" w:type="pct"/>
            <w:tcBorders>
              <w:top w:val="single" w:color="auto" w:sz="4" w:space="0"/>
              <w:left w:val="single" w:color="auto" w:sz="4" w:space="0"/>
              <w:bottom w:val="single" w:color="auto" w:sz="4" w:space="0"/>
              <w:right w:val="single" w:color="auto" w:sz="6" w:space="0"/>
            </w:tcBorders>
            <w:shd w:val="clear" w:color="auto" w:fill="auto"/>
            <w:vAlign w:val="center"/>
          </w:tcPr>
          <w:p>
            <w:pPr>
              <w:pStyle w:val="20"/>
              <w:adjustRightInd w:val="0"/>
              <w:snapToGrid w:val="0"/>
              <w:spacing w:line="240" w:lineRule="auto"/>
              <w:rPr>
                <w:b w:val="0"/>
                <w:sz w:val="28"/>
              </w:rPr>
            </w:pPr>
            <w:r>
              <w:rPr>
                <w:b w:val="0"/>
                <w:sz w:val="28"/>
              </w:rPr>
              <w:t>公用设施用地</w:t>
            </w:r>
          </w:p>
        </w:tc>
        <w:tc>
          <w:tcPr>
            <w:tcW w:w="1435" w:type="pct"/>
            <w:tcBorders>
              <w:top w:val="single" w:color="auto" w:sz="4" w:space="0"/>
              <w:left w:val="single" w:color="auto" w:sz="6" w:space="0"/>
              <w:bottom w:val="single" w:color="auto" w:sz="4" w:space="0"/>
              <w:right w:val="single" w:color="auto" w:sz="6" w:space="0"/>
            </w:tcBorders>
            <w:shd w:val="clear" w:color="auto" w:fill="auto"/>
            <w:vAlign w:val="center"/>
          </w:tcPr>
          <w:p>
            <w:pPr>
              <w:pStyle w:val="20"/>
              <w:adjustRightInd w:val="0"/>
              <w:snapToGrid w:val="0"/>
              <w:spacing w:line="240" w:lineRule="auto"/>
              <w:rPr>
                <w:b w:val="0"/>
                <w:sz w:val="28"/>
              </w:rPr>
            </w:pPr>
            <w:r>
              <w:rPr>
                <w:b w:val="0"/>
                <w:sz w:val="28"/>
              </w:rPr>
              <w:t>公共管理与公共服务用地</w:t>
            </w:r>
          </w:p>
        </w:tc>
        <w:tc>
          <w:tcPr>
            <w:tcW w:w="2250" w:type="pct"/>
            <w:tcBorders>
              <w:top w:val="single" w:color="auto" w:sz="4" w:space="0"/>
              <w:left w:val="single" w:color="auto" w:sz="6" w:space="0"/>
              <w:bottom w:val="single" w:color="auto" w:sz="4" w:space="0"/>
              <w:right w:val="single" w:color="auto" w:sz="4" w:space="0"/>
            </w:tcBorders>
            <w:shd w:val="clear" w:color="auto" w:fill="auto"/>
            <w:vAlign w:val="center"/>
          </w:tcPr>
          <w:p>
            <w:pPr>
              <w:pStyle w:val="20"/>
              <w:adjustRightInd w:val="0"/>
              <w:snapToGrid w:val="0"/>
              <w:spacing w:line="240" w:lineRule="auto"/>
              <w:rPr>
                <w:b w:val="0"/>
                <w:sz w:val="28"/>
              </w:rPr>
            </w:pPr>
            <w:r>
              <w:rPr>
                <w:b w:val="0"/>
                <w:sz w:val="28"/>
              </w:rPr>
              <w:t>公用设施用地</w:t>
            </w:r>
          </w:p>
        </w:tc>
      </w:tr>
    </w:tbl>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五、标定地价将标定区域、标准宗地和公示信息表予以公布。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六、韶关市自然资源局将根据土地市场的变化情况对标定地价进行更新修订，经市政府批准后，对外公布执行。</w:t>
      </w: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附件2</w:t>
      </w:r>
    </w:p>
    <w:p>
      <w:pPr>
        <w:spacing w:line="560" w:lineRule="exact"/>
        <w:jc w:val="center"/>
        <w:rPr>
          <w:rFonts w:ascii="方正小标宋简体" w:hAnsi="Times New Roman" w:eastAsia="方正小标宋简体" w:cs="Times New Roman"/>
          <w:sz w:val="32"/>
          <w:szCs w:val="32"/>
        </w:rPr>
      </w:pPr>
      <w:r>
        <w:rPr>
          <w:rFonts w:hint="eastAsia" w:ascii="方正小标宋简体" w:hAnsi="Times New Roman" w:eastAsia="方正小标宋简体" w:cs="Times New Roman"/>
          <w:sz w:val="32"/>
          <w:szCs w:val="32"/>
        </w:rPr>
        <w:t>韶关市（浈江区、武江区）</w:t>
      </w:r>
      <w:r>
        <w:rPr>
          <w:rFonts w:ascii="方正小标宋简体" w:hAnsi="Times New Roman" w:eastAsia="方正小标宋简体" w:cs="Times New Roman"/>
          <w:sz w:val="32"/>
          <w:szCs w:val="32"/>
        </w:rPr>
        <w:t>2018年城镇国有建设用地标定地价公示信息</w:t>
      </w:r>
      <w:r>
        <w:rPr>
          <w:rFonts w:hint="eastAsia" w:ascii="方正小标宋简体" w:hAnsi="Times New Roman" w:eastAsia="方正小标宋简体" w:cs="Times New Roman"/>
          <w:sz w:val="32"/>
          <w:szCs w:val="32"/>
        </w:rPr>
        <w:t>表</w:t>
      </w:r>
    </w:p>
    <w:p>
      <w:pPr>
        <w:ind w:firstLine="240" w:firstLineChars="100"/>
        <w:rPr>
          <w:rFonts w:ascii="Times New Roman" w:hAnsi="Times New Roman" w:eastAsia="仿宋_GB2312" w:cs="仿宋_GB2312"/>
          <w:sz w:val="24"/>
        </w:rPr>
      </w:pPr>
      <w:r>
        <w:rPr>
          <w:rFonts w:hint="eastAsia" w:ascii="Times New Roman" w:hAnsi="Times New Roman" w:eastAsia="仿宋_GB2312" w:cs="仿宋_GB2312"/>
          <w:sz w:val="24"/>
        </w:rPr>
        <w:t>市县名称：韶关市（浈江区、武江区）                                                                    地价期日：20</w:t>
      </w:r>
      <w:r>
        <w:rPr>
          <w:rFonts w:ascii="Times New Roman" w:hAnsi="Times New Roman" w:eastAsia="仿宋_GB2312" w:cs="仿宋_GB2312"/>
          <w:sz w:val="24"/>
        </w:rPr>
        <w:t>19</w:t>
      </w:r>
      <w:r>
        <w:rPr>
          <w:rFonts w:hint="eastAsia" w:ascii="Times New Roman" w:hAnsi="Times New Roman" w:eastAsia="仿宋_GB2312" w:cs="仿宋_GB2312"/>
          <w:sz w:val="24"/>
        </w:rPr>
        <w:t>年1月1日</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1146"/>
        <w:gridCol w:w="861"/>
        <w:gridCol w:w="1296"/>
        <w:gridCol w:w="1150"/>
        <w:gridCol w:w="861"/>
        <w:gridCol w:w="718"/>
        <w:gridCol w:w="1153"/>
        <w:gridCol w:w="1006"/>
        <w:gridCol w:w="721"/>
        <w:gridCol w:w="718"/>
        <w:gridCol w:w="1006"/>
        <w:gridCol w:w="861"/>
        <w:gridCol w:w="865"/>
        <w:gridCol w:w="1006"/>
        <w:gridCol w:w="940"/>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39"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序号</w:t>
            </w:r>
          </w:p>
        </w:tc>
        <w:tc>
          <w:tcPr>
            <w:tcW w:w="367"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标准宗地编码</w:t>
            </w:r>
          </w:p>
        </w:tc>
        <w:tc>
          <w:tcPr>
            <w:tcW w:w="276"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行政区</w:t>
            </w:r>
          </w:p>
        </w:tc>
        <w:tc>
          <w:tcPr>
            <w:tcW w:w="415"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标准宗地名称</w:t>
            </w:r>
          </w:p>
        </w:tc>
        <w:tc>
          <w:tcPr>
            <w:tcW w:w="368"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土地位置</w:t>
            </w:r>
          </w:p>
        </w:tc>
        <w:tc>
          <w:tcPr>
            <w:tcW w:w="276"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用途</w:t>
            </w:r>
          </w:p>
        </w:tc>
        <w:tc>
          <w:tcPr>
            <w:tcW w:w="230"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权利类型</w:t>
            </w:r>
          </w:p>
        </w:tc>
        <w:tc>
          <w:tcPr>
            <w:tcW w:w="369"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标准宗地用地面积(平方米)</w:t>
            </w:r>
          </w:p>
        </w:tc>
        <w:tc>
          <w:tcPr>
            <w:tcW w:w="322"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各用途比例</w:t>
            </w:r>
          </w:p>
        </w:tc>
        <w:tc>
          <w:tcPr>
            <w:tcW w:w="231"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容积率</w:t>
            </w:r>
          </w:p>
        </w:tc>
        <w:tc>
          <w:tcPr>
            <w:tcW w:w="230"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开发程度</w:t>
            </w:r>
          </w:p>
        </w:tc>
        <w:tc>
          <w:tcPr>
            <w:tcW w:w="322"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设定使用年期</w:t>
            </w:r>
          </w:p>
        </w:tc>
        <w:tc>
          <w:tcPr>
            <w:tcW w:w="553" w:type="pct"/>
            <w:gridSpan w:val="2"/>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标定地价(元/平方米)</w:t>
            </w:r>
          </w:p>
        </w:tc>
        <w:tc>
          <w:tcPr>
            <w:tcW w:w="322"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各用途价格（元/平方米）</w:t>
            </w:r>
          </w:p>
        </w:tc>
        <w:tc>
          <w:tcPr>
            <w:tcW w:w="301"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基准地价级别</w:t>
            </w:r>
          </w:p>
        </w:tc>
        <w:tc>
          <w:tcPr>
            <w:tcW w:w="279" w:type="pct"/>
            <w:vMerge w:val="restar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139"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367"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276"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415"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368"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276"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230"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369"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322"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231"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230"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322"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地面地价</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r>
              <w:rPr>
                <w:rFonts w:hint="eastAsia" w:ascii="Times New Roman" w:hAnsi="Times New Roman" w:eastAsia="仿宋_GB2312" w:cs="宋体"/>
                <w:b/>
                <w:bCs/>
                <w:color w:val="000000"/>
                <w:kern w:val="0"/>
                <w:szCs w:val="21"/>
              </w:rPr>
              <w:t>平均楼面地价</w:t>
            </w:r>
          </w:p>
        </w:tc>
        <w:tc>
          <w:tcPr>
            <w:tcW w:w="322"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301"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c>
          <w:tcPr>
            <w:tcW w:w="279" w:type="pct"/>
            <w:vMerge w:val="continue"/>
            <w:vAlign w:val="center"/>
          </w:tcPr>
          <w:p>
            <w:pPr>
              <w:widowControl/>
              <w:adjustRightInd w:val="0"/>
              <w:snapToGrid w:val="0"/>
              <w:spacing w:line="240" w:lineRule="exact"/>
              <w:jc w:val="center"/>
              <w:rPr>
                <w:rFonts w:ascii="Times New Roman" w:hAnsi="Times New Roman" w:eastAsia="仿宋_GB2312"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440203G060100201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丽珠集团利民制药厂</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武江区工业西路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122338</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0.75</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579</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440203G060100301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广东丹霞农机有限公司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武江区莞韶产业园</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38071</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0.87</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450</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工业：3级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440203G060100401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韶关市韶瑞重工有限公司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武江区武江科技工业园片</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62534</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0.92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458</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工业：3级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440203G060100501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韶能集团韶关宏大齿轮有限公司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武江区沐溪工业园</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145878</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0.73</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459</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工业：3级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440203G060100601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广东丹霞生物制药有限公司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武江区沐溪工业园</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268921</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1.3</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455</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工业：3级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440203G060100701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韶关市莱雅新化工科技有限公司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武江区武江区甘棠工业园</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99171</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436</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工业：3级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440203H070100101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奥园小区</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武江区塘湾片区</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49443</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76.72%</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23.28%</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2.52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5133</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2037</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2248</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3016</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待开发用地，按规划条件评估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440203H070100201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云星钱隆华府</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武江区武江北路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91486</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65.66%</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34.34%</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5994</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1873</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2210</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3326</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待开发用地，按规划条件评估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440203H070100301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卓越雅苑</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武江区工业西路以西</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8563</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90.56%</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9.44%</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5.38</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8662</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1610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1568</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3058</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商服：4级、住宅：3级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440203H070100401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汇展华城</w:t>
            </w:r>
            <w:r>
              <w:rPr>
                <w:rFonts w:ascii="Times New Roman" w:hAnsi="Times New Roman" w:eastAsia="仿宋_GB2312" w:cs="Times New Roman"/>
                <w:color w:val="000000"/>
                <w:kern w:val="0"/>
                <w:szCs w:val="21"/>
              </w:rPr>
              <w:t>-</w:t>
            </w:r>
            <w:r>
              <w:rPr>
                <w:rFonts w:hint="eastAsia" w:ascii="Times New Roman" w:hAnsi="Times New Roman" w:eastAsia="仿宋_GB2312" w:cs="宋体"/>
                <w:color w:val="000000"/>
                <w:kern w:val="0"/>
                <w:szCs w:val="21"/>
              </w:rPr>
              <w:t>二区</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武江区工业中路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18425</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85.51%</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14.49%</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3.72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9244</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2485</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2405</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5157</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440203H070100601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景泰花园</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武江区松山路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7375</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94.48%</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5.52%</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2.98</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5766</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1935</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1927</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2070</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440203H070100701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优山美地</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武江区宝盖路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19856</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92.53%</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7.47%</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2.68</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5100</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1903</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1914</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2311</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13</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440203H070101001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雅居蓝湾</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武江区建设路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23026</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86.42%</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13.58%</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3.49</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5940</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1702</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1648</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2961</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商服：3级、住宅：3级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14</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440203H070101401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世纪新城</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武江区新华南路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13869</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67.44%</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32.56%</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7.92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19824</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2503</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2224</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6093</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商服：2级、住宅：1级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15</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440203H070101501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芙蓉丽景</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武江区芙蓉北路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13336</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90.07%</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9.93%</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2.88</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5121</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1778</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1736</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3192</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16</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440203H070101601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欧浦御龙湾一期</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武江区新民路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73080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98.74%</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1.26%</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3.13</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7446</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2379</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2365</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3515</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17</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440203H070101801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明日星城</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武江区韶关大道北段</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31368</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94.89%</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5.11%</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2.76</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5112</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1852</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1804</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2730</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18</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440203H070101901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韶关富力城</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武江区芙蓉北路与韶关大道交汇处</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122053</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87.28%</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12.72%</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3.31</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5845</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1766</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1830</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2809</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待开发用地，按规划条件评估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440203H070102101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碧桂园太阳城芙蓉湾</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武江区西联芙蓉新村</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253471</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96.98%</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3.02%</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2.36</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5157</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2185</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2159</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3267</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440203H070102201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宝能公馆</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武江区芙蓉新城</w:t>
            </w:r>
            <w:r>
              <w:rPr>
                <w:rFonts w:ascii="Times New Roman" w:hAnsi="Times New Roman" w:eastAsia="仿宋_GB2312" w:cs="Times New Roman"/>
                <w:color w:val="000000"/>
                <w:kern w:val="0"/>
                <w:szCs w:val="21"/>
              </w:rPr>
              <w:t>XL0616</w:t>
            </w:r>
            <w:r>
              <w:rPr>
                <w:rFonts w:hint="eastAsia" w:ascii="Times New Roman" w:hAnsi="Times New Roman" w:eastAsia="仿宋_GB2312" w:cs="宋体"/>
                <w:color w:val="000000"/>
                <w:kern w:val="0"/>
                <w:szCs w:val="21"/>
              </w:rPr>
              <w:t>号地块</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49849</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90.56%</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9.44%</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2.56</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5094</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1990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1981</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3016</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待开发用地，按规划条件评估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21</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440203H070102301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恒大城二期</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武江区芙蓉新城火车站</w:t>
            </w:r>
            <w:r>
              <w:rPr>
                <w:rFonts w:ascii="Times New Roman" w:hAnsi="Times New Roman" w:eastAsia="仿宋_GB2312" w:cs="Times New Roman"/>
                <w:color w:val="000000"/>
                <w:kern w:val="0"/>
                <w:szCs w:val="21"/>
              </w:rPr>
              <w:t>01</w:t>
            </w:r>
            <w:r>
              <w:rPr>
                <w:rFonts w:hint="eastAsia" w:ascii="Times New Roman" w:hAnsi="Times New Roman" w:eastAsia="仿宋_GB2312" w:cs="宋体"/>
                <w:color w:val="000000"/>
                <w:kern w:val="0"/>
                <w:szCs w:val="21"/>
              </w:rPr>
              <w:t>号地</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68273</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98.29%</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1.71%</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4.03</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7975</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1979</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1963</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2904</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22</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440203H070102401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保利大都会</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武江区芙蓉新城</w:t>
            </w:r>
            <w:r>
              <w:rPr>
                <w:rFonts w:ascii="Times New Roman" w:hAnsi="Times New Roman" w:eastAsia="仿宋_GB2312" w:cs="Times New Roman"/>
                <w:color w:val="000000"/>
                <w:kern w:val="0"/>
                <w:szCs w:val="21"/>
              </w:rPr>
              <w:t>H10-04</w:t>
            </w:r>
            <w:r>
              <w:rPr>
                <w:rFonts w:hint="eastAsia" w:ascii="Times New Roman" w:hAnsi="Times New Roman" w:eastAsia="仿宋_GB2312" w:cs="宋体"/>
                <w:color w:val="000000"/>
                <w:kern w:val="0"/>
                <w:szCs w:val="21"/>
              </w:rPr>
              <w:t>地块</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51241</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94.48%</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5.52%</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2.84</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5882</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2071</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2013</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3207</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440203H070102501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韶关市武江区芙蓉新城</w:t>
            </w:r>
            <w:r>
              <w:rPr>
                <w:rFonts w:ascii="Times New Roman" w:hAnsi="Times New Roman" w:eastAsia="仿宋_GB2312" w:cs="Times New Roman"/>
                <w:color w:val="000000"/>
                <w:kern w:val="0"/>
                <w:szCs w:val="21"/>
              </w:rPr>
              <w:t>L10-01</w:t>
            </w:r>
            <w:r>
              <w:rPr>
                <w:rFonts w:hint="eastAsia" w:ascii="Times New Roman" w:hAnsi="Times New Roman" w:eastAsia="仿宋_GB2312" w:cs="宋体"/>
                <w:color w:val="000000"/>
                <w:kern w:val="0"/>
                <w:szCs w:val="21"/>
              </w:rPr>
              <w:t>号地</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武江区芙蓉新城</w:t>
            </w:r>
            <w:r>
              <w:rPr>
                <w:rFonts w:ascii="Times New Roman" w:hAnsi="Times New Roman" w:eastAsia="仿宋_GB2312" w:cs="Times New Roman"/>
                <w:color w:val="000000"/>
                <w:kern w:val="0"/>
                <w:szCs w:val="21"/>
              </w:rPr>
              <w:t>L10-01</w:t>
            </w:r>
            <w:r>
              <w:rPr>
                <w:rFonts w:hint="eastAsia" w:ascii="Times New Roman" w:hAnsi="Times New Roman" w:eastAsia="仿宋_GB2312" w:cs="宋体"/>
                <w:color w:val="000000"/>
                <w:kern w:val="0"/>
                <w:szCs w:val="21"/>
              </w:rPr>
              <w:t>号地</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30149</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85%</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15%</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2.6</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5023</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1932</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1986</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2571</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待开发用地，按规划条件评估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24</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440203L080900201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韶关市</w:t>
            </w:r>
            <w:r>
              <w:rPr>
                <w:rFonts w:ascii="Times New Roman" w:hAnsi="Times New Roman" w:eastAsia="仿宋_GB2312" w:cs="Times New Roman"/>
                <w:color w:val="000000"/>
                <w:kern w:val="0"/>
                <w:szCs w:val="21"/>
              </w:rPr>
              <w:t>MX0202-17</w:t>
            </w:r>
            <w:r>
              <w:rPr>
                <w:rFonts w:hint="eastAsia" w:ascii="Times New Roman" w:hAnsi="Times New Roman" w:eastAsia="仿宋_GB2312" w:cs="宋体"/>
                <w:color w:val="000000"/>
                <w:kern w:val="0"/>
                <w:szCs w:val="21"/>
              </w:rPr>
              <w:t>号（</w:t>
            </w:r>
            <w:r>
              <w:rPr>
                <w:rFonts w:ascii="Times New Roman" w:hAnsi="Times New Roman" w:eastAsia="仿宋_GB2312" w:cs="Times New Roman"/>
                <w:color w:val="000000"/>
                <w:kern w:val="0"/>
                <w:szCs w:val="21"/>
              </w:rPr>
              <w:t>GSY</w:t>
            </w:r>
            <w:r>
              <w:rPr>
                <w:rFonts w:hint="eastAsia" w:ascii="Times New Roman" w:hAnsi="Times New Roman" w:eastAsia="仿宋_GB2312" w:cs="宋体"/>
                <w:color w:val="000000"/>
                <w:kern w:val="0"/>
                <w:szCs w:val="21"/>
              </w:rPr>
              <w:t>）地块</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r>
              <w:rPr>
                <w:rFonts w:ascii="Times New Roman" w:hAnsi="Times New Roman" w:eastAsia="仿宋_GB2312" w:cs="Times New Roman"/>
                <w:color w:val="000000"/>
                <w:kern w:val="0"/>
                <w:szCs w:val="21"/>
              </w:rPr>
              <w:t>MX0202-17</w:t>
            </w:r>
            <w:r>
              <w:rPr>
                <w:rFonts w:hint="eastAsia" w:ascii="Times New Roman" w:hAnsi="Times New Roman" w:eastAsia="仿宋_GB2312" w:cs="宋体"/>
                <w:color w:val="000000"/>
                <w:kern w:val="0"/>
                <w:szCs w:val="21"/>
              </w:rPr>
              <w:t>号（</w:t>
            </w:r>
            <w:r>
              <w:rPr>
                <w:rFonts w:ascii="Times New Roman" w:hAnsi="Times New Roman" w:eastAsia="仿宋_GB2312" w:cs="Times New Roman"/>
                <w:color w:val="000000"/>
                <w:kern w:val="0"/>
                <w:szCs w:val="21"/>
              </w:rPr>
              <w:t>GSY</w:t>
            </w:r>
            <w:r>
              <w:rPr>
                <w:rFonts w:hint="eastAsia" w:ascii="Times New Roman" w:hAnsi="Times New Roman" w:eastAsia="仿宋_GB2312" w:cs="宋体"/>
                <w:color w:val="000000"/>
                <w:kern w:val="0"/>
                <w:szCs w:val="21"/>
              </w:rPr>
              <w:t>）地块</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公共管理与公共服务用地（公用设施用地）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3970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公用设施用地：</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0.8</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公用设施用地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565</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公服二：2级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25</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440203S050100101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韶关印象岭南奥园文化旅游城</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武江区塘湾片区</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21550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0.81</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1895</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2340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3236</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26</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440203S050500301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滨江商务中心</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r>
              <w:rPr>
                <w:rFonts w:ascii="Times New Roman" w:hAnsi="Times New Roman" w:eastAsia="仿宋_GB2312" w:cs="Times New Roman"/>
                <w:color w:val="000000"/>
                <w:kern w:val="0"/>
                <w:szCs w:val="21"/>
              </w:rPr>
              <w:t>XL0622-01</w:t>
            </w:r>
            <w:r>
              <w:rPr>
                <w:rFonts w:hint="eastAsia" w:ascii="Times New Roman" w:hAnsi="Times New Roman" w:eastAsia="仿宋_GB2312" w:cs="宋体"/>
                <w:color w:val="000000"/>
                <w:kern w:val="0"/>
                <w:szCs w:val="21"/>
              </w:rPr>
              <w:t>号（滨江商务中心）地块</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商服用地（商务金融用地）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188289</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办公</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0.96</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1308</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1363</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办公：</w:t>
            </w:r>
            <w:r>
              <w:rPr>
                <w:rFonts w:ascii="Times New Roman" w:hAnsi="Times New Roman" w:eastAsia="仿宋_GB2312" w:cs="Times New Roman"/>
                <w:color w:val="000000"/>
                <w:kern w:val="0"/>
                <w:szCs w:val="21"/>
              </w:rPr>
              <w:t>1363</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待开发用地，按规划条件评估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27</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440203Z070100101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南枫雅居</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武江区武江北路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5256</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11014</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2118</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28</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440203Z070100201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滨江汇景</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武江区武江北路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2064</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7.12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15671</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2201</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29</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440203Z070100301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志兴金碧园</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武江区新华北路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19186</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3.5</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7161</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2046</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30</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440203Z070100401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盈翠皇庭</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武江区东岗岭</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20585</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5.35</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14022</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2621</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31</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440203Z070100501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颐景骏园</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武江区五祖路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16080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4.57</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10648</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2330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32</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440203Z070100601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长城世家</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武江区工业西路北面</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63477</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1.18</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2828</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2397</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住宅：3级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440204G060100101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犁市镇</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韶关市比亚迪实业有限公司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浈江区犁市镇石下村</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778336</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1.5</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337</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34</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440204G060100201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犁市镇</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广东汉鸿木业有限公司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浈江区产业转移园</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280912</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1.76</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327</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35</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440204G060100301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犁市镇</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韶关市润得丰金属材料工贸有限公司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浈江区产业转移园</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148296</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332</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36</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440204G060100401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犁市镇</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广东香龙香料有限公司韶关分公司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浈江区莞韶产业园</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40669</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341</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37</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440204G060100501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犁市镇</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韶关市威得士环保设备有限公司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浈江区产业转移园</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36317</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336</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38</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440204G060100601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犁市镇</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韶关市创力机械有限公司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浈江区产业转移园</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74300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346</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39</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440204G060100701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韶关市浈江新达机械制造有限公司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浈江区十里亭建设路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15667</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0.6</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379</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工业:4级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40</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440204G060100801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广东韶关烟叶复烤有限公司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浈江区南郊四公里</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18064</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556</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41</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440204G060100901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青岛啤酒（韶关）有限公司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浈江区韶南大道</w:t>
            </w:r>
            <w:r>
              <w:rPr>
                <w:rFonts w:ascii="Times New Roman" w:hAnsi="Times New Roman" w:eastAsia="仿宋_GB2312" w:cs="Times New Roman"/>
                <w:color w:val="000000"/>
                <w:kern w:val="0"/>
                <w:szCs w:val="21"/>
              </w:rPr>
              <w:t>4</w:t>
            </w:r>
            <w:r>
              <w:rPr>
                <w:rFonts w:hint="eastAsia" w:ascii="Times New Roman" w:hAnsi="Times New Roman" w:eastAsia="仿宋_GB2312" w:cs="宋体"/>
                <w:color w:val="000000"/>
                <w:kern w:val="0"/>
                <w:szCs w:val="21"/>
              </w:rPr>
              <w:t>公里</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93198</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0.39</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572</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42</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440204G060101001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广东韶配动力机械有限公司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浈江区韶南大道六公里</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37687</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0.43</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547</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43</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440204G060101401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韶关市新联汽车维修有限公司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韶关是浈江区南郊七公里</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7934</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0.72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543</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440204G060101501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韶关市正安机械实业有限公司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韶关市韶南大道七公里西侧</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14338</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0.53</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工业用地</w:t>
            </w:r>
            <w:r>
              <w:rPr>
                <w:rFonts w:ascii="Times New Roman" w:hAnsi="Times New Roman" w:eastAsia="仿宋_GB2312" w:cs="Times New Roman"/>
                <w:color w:val="000000"/>
                <w:kern w:val="0"/>
                <w:szCs w:val="21"/>
              </w:rPr>
              <w:t>50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555</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工业:2级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45</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440204H070100101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碧桂园凤凰山</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浈江区腊石坝</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375658</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72.05%</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2.89%</w:t>
            </w:r>
            <w:r>
              <w:rPr>
                <w:rFonts w:hint="eastAsia" w:ascii="Times New Roman" w:hAnsi="Times New Roman" w:eastAsia="仿宋_GB2312" w:cs="宋体"/>
                <w:color w:val="000000"/>
                <w:kern w:val="0"/>
                <w:szCs w:val="21"/>
              </w:rPr>
              <w:t>，低密度住宅</w:t>
            </w:r>
            <w:r>
              <w:rPr>
                <w:rFonts w:ascii="Times New Roman" w:hAnsi="Times New Roman" w:eastAsia="仿宋_GB2312" w:cs="Times New Roman"/>
                <w:color w:val="000000"/>
                <w:kern w:val="0"/>
                <w:szCs w:val="21"/>
              </w:rPr>
              <w:t>25.06%</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1.15</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2670</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2322</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2070</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2509</w:t>
            </w:r>
            <w:r>
              <w:rPr>
                <w:rFonts w:hint="eastAsia" w:ascii="Times New Roman" w:hAnsi="Times New Roman" w:eastAsia="仿宋_GB2312" w:cs="宋体"/>
                <w:color w:val="000000"/>
                <w:kern w:val="0"/>
                <w:szCs w:val="21"/>
              </w:rPr>
              <w:t>；低密度住宅：</w:t>
            </w:r>
            <w:r>
              <w:rPr>
                <w:rFonts w:ascii="Times New Roman" w:hAnsi="Times New Roman" w:eastAsia="仿宋_GB2312" w:cs="Times New Roman"/>
                <w:color w:val="000000"/>
                <w:kern w:val="0"/>
                <w:szCs w:val="21"/>
              </w:rPr>
              <w:t>3064</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商服：5级、住宅：2级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46</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440204H070100201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碧桂园翠山蓝天</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浈江区腊石坝</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42100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95.84%</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4.16%</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1.4</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3259</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2328</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2302</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2927</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47</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440204H070100301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韶关碧桂园南区</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浈江区蜡石坝</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96600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97.58%</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2.42%</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3.34</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6356</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1903</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1890</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2957</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已建成，按修详规的用地面积为标准宗地的用地面积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48</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440204H070100401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锦绣御水豪庭</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浈江区前进路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31000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91.89%</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8.13%</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5928</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1482</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1485</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2585</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商服：4级、住宅：3级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49</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440204H070100501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金色江湾德郡</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浈江区陵西路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28231</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93.86%</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6.14%</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3.16</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6266</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1983</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1926</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3424</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440204H070100601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金港湾</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浈江区帽峰桥头西南侧</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17125</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66.94%</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33.06%</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3.41</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6745</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1978</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1950</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3406</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51</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440204H070100901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枫景园</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浈江区南郊二公里</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8272</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63.31%</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34.69%</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5.89</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12416</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2108</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2039</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4047</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52</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440204H070101001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三江紫园</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浈江区滨江路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12938</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97.3%</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2.40%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4.98</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9905</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1989</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1940</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3959</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53</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440204H070101101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南天豪庭</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浈江区南郊四公里</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28227</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97.31%</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2.69%</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3.5</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5646</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1613</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1505</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3397</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待开发用地，按规划条件评估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54</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440204H070101201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天泓居</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浈江区粤北工业开发区南郊七公里</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60444</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97.31%</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2.69%</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3.41</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5187</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1521</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1487</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2733</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商服：3级、住宅：2级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55</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440204H070101301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星河天骄</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浈江区南郊百旺大桥</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29484</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94.19%</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5.81%</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3.77</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5353</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1420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1353</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2511</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56</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440204H070101401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百旺花园</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浈江区韶南大道七公里</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商住混合用地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7937</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95.03%</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4.97%</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2.62</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3343</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1276</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1214</w:t>
            </w: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2457</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商服：4级、住宅：3级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57</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440204S050100301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信德万汇广场</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浈江区站南路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23386</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办公</w:t>
            </w:r>
            <w:r>
              <w:rPr>
                <w:rFonts w:ascii="Times New Roman" w:hAnsi="Times New Roman" w:eastAsia="仿宋_GB2312" w:cs="Times New Roman"/>
                <w:color w:val="000000"/>
                <w:kern w:val="0"/>
                <w:szCs w:val="21"/>
              </w:rPr>
              <w:t>22.56%</w:t>
            </w: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77.44%</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2.03</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5028</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2477</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6426</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58</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440204S050200401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鑫金汇</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浈江区黄金村片</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194126</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商业</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1.84</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商服用地</w:t>
            </w:r>
            <w:r>
              <w:rPr>
                <w:rFonts w:ascii="Times New Roman" w:hAnsi="Times New Roman" w:eastAsia="仿宋_GB2312" w:cs="Times New Roman"/>
                <w:color w:val="000000"/>
                <w:kern w:val="0"/>
                <w:szCs w:val="21"/>
              </w:rPr>
              <w:t>40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1788</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972</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商服首层：</w:t>
            </w:r>
            <w:r>
              <w:rPr>
                <w:rFonts w:ascii="Times New Roman" w:hAnsi="Times New Roman" w:eastAsia="仿宋_GB2312" w:cs="Times New Roman"/>
                <w:color w:val="000000"/>
                <w:kern w:val="0"/>
                <w:szCs w:val="21"/>
              </w:rPr>
              <w:t>2307</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商服：4级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59</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440204Z070100101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城市花园启明小区</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浈江区启明南路</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5185</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2.6</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4867</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1872</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住宅：1级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60</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440204Z070100201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碧桂园水木春华</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浈江区蜡石坝</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174600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62.48%</w:t>
            </w:r>
            <w:r>
              <w:rPr>
                <w:rFonts w:hint="eastAsia" w:ascii="Times New Roman" w:hAnsi="Times New Roman" w:eastAsia="仿宋_GB2312" w:cs="宋体"/>
                <w:color w:val="000000"/>
                <w:kern w:val="0"/>
                <w:szCs w:val="21"/>
              </w:rPr>
              <w:t>，低密度住宅</w:t>
            </w:r>
            <w:r>
              <w:rPr>
                <w:rFonts w:ascii="Times New Roman" w:hAnsi="Times New Roman" w:eastAsia="仿宋_GB2312" w:cs="Times New Roman"/>
                <w:color w:val="000000"/>
                <w:kern w:val="0"/>
                <w:szCs w:val="21"/>
              </w:rPr>
              <w:t>37.52%</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0.74</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1937</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2617</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2181</w:t>
            </w:r>
            <w:r>
              <w:rPr>
                <w:rFonts w:hint="eastAsia" w:ascii="Times New Roman" w:hAnsi="Times New Roman" w:eastAsia="仿宋_GB2312" w:cs="宋体"/>
                <w:color w:val="000000"/>
                <w:kern w:val="0"/>
                <w:szCs w:val="21"/>
              </w:rPr>
              <w:t>；低密度住宅：</w:t>
            </w:r>
            <w:r>
              <w:rPr>
                <w:rFonts w:ascii="Times New Roman" w:hAnsi="Times New Roman" w:eastAsia="仿宋_GB2312" w:cs="Times New Roman"/>
                <w:color w:val="000000"/>
                <w:kern w:val="0"/>
                <w:szCs w:val="21"/>
              </w:rPr>
              <w:t>3344</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已建成，按修详规的用地面积为标准宗地的用地面积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61</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440204Z070100301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碧桂园翠堤春晓</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浈江区蜡石坝</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47200</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0.45</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1522</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3383</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低密度住宅：</w:t>
            </w:r>
            <w:r>
              <w:rPr>
                <w:rFonts w:ascii="Times New Roman" w:hAnsi="Times New Roman" w:eastAsia="仿宋_GB2312" w:cs="Times New Roman"/>
                <w:color w:val="000000"/>
                <w:kern w:val="0"/>
                <w:szCs w:val="21"/>
              </w:rPr>
              <w:t>3383</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已建成，按修详规的用地面积为标准宗地的用地面积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62</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440204Z070100401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林语</w:t>
            </w:r>
            <w:r>
              <w:rPr>
                <w:rFonts w:ascii="Times New Roman" w:hAnsi="Times New Roman" w:eastAsia="仿宋_GB2312" w:cs="Times New Roman"/>
                <w:color w:val="000000"/>
                <w:kern w:val="0"/>
                <w:szCs w:val="21"/>
              </w:rPr>
              <w:t>·</w:t>
            </w:r>
            <w:r>
              <w:rPr>
                <w:rFonts w:hint="eastAsia" w:ascii="Times New Roman" w:hAnsi="Times New Roman" w:eastAsia="仿宋_GB2312" w:cs="宋体"/>
                <w:color w:val="000000"/>
                <w:kern w:val="0"/>
                <w:szCs w:val="21"/>
              </w:rPr>
              <w:t>阳光雅苑南山公馆</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浈江区莲花山脚</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9091</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100%</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2.31</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3772</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1633</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3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63</w:t>
            </w:r>
          </w:p>
        </w:tc>
        <w:tc>
          <w:tcPr>
            <w:tcW w:w="36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440204Z070100501</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w:t>
            </w:r>
          </w:p>
        </w:tc>
        <w:tc>
          <w:tcPr>
            <w:tcW w:w="415"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森林观邸</w:t>
            </w:r>
          </w:p>
        </w:tc>
        <w:tc>
          <w:tcPr>
            <w:tcW w:w="368"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浈江区森林公园南面</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国有出让</w:t>
            </w:r>
          </w:p>
        </w:tc>
        <w:tc>
          <w:tcPr>
            <w:tcW w:w="369"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40002</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78.73%</w:t>
            </w:r>
            <w:r>
              <w:rPr>
                <w:rFonts w:hint="eastAsia" w:ascii="Times New Roman" w:hAnsi="Times New Roman" w:eastAsia="仿宋_GB2312" w:cs="宋体"/>
                <w:color w:val="000000"/>
                <w:kern w:val="0"/>
                <w:szCs w:val="21"/>
              </w:rPr>
              <w:t>，低密度住宅</w:t>
            </w:r>
            <w:r>
              <w:rPr>
                <w:rFonts w:ascii="Times New Roman" w:hAnsi="Times New Roman" w:eastAsia="仿宋_GB2312" w:cs="Times New Roman"/>
                <w:color w:val="000000"/>
                <w:kern w:val="0"/>
                <w:szCs w:val="21"/>
              </w:rPr>
              <w:t>21.27%</w:t>
            </w:r>
          </w:p>
        </w:tc>
        <w:tc>
          <w:tcPr>
            <w:tcW w:w="231"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2.9</w:t>
            </w:r>
          </w:p>
        </w:tc>
        <w:tc>
          <w:tcPr>
            <w:tcW w:w="230"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五通一平</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住宅用地</w:t>
            </w:r>
            <w:r>
              <w:rPr>
                <w:rFonts w:ascii="Times New Roman" w:hAnsi="Times New Roman" w:eastAsia="仿宋_GB2312" w:cs="Times New Roman"/>
                <w:color w:val="000000"/>
                <w:kern w:val="0"/>
                <w:szCs w:val="21"/>
              </w:rPr>
              <w:t>70</w:t>
            </w:r>
            <w:r>
              <w:rPr>
                <w:rFonts w:hint="eastAsia" w:ascii="Times New Roman" w:hAnsi="Times New Roman" w:eastAsia="仿宋_GB2312" w:cs="宋体"/>
                <w:color w:val="000000"/>
                <w:kern w:val="0"/>
                <w:szCs w:val="21"/>
              </w:rPr>
              <w:t>年</w:t>
            </w:r>
          </w:p>
        </w:tc>
        <w:tc>
          <w:tcPr>
            <w:tcW w:w="276"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等线" w:cs="Times New Roman"/>
                <w:color w:val="000000"/>
                <w:szCs w:val="21"/>
              </w:rPr>
              <w:t>5574</w:t>
            </w:r>
          </w:p>
        </w:tc>
        <w:tc>
          <w:tcPr>
            <w:tcW w:w="277" w:type="pct"/>
            <w:shd w:val="clear" w:color="auto" w:fill="auto"/>
            <w:vAlign w:val="center"/>
          </w:tcPr>
          <w:p>
            <w:pPr>
              <w:widowControl/>
              <w:adjustRightInd w:val="0"/>
              <w:snapToGrid w:val="0"/>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1922</w:t>
            </w:r>
          </w:p>
        </w:tc>
        <w:tc>
          <w:tcPr>
            <w:tcW w:w="322"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w:t>
            </w:r>
            <w:r>
              <w:rPr>
                <w:rFonts w:ascii="Times New Roman" w:hAnsi="Times New Roman" w:eastAsia="仿宋_GB2312" w:cs="Times New Roman"/>
                <w:color w:val="000000"/>
                <w:kern w:val="0"/>
                <w:szCs w:val="21"/>
              </w:rPr>
              <w:t>1664</w:t>
            </w:r>
            <w:r>
              <w:rPr>
                <w:rFonts w:hint="eastAsia" w:ascii="Times New Roman" w:hAnsi="Times New Roman" w:eastAsia="仿宋_GB2312" w:cs="宋体"/>
                <w:color w:val="000000"/>
                <w:kern w:val="0"/>
                <w:szCs w:val="21"/>
              </w:rPr>
              <w:t>；低密度住宅：</w:t>
            </w:r>
            <w:r>
              <w:rPr>
                <w:rFonts w:ascii="Times New Roman" w:hAnsi="Times New Roman" w:eastAsia="仿宋_GB2312" w:cs="Times New Roman"/>
                <w:color w:val="000000"/>
                <w:kern w:val="0"/>
                <w:szCs w:val="21"/>
              </w:rPr>
              <w:t>2875</w:t>
            </w:r>
          </w:p>
        </w:tc>
        <w:tc>
          <w:tcPr>
            <w:tcW w:w="301"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住宅：2级</w:t>
            </w:r>
          </w:p>
        </w:tc>
        <w:tc>
          <w:tcPr>
            <w:tcW w:w="279" w:type="pct"/>
            <w:shd w:val="clear" w:color="auto" w:fill="auto"/>
            <w:vAlign w:val="center"/>
          </w:tcPr>
          <w:p>
            <w:pPr>
              <w:widowControl/>
              <w:adjustRightInd w:val="0"/>
              <w:snapToGrid w:val="0"/>
              <w:spacing w:line="240" w:lineRule="exact"/>
              <w:jc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000" w:type="pct"/>
            <w:gridSpan w:val="17"/>
            <w:shd w:val="clear" w:color="auto" w:fill="auto"/>
            <w:vAlign w:val="center"/>
          </w:tcPr>
          <w:p>
            <w:pPr>
              <w:widowControl/>
              <w:adjustRightInd w:val="0"/>
              <w:snapToGrid w:val="0"/>
              <w:spacing w:line="240" w:lineRule="exact"/>
              <w:jc w:val="left"/>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注：五通一平指宗地红线外通上水、通下水、通电、通讯、通路，宗地红线内“场地平整”</w:t>
            </w:r>
          </w:p>
        </w:tc>
      </w:tr>
    </w:tbl>
    <w:p>
      <w:pPr>
        <w:spacing w:line="20" w:lineRule="exact"/>
        <w:rPr>
          <w:rFonts w:ascii="Times New Roman" w:hAnsi="Times New Roman" w:eastAsia="仿宋_GB2312" w:cs="Times New Roman"/>
          <w:sz w:val="32"/>
          <w:szCs w:val="32"/>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2</w:t>
    </w:r>
    <w:r>
      <w:rPr>
        <w:rFonts w:ascii="Times New Roman" w:hAnsi="Times New Roman"/>
        <w:sz w:val="24"/>
        <w:szCs w:val="24"/>
      </w:rPr>
      <w:fldChar w:fldCharType="end"/>
    </w:r>
  </w:p>
  <w:p>
    <w:pPr>
      <w:pStyle w:val="5"/>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4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4"/>
          <w:rFonts w:ascii="Times New Roman" w:hAnsi="Times New Roman" w:cs="Times New Roman"/>
          <w:sz w:val="21"/>
          <w:szCs w:val="21"/>
        </w:rPr>
        <w:footnoteRef/>
      </w:r>
      <w:r>
        <w:rPr>
          <w:rFonts w:hint="eastAsia" w:ascii="Times New Roman" w:hAnsi="Times New Roman" w:eastAsia="仿宋_GB2312"/>
          <w:sz w:val="21"/>
        </w:rPr>
        <w:t>住宅包含低密度住宅，由于低密度住宅价格与普通住宅价格有差异，“韶关市（浈江区、武江区）</w:t>
      </w:r>
      <w:r>
        <w:rPr>
          <w:rFonts w:ascii="Times New Roman" w:hAnsi="Times New Roman" w:eastAsia="仿宋_GB2312"/>
          <w:sz w:val="21"/>
        </w:rPr>
        <w:t>2018</w:t>
      </w:r>
      <w:r>
        <w:rPr>
          <w:rFonts w:hint="eastAsia" w:ascii="Times New Roman" w:hAnsi="Times New Roman" w:eastAsia="仿宋_GB2312"/>
          <w:sz w:val="21"/>
        </w:rPr>
        <w:t>年城镇国有建设用地标定地价信息公示表”中低密度住宅价格会单独列出。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46"/>
    <w:rsid w:val="00000046"/>
    <w:rsid w:val="000A17CB"/>
    <w:rsid w:val="00146BE1"/>
    <w:rsid w:val="00185184"/>
    <w:rsid w:val="00202074"/>
    <w:rsid w:val="002662D1"/>
    <w:rsid w:val="0027202F"/>
    <w:rsid w:val="00273472"/>
    <w:rsid w:val="00280406"/>
    <w:rsid w:val="002927BC"/>
    <w:rsid w:val="002E3D48"/>
    <w:rsid w:val="0037567E"/>
    <w:rsid w:val="00390737"/>
    <w:rsid w:val="003960EB"/>
    <w:rsid w:val="003A123C"/>
    <w:rsid w:val="00425850"/>
    <w:rsid w:val="0045734C"/>
    <w:rsid w:val="004C2531"/>
    <w:rsid w:val="00521588"/>
    <w:rsid w:val="0057458A"/>
    <w:rsid w:val="005E0354"/>
    <w:rsid w:val="00602D19"/>
    <w:rsid w:val="00693DDB"/>
    <w:rsid w:val="006F37CD"/>
    <w:rsid w:val="00780538"/>
    <w:rsid w:val="00782C6A"/>
    <w:rsid w:val="007C1219"/>
    <w:rsid w:val="007D4975"/>
    <w:rsid w:val="00806B45"/>
    <w:rsid w:val="00847050"/>
    <w:rsid w:val="00883A56"/>
    <w:rsid w:val="00907326"/>
    <w:rsid w:val="00934F05"/>
    <w:rsid w:val="00956E48"/>
    <w:rsid w:val="0099670C"/>
    <w:rsid w:val="00997FE0"/>
    <w:rsid w:val="009E2398"/>
    <w:rsid w:val="00A222F0"/>
    <w:rsid w:val="00A44033"/>
    <w:rsid w:val="00AE377A"/>
    <w:rsid w:val="00AF45BB"/>
    <w:rsid w:val="00B17FE3"/>
    <w:rsid w:val="00B61C8F"/>
    <w:rsid w:val="00BC7244"/>
    <w:rsid w:val="00BF5D12"/>
    <w:rsid w:val="00C216B5"/>
    <w:rsid w:val="00C508C0"/>
    <w:rsid w:val="00CB3102"/>
    <w:rsid w:val="00D2714A"/>
    <w:rsid w:val="00D636A6"/>
    <w:rsid w:val="00DD6C53"/>
    <w:rsid w:val="00DF6325"/>
    <w:rsid w:val="00E216DD"/>
    <w:rsid w:val="00E7617D"/>
    <w:rsid w:val="00EB33F3"/>
    <w:rsid w:val="00ED4241"/>
    <w:rsid w:val="00F628D2"/>
    <w:rsid w:val="5144601B"/>
    <w:rsid w:val="75160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uiPriority w:val="99"/>
    <w:pPr>
      <w:jc w:val="left"/>
    </w:pPr>
  </w:style>
  <w:style w:type="paragraph" w:styleId="3">
    <w:name w:val="endnote text"/>
    <w:basedOn w:val="1"/>
    <w:link w:val="25"/>
    <w:semiHidden/>
    <w:unhideWhenUsed/>
    <w:uiPriority w:val="99"/>
    <w:pPr>
      <w:snapToGrid w:val="0"/>
      <w:jc w:val="left"/>
    </w:pPr>
  </w:style>
  <w:style w:type="paragraph" w:styleId="4">
    <w:name w:val="Balloon Text"/>
    <w:basedOn w:val="1"/>
    <w:link w:val="24"/>
    <w:semiHidden/>
    <w:unhideWhenUsed/>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6"/>
    <w:semiHidden/>
    <w:unhideWhenUsed/>
    <w:uiPriority w:val="99"/>
    <w:pPr>
      <w:snapToGrid w:val="0"/>
      <w:jc w:val="left"/>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23"/>
    <w:semiHidden/>
    <w:unhideWhenUsed/>
    <w:uiPriority w:val="99"/>
    <w:rPr>
      <w:b/>
      <w:bCs/>
    </w:rPr>
  </w:style>
  <w:style w:type="character" w:styleId="12">
    <w:name w:val="endnote reference"/>
    <w:basedOn w:val="11"/>
    <w:semiHidden/>
    <w:unhideWhenUsed/>
    <w:uiPriority w:val="99"/>
    <w:rPr>
      <w:vertAlign w:val="superscript"/>
    </w:rPr>
  </w:style>
  <w:style w:type="character" w:styleId="13">
    <w:name w:val="annotation reference"/>
    <w:basedOn w:val="11"/>
    <w:semiHidden/>
    <w:unhideWhenUsed/>
    <w:uiPriority w:val="99"/>
    <w:rPr>
      <w:sz w:val="21"/>
      <w:szCs w:val="21"/>
    </w:rPr>
  </w:style>
  <w:style w:type="character" w:styleId="14">
    <w:name w:val="footnote reference"/>
    <w:basedOn w:val="11"/>
    <w:unhideWhenUsed/>
    <w:qFormat/>
    <w:uiPriority w:val="0"/>
    <w:rPr>
      <w:vertAlign w:val="superscript"/>
    </w:rPr>
  </w:style>
  <w:style w:type="character" w:customStyle="1" w:styleId="15">
    <w:name w:val="apple-converted-space"/>
    <w:basedOn w:val="11"/>
    <w:uiPriority w:val="0"/>
  </w:style>
  <w:style w:type="character" w:customStyle="1" w:styleId="16">
    <w:name w:val="页眉 字符"/>
    <w:basedOn w:val="11"/>
    <w:link w:val="6"/>
    <w:uiPriority w:val="99"/>
    <w:rPr>
      <w:sz w:val="18"/>
      <w:szCs w:val="18"/>
    </w:rPr>
  </w:style>
  <w:style w:type="character" w:customStyle="1" w:styleId="17">
    <w:name w:val="页脚 字符"/>
    <w:basedOn w:val="11"/>
    <w:link w:val="5"/>
    <w:qFormat/>
    <w:uiPriority w:val="99"/>
    <w:rPr>
      <w:sz w:val="18"/>
      <w:szCs w:val="18"/>
    </w:rPr>
  </w:style>
  <w:style w:type="paragraph" w:styleId="18">
    <w:name w:val="List Paragraph"/>
    <w:basedOn w:val="1"/>
    <w:qFormat/>
    <w:uiPriority w:val="99"/>
    <w:pPr>
      <w:ind w:firstLine="420" w:firstLineChars="200"/>
    </w:pPr>
    <w:rPr>
      <w:rFonts w:ascii="Times New Roman" w:hAnsi="Times New Roman" w:eastAsia="仿宋_GB2312" w:cs="Times New Roman"/>
      <w:sz w:val="32"/>
      <w:szCs w:val="32"/>
    </w:rPr>
  </w:style>
  <w:style w:type="character" w:customStyle="1" w:styleId="19">
    <w:name w:val="07－图表号 Char"/>
    <w:link w:val="20"/>
    <w:qFormat/>
    <w:uiPriority w:val="0"/>
    <w:rPr>
      <w:rFonts w:eastAsia="仿宋_GB2312"/>
      <w:b/>
      <w:spacing w:val="6"/>
      <w:kern w:val="28"/>
      <w:sz w:val="24"/>
      <w:szCs w:val="28"/>
    </w:rPr>
  </w:style>
  <w:style w:type="paragraph" w:customStyle="1" w:styleId="20">
    <w:name w:val="07－图表号"/>
    <w:link w:val="19"/>
    <w:qFormat/>
    <w:uiPriority w:val="0"/>
    <w:pPr>
      <w:spacing w:line="360" w:lineRule="auto"/>
      <w:jc w:val="center"/>
    </w:pPr>
    <w:rPr>
      <w:rFonts w:eastAsia="仿宋_GB2312" w:asciiTheme="minorHAnsi" w:hAnsiTheme="minorHAnsi" w:cstheme="minorBidi"/>
      <w:b/>
      <w:spacing w:val="6"/>
      <w:kern w:val="28"/>
      <w:sz w:val="24"/>
      <w:szCs w:val="28"/>
      <w:lang w:val="en-US" w:eastAsia="zh-CN" w:bidi="ar-SA"/>
    </w:rPr>
  </w:style>
  <w:style w:type="paragraph" w:customStyle="1" w:styleId="21">
    <w:name w:val="Char1"/>
    <w:basedOn w:val="1"/>
    <w:uiPriority w:val="0"/>
    <w:pPr>
      <w:jc w:val="center"/>
    </w:pPr>
    <w:rPr>
      <w:rFonts w:ascii="Times New Roman" w:hAnsi="Times New Roman" w:eastAsia="宋体" w:cs="Times New Roman"/>
      <w:szCs w:val="24"/>
    </w:rPr>
  </w:style>
  <w:style w:type="character" w:customStyle="1" w:styleId="22">
    <w:name w:val="批注文字 字符"/>
    <w:basedOn w:val="11"/>
    <w:link w:val="2"/>
    <w:semiHidden/>
    <w:qFormat/>
    <w:uiPriority w:val="99"/>
  </w:style>
  <w:style w:type="character" w:customStyle="1" w:styleId="23">
    <w:name w:val="批注主题 字符"/>
    <w:basedOn w:val="22"/>
    <w:link w:val="9"/>
    <w:semiHidden/>
    <w:uiPriority w:val="99"/>
    <w:rPr>
      <w:b/>
      <w:bCs/>
    </w:rPr>
  </w:style>
  <w:style w:type="character" w:customStyle="1" w:styleId="24">
    <w:name w:val="批注框文本 字符"/>
    <w:basedOn w:val="11"/>
    <w:link w:val="4"/>
    <w:semiHidden/>
    <w:uiPriority w:val="99"/>
    <w:rPr>
      <w:sz w:val="18"/>
      <w:szCs w:val="18"/>
    </w:rPr>
  </w:style>
  <w:style w:type="character" w:customStyle="1" w:styleId="25">
    <w:name w:val="尾注文本 字符"/>
    <w:basedOn w:val="11"/>
    <w:link w:val="3"/>
    <w:semiHidden/>
    <w:uiPriority w:val="99"/>
  </w:style>
  <w:style w:type="character" w:customStyle="1" w:styleId="26">
    <w:name w:val="脚注文本 字符"/>
    <w:basedOn w:val="11"/>
    <w:link w:val="7"/>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48D5D-9AA9-43F7-9C7B-66CB605D712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1468</Words>
  <Characters>8368</Characters>
  <Lines>69</Lines>
  <Paragraphs>19</Paragraphs>
  <TotalTime>183</TotalTime>
  <ScaleCrop>false</ScaleCrop>
  <LinksUpToDate>false</LinksUpToDate>
  <CharactersWithSpaces>9817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2021-06-12T15:40:00Z</dcterms:created>
  <dc:creator>wenting</dc:creator>
  <cp:lastModifiedBy>Langley_N</cp:lastModifiedBy>
  <dcterms:modified xsi:type="dcterms:W3CDTF">2021-08-31T01:29:11Z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BC02C3D7F69D40EA80FFB1322BB03ADE</vt:lpwstr>
  </property>
</Properties>
</file>