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换发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767"/>
        <w:gridCol w:w="1227"/>
        <w:gridCol w:w="2190"/>
        <w:gridCol w:w="1022"/>
        <w:gridCol w:w="1419"/>
        <w:gridCol w:w="795"/>
        <w:gridCol w:w="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广东亮健好药房连锁有限公司始兴分店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91440222592171574W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始兴县太平镇北门路2、4号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2021-8-5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21D4"/>
    <w:rsid w:val="21AF006C"/>
    <w:rsid w:val="24D502F8"/>
    <w:rsid w:val="25407BEA"/>
    <w:rsid w:val="26C64958"/>
    <w:rsid w:val="387C0C5E"/>
    <w:rsid w:val="3D992E81"/>
    <w:rsid w:val="3FD160CB"/>
    <w:rsid w:val="420D0F9C"/>
    <w:rsid w:val="4E1A2238"/>
    <w:rsid w:val="51D14987"/>
    <w:rsid w:val="63FC0FF8"/>
    <w:rsid w:val="654B2086"/>
    <w:rsid w:val="6597100F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uiPriority w:val="0"/>
  </w:style>
  <w:style w:type="character" w:customStyle="1" w:styleId="49">
    <w:name w:val="sinobest-radio2-icon-to-fade4"/>
    <w:basedOn w:val="5"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uiPriority w:val="0"/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0776FD860FAE4312A91FA784EFC7F5EB</vt:lpwstr>
  </property>
</Properties>
</file>