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广东韶关翁源牧原种猪育种有限公司翁源二场养殖项目环境影响报告书审批前公示</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根据建设项目环境影响评价审批程序的有关规定，经审议，我局拟批准《</w:t>
      </w:r>
      <w:r>
        <w:rPr>
          <w:rFonts w:hint="eastAsia" w:ascii="Times New Roman" w:hAnsi="Times New Roman" w:eastAsia="宋体" w:cs="Times New Roman"/>
          <w:sz w:val="21"/>
          <w:szCs w:val="21"/>
          <w:shd w:val="clear" w:color="auto" w:fill="FFFFFF"/>
          <w:lang w:val="en-US" w:eastAsia="zh-CN"/>
        </w:rPr>
        <w:t>广东韶关翁源牧原种猪育种有限公司翁源一场养殖</w:t>
      </w:r>
      <w:r>
        <w:rPr>
          <w:rFonts w:hint="default" w:ascii="Times New Roman" w:hAnsi="Times New Roman" w:eastAsia="宋体" w:cs="Times New Roman"/>
          <w:sz w:val="21"/>
          <w:szCs w:val="21"/>
        </w:rPr>
        <w:t>项目</w:t>
      </w:r>
      <w:r>
        <w:rPr>
          <w:rFonts w:hint="default" w:ascii="Times New Roman" w:hAnsi="Times New Roman" w:eastAsia="宋体" w:cs="Times New Roman"/>
          <w:sz w:val="21"/>
          <w:szCs w:val="21"/>
          <w:shd w:val="clear" w:color="auto" w:fill="FFFFFF"/>
        </w:rPr>
        <w:t>环境影响报告</w:t>
      </w:r>
      <w:r>
        <w:rPr>
          <w:rFonts w:hint="eastAsia" w:ascii="Times New Roman" w:hAnsi="Times New Roman" w:eastAsia="宋体" w:cs="Times New Roman"/>
          <w:sz w:val="21"/>
          <w:szCs w:val="21"/>
          <w:shd w:val="clear" w:color="auto" w:fill="FFFFFF"/>
          <w:lang w:val="en-US" w:eastAsia="zh-CN"/>
        </w:rPr>
        <w:t>书</w:t>
      </w:r>
      <w:r>
        <w:rPr>
          <w:rFonts w:hint="default" w:ascii="Times New Roman" w:hAnsi="Times New Roman" w:eastAsia="宋体" w:cs="Times New Roman"/>
          <w:sz w:val="21"/>
          <w:szCs w:val="21"/>
          <w:shd w:val="clear" w:color="auto" w:fill="FFFFFF"/>
        </w:rPr>
        <w:t>》，为体现公开、公正的原则，强化公众参与，现予公示</w:t>
      </w:r>
      <w:r>
        <w:rPr>
          <w:rFonts w:hint="eastAsia" w:ascii="Times New Roman" w:hAnsi="Times New Roman" w:eastAsia="宋体" w:cs="Times New Roman"/>
          <w:sz w:val="21"/>
          <w:szCs w:val="21"/>
          <w:shd w:val="clear" w:color="auto" w:fill="FFFFFF"/>
          <w:lang w:val="en-US" w:eastAsia="zh-CN"/>
        </w:rPr>
        <w:t>3</w:t>
      </w:r>
      <w:r>
        <w:rPr>
          <w:rFonts w:hint="default" w:ascii="Times New Roman" w:hAnsi="Times New Roman" w:eastAsia="宋体" w:cs="Times New Roman"/>
          <w:sz w:val="21"/>
          <w:szCs w:val="21"/>
          <w:shd w:val="clear" w:color="auto" w:fill="FFFFFF"/>
        </w:rPr>
        <w:t>个工作日(20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7</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19</w:t>
      </w:r>
      <w:r>
        <w:rPr>
          <w:rFonts w:hint="default" w:ascii="Times New Roman" w:hAnsi="Times New Roman" w:eastAsia="宋体" w:cs="Times New Roman"/>
          <w:sz w:val="21"/>
          <w:szCs w:val="21"/>
          <w:shd w:val="clear" w:color="auto" w:fill="FFFFFF"/>
        </w:rPr>
        <w:t>日至20</w:t>
      </w:r>
      <w:r>
        <w:rPr>
          <w:rFonts w:hint="default"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年</w:t>
      </w:r>
      <w:r>
        <w:rPr>
          <w:rFonts w:hint="eastAsia" w:ascii="Times New Roman" w:hAnsi="Times New Roman" w:eastAsia="宋体" w:cs="Times New Roman"/>
          <w:sz w:val="21"/>
          <w:szCs w:val="21"/>
          <w:shd w:val="clear" w:color="auto" w:fill="FFFFFF"/>
          <w:lang w:val="en-US" w:eastAsia="zh-CN"/>
        </w:rPr>
        <w:t>7</w:t>
      </w:r>
      <w:r>
        <w:rPr>
          <w:rFonts w:hint="default" w:ascii="Times New Roman" w:hAnsi="Times New Roman" w:eastAsia="宋体" w:cs="Times New Roman"/>
          <w:sz w:val="21"/>
          <w:szCs w:val="21"/>
          <w:shd w:val="clear" w:color="auto" w:fill="FFFFFF"/>
        </w:rPr>
        <w:t>月</w:t>
      </w:r>
      <w:r>
        <w:rPr>
          <w:rFonts w:hint="eastAsia" w:ascii="Times New Roman" w:hAnsi="Times New Roman" w:eastAsia="宋体" w:cs="Times New Roman"/>
          <w:sz w:val="21"/>
          <w:szCs w:val="21"/>
          <w:shd w:val="clear" w:color="auto" w:fill="FFFFFF"/>
          <w:lang w:val="en-US" w:eastAsia="zh-CN"/>
        </w:rPr>
        <w:t>21</w:t>
      </w:r>
      <w:r>
        <w:rPr>
          <w:rFonts w:hint="default" w:ascii="Times New Roman" w:hAnsi="Times New Roman" w:eastAsia="宋体" w:cs="Times New Roman"/>
          <w:sz w:val="21"/>
          <w:szCs w:val="21"/>
          <w:shd w:val="clear" w:color="auto" w:fill="FFFFFF"/>
        </w:rPr>
        <w:t>日)，如有意见，请在公示期内来信或来电向我局反映。</w:t>
      </w:r>
    </w:p>
    <w:p>
      <w:pPr>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联系地址：翁源县行政服务中心大厅二楼环保窗口，邮编：512600</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联系电话：0751-2865286</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shd w:val="clear" w:color="auto" w:fill="FFFFFF"/>
        </w:rPr>
        <w:t>传    真：0751-2865286</w:t>
      </w:r>
    </w:p>
    <w:p>
      <w:pP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听证告知：依据《中华人民共和国行政许可法》，自公示之日起五个工作日内申请人、利害关系人可对以下拟作出的建设项目环境影响评价文件批复决定提出听证申请。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项目名称</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翁源二场养殖项目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建设单位</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广东韶关翁源牧原种猪育种有限公司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建设地点</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翁源县新江镇上坝村坡头坑山脚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环评机构</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韶关智铭达环保科技有限公司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项目概况</w:t>
            </w:r>
          </w:p>
        </w:tc>
        <w:tc>
          <w:tcPr>
            <w:tcW w:w="12299" w:type="dxa"/>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广东韶关翁源牧原种猪育种有限公司拟投资13019万元，选址于韶关市翁源县新江镇上坝村坡头坑山脚，建设翁源二场养殖项目。主要建设规模为存栏2750头母猪，出栏商品猪68750头。主要原辅材料：饲料、消毒剂、五水硫酸铜、食盐、维C、除臭剂。主要建设内容：主体工程、辅助工程、公用工程、饲料生产车间、环保工程等。主要的生产工艺：怀孕舍</w:t>
            </w:r>
            <w:r>
              <w:rPr>
                <w:rFonts w:hint="default" w:ascii="Arial" w:hAnsi="Arial" w:eastAsia="宋体" w:cs="Arial"/>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妊娠15周</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分娩哺乳</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断奶转栏</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接种防疫</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商品猪养殖育肥</w:t>
            </w:r>
            <w:r>
              <w:rPr>
                <w:rFonts w:hint="default" w:ascii="Arial" w:hAnsi="Arial" w:eastAsia="宋体" w:cs="Arial"/>
                <w:sz w:val="21"/>
                <w:szCs w:val="21"/>
                <w:vertAlign w:val="baseline"/>
                <w:lang w:val="en-US" w:eastAsia="zh-CN"/>
              </w:rPr>
              <w:t>→</w:t>
            </w:r>
            <w:r>
              <w:rPr>
                <w:rFonts w:hint="eastAsia" w:ascii="Arial" w:hAnsi="Arial" w:eastAsia="宋体" w:cs="Arial"/>
                <w:sz w:val="21"/>
                <w:szCs w:val="21"/>
                <w:vertAlign w:val="baseline"/>
                <w:lang w:val="en-US" w:eastAsia="zh-CN"/>
              </w:rPr>
              <w:t>商品猪外售</w:t>
            </w:r>
            <w:r>
              <w:rPr>
                <w:rFonts w:hint="eastAsia" w:ascii="Times New Roman" w:hAnsi="Times New Roman" w:eastAsia="宋体" w:cs="Times New Roman"/>
                <w:sz w:val="21"/>
                <w:szCs w:val="21"/>
                <w:vertAlign w:val="baseline"/>
                <w:lang w:val="en-US" w:eastAsia="zh-CN"/>
              </w:rPr>
              <w:t>。本项目劳动定员100人，均在厂区内食宿，年工作日365天。计划于2021年8月开工建设，2022年8月完成建设并投入使用。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Align w:val="center"/>
          </w:tcPr>
          <w:p>
            <w:p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主要环境影响及预防或者减轻不良环境影响的对策和措施</w:t>
            </w:r>
          </w:p>
        </w:tc>
        <w:tc>
          <w:tcPr>
            <w:tcW w:w="12299" w:type="dxa"/>
          </w:tcPr>
          <w:p>
            <w:pPr>
              <w:numPr>
                <w:ilvl w:val="0"/>
                <w:numId w:val="1"/>
              </w:numPr>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施工期产生的主要污染源有废气、废水、噪声、固体废物。施工期间产生的废水主要来自暴雨地表径流、地下水、施工废水及施工人员的生活污水。建设音准须落实好各项防治措施，做好工场污水和导流和排放，施工废水收集后沉砂后全部用于生产，避免工场污水泛滥，污染周边水体环境。生活污水产生的粪便污水经三级厌氧化粪池处理， 食堂污水经隔油隔渣处理后尽量回用场内绿化浇灌或道路洒水，不外排。废气主要有扬尘、施工机械、运输车辆尾气以及临时食堂油烟废气。通过洒水降尘，限制施工车辆行驶速度，在施工工地的出口安装车轮和车体清洗设备，用帆布覆盖易起尘的物料。回填土方堆放场的管理，严禁焚烧废弃的建筑材料，废弃沙土和建材应堆放至指定地点，定期洒水抑尘或加盖防尘网，定期清运等各项措施减少废气污染。固体废物主要有建筑施工工作人员生活垃圾；污水处理厂开挖产生的弃土；管线施工过程中产生的废砖瓦、废弃的建材等。采取及时清扫垃圾，垃圾桶定期送到指定的垃圾处理场进行统一处置。多余的土石方应及时清运，抛弃地应距离施工场地较近减少所需的新建道路和来回运输。余泥渣土排放管理按规定办好排放的手续，制定相关固体废物的管理计划。施工噪声应避免高噪声设备的施工作业，建设单位施工前应申请噪声排污许可证，并张贴告示告知周围居民；严禁在12：00-14：00和21：00-7：00期间作业，有特殊的需申请《夜间作业许可证》；施工场地应设置1.8m高围墙，采用先进的低噪声施工机械和施工工艺，源头减小噪声。使用商品混凝土严禁现场搅拌混凝土，避免使用爆破手段，噪声强度大的设备，须做临时的隔声、消声和减振等有效的防止噪声污染措施。项目周边建立绿化带，备用发电机应做好减振、隔声、消声等降噪措施。</w:t>
            </w:r>
          </w:p>
          <w:p>
            <w:pPr>
              <w:numPr>
                <w:ilvl w:val="0"/>
                <w:numId w:val="1"/>
              </w:numPr>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项目运营期主要的污染有废水、废气、噪声、固体废物、危险废物等。大气污染物主要有恶臭气体NH</w:t>
            </w:r>
            <w:r>
              <w:rPr>
                <w:rFonts w:hint="eastAsia" w:ascii="Times New Roman" w:hAnsi="Times New Roman" w:eastAsia="宋体" w:cs="Times New Roman"/>
                <w:sz w:val="21"/>
                <w:szCs w:val="21"/>
                <w:vertAlign w:val="subscript"/>
                <w:lang w:val="en-US" w:eastAsia="zh-CN"/>
              </w:rPr>
              <w:t>3</w:t>
            </w:r>
            <w:r>
              <w:rPr>
                <w:rFonts w:hint="eastAsia" w:ascii="Times New Roman" w:hAnsi="Times New Roman" w:eastAsia="宋体" w:cs="Times New Roman"/>
                <w:sz w:val="21"/>
                <w:szCs w:val="21"/>
                <w:vertAlign w:val="baseline"/>
                <w:lang w:val="en-US" w:eastAsia="zh-CN"/>
              </w:rPr>
              <w:t>和H</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vertAlign w:val="baseline"/>
                <w:lang w:val="en-US" w:eastAsia="zh-CN"/>
              </w:rPr>
              <w:t>S。沼气燃烧产生的SO</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vertAlign w:val="baseline"/>
                <w:lang w:val="en-US" w:eastAsia="zh-CN"/>
              </w:rPr>
              <w:t>由火炬源排放，饲料生产产生粉尘颗粒物、燃气锅炉废气产生的SO</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vertAlign w:val="baseline"/>
                <w:lang w:val="en-US" w:eastAsia="zh-CN"/>
              </w:rPr>
              <w:t>、NO</w:t>
            </w:r>
            <w:r>
              <w:rPr>
                <w:rFonts w:hint="eastAsia" w:ascii="Times New Roman" w:hAnsi="Times New Roman" w:eastAsia="宋体" w:cs="Times New Roman"/>
                <w:sz w:val="21"/>
                <w:szCs w:val="21"/>
                <w:vertAlign w:val="subscript"/>
                <w:lang w:val="en-US" w:eastAsia="zh-CN"/>
              </w:rPr>
              <w:t>x</w:t>
            </w:r>
            <w:r>
              <w:rPr>
                <w:rFonts w:hint="eastAsia" w:ascii="Times New Roman" w:hAnsi="Times New Roman" w:eastAsia="宋体" w:cs="Times New Roman"/>
                <w:sz w:val="21"/>
                <w:szCs w:val="21"/>
                <w:vertAlign w:val="baseline"/>
                <w:lang w:val="en-US" w:eastAsia="zh-CN"/>
              </w:rPr>
              <w:t>等。建设项目在猪场边界处设置100m卫生防护距离。废水处理设施采用“固液分离+絮凝沉淀+厌氧发酵+两级A0生化处理+暂存池”处理工艺，出水达到《畜禽养殖业污染物排放标准》（DB44/613-2009）中集约化畜禽养殖业水污染物最高允许日排放浓度和《农田灌溉水质标准》旱作水质标准值较严者要求后，排放暂存池暂存。废水53.2%用于浇灌周边桉树，剩余约46.8%再进一步经过MBR+超滤+臭氧消毒”深度处理后，回用于猪舍除臭墙，不外排。采取各种防渗漏措施防止废水、固体废物向地下水发生渗透造成地下水污染。噪声采用降噪减振、隔声消声措施减少噪声。固体废物主要有猪粪、污泥、病死猪及胎盘分泌物、生活垃圾、医疗废物、废脱硫剂、废导热油。从生产工艺入手，尽量不排或少排固体废物；其次将固体废物作为一种可再生的资源进行回收或综合利用；最后对无法或暂时尚不能回收利用的固体废物进行无害化处置。采用“漏缝地板+干清粪”工艺，制作为有机肥基料对外销售。干粪及污泥通过“好氧发酵”处理，全部制作成有机肥基料外售。医疗废物定期交有资质单位安全处置。生活垃圾不与猪粪一起处理，定期清运至附近垃圾站进行无害化处理。废脱硫剂交由厂家更换并回收，废导热油交有相关处理资质的单位处理。</w:t>
            </w:r>
            <w:bookmarkStart w:id="0" w:name="_GoBack"/>
            <w:bookmarkEnd w:id="0"/>
          </w:p>
        </w:tc>
      </w:tr>
    </w:tbl>
    <w:p>
      <w:pPr>
        <w:jc w:val="righ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2021年</w:t>
      </w: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月</w:t>
      </w:r>
      <w:r>
        <w:rPr>
          <w:rFonts w:hint="eastAsia"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1E4E4"/>
    <w:multiLevelType w:val="singleLevel"/>
    <w:tmpl w:val="7B21E4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64B3"/>
    <w:rsid w:val="00704E57"/>
    <w:rsid w:val="07662DC6"/>
    <w:rsid w:val="08E83514"/>
    <w:rsid w:val="0A52288E"/>
    <w:rsid w:val="10BD35DD"/>
    <w:rsid w:val="141278A4"/>
    <w:rsid w:val="157E6BC7"/>
    <w:rsid w:val="19A364B3"/>
    <w:rsid w:val="1BCC4A92"/>
    <w:rsid w:val="1CC004DE"/>
    <w:rsid w:val="1DA946EE"/>
    <w:rsid w:val="241B4B66"/>
    <w:rsid w:val="27A34ADA"/>
    <w:rsid w:val="2A8B0780"/>
    <w:rsid w:val="2C42742B"/>
    <w:rsid w:val="33B73111"/>
    <w:rsid w:val="3DCB6969"/>
    <w:rsid w:val="3E135894"/>
    <w:rsid w:val="401A692B"/>
    <w:rsid w:val="43C40644"/>
    <w:rsid w:val="44903D71"/>
    <w:rsid w:val="47BD670F"/>
    <w:rsid w:val="49B55269"/>
    <w:rsid w:val="4A957645"/>
    <w:rsid w:val="50B2561D"/>
    <w:rsid w:val="578E24D3"/>
    <w:rsid w:val="5C092914"/>
    <w:rsid w:val="5D211272"/>
    <w:rsid w:val="5EFD718D"/>
    <w:rsid w:val="61A25BDF"/>
    <w:rsid w:val="6C262D52"/>
    <w:rsid w:val="6EE937B8"/>
    <w:rsid w:val="70101FE2"/>
    <w:rsid w:val="749F6056"/>
    <w:rsid w:val="74A14732"/>
    <w:rsid w:val="75E97B98"/>
    <w:rsid w:val="76983FB4"/>
    <w:rsid w:val="7B72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2021-05-24T07:10:00Z</dcterms:created>
  <dc:creator>日光海岸</dc:creator>
  <cp:lastModifiedBy>日光海岸</cp:lastModifiedBy>
  <dcterms:modified xsi:type="dcterms:W3CDTF">2021-07-19T03:25:50Z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