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韶关市民政局普法责任清单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（2021年度）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tbl>
      <w:tblPr>
        <w:tblStyle w:val="4"/>
        <w:tblW w:w="14374" w:type="dxa"/>
        <w:jc w:val="center"/>
        <w:tblCellSpacing w:w="0" w:type="dxa"/>
        <w:tblInd w:w="-289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728"/>
        <w:gridCol w:w="2505"/>
        <w:gridCol w:w="4550"/>
        <w:gridCol w:w="2201"/>
        <w:gridCol w:w="14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普法内容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普法对象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主要活动方式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时间进度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《志愿服务条例》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机关、事业单位职工、志愿者及社区居民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每月开展志愿活动特别是重要节日节点开展活动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常年开展，特别是重要节日节点。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社会福利和社会工作科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《中华人民共和国慈善法》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机关、事企业单位干部职工及社区居民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开展慈善帮扶项目及其活动；推进“慈善超市”及“中华慈善日”活动；扎实做好慈善项目推介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常年帮扶宣传与定期开展宣传相结合。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社会救助科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《社会救助暂行办法》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社会公众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现场发放资料、答疑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本年度内完成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社会救助科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《中华人民共和国未成年人保护法》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社会公众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集中宣传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本年度内完成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社会事务科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《中华人民共和国民法典》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会公众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办理婚姻登记手续时发放资料进行宣传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本年度内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社会事务科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《养老机构管理办法》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各县区民政局、各养老机构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文件通知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本年度内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社会福利和社会工作科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《中华人民共和国村民委员会组织法》《中华人民共和国城市居民委员会组织法》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社会公众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集中宣传、网络宣传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12月底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基层政权和区划地名科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《社会团体登记管理条例》《民办非企业单位登记管理暂行条例》《民办非企业单位年度检查办法》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社会组织负责人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培训，发放宣传资料     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本年度内完成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社会组织管理科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《彩票管理条例》、《彩票管理条例实施细则》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社会公众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培训，发放宣传资料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本年度内完成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市福利彩票发行中心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tblCellSpacing w:w="0" w:type="dxa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《中华人民共和国民法典》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社会公众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集中宣传、网络宣传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本年度内完成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各有关科室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5B8B"/>
    <w:rsid w:val="05832B26"/>
    <w:rsid w:val="2DCF424E"/>
    <w:rsid w:val="44D45B8B"/>
    <w:rsid w:val="494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2021-06-16T03:06:00Z</dcterms:created>
  <dc:creator>刘美玲</dc:creator>
  <cp:lastModifiedBy>刘美玲</cp:lastModifiedBy>
  <dcterms:modified xsi:type="dcterms:W3CDTF">2021-06-16T03:25:12Z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