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(2021年6月15日)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640"/>
        <w:gridCol w:w="559"/>
        <w:gridCol w:w="4838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始兴县马市兴峰药店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483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非处方药、处方药（注射剂、肿瘤治疗药、抗生素制剂、生物制品、第二类精神药品、医疗用毒性药品、罂粟壳、中药饮片以及其他必须凭处方销售的药品除外）：中成药、化学药制剂、生化药品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处方药、非处方药：中药饮片、中成药、化学药制剂、抗生素制剂、生化药品、生物制品（疫苗除外）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2021年6月15日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627B4AF3"/>
    <w:rsid w:val="654B2086"/>
    <w:rsid w:val="6597100F"/>
    <w:rsid w:val="65DD22E0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uiPriority w:val="0"/>
    <w:rPr>
      <w:shd w:val="clear" w:fill="FF0000"/>
    </w:rPr>
  </w:style>
  <w:style w:type="character" w:customStyle="1" w:styleId="25">
    <w:name w:val="green2"/>
    <w:basedOn w:val="5"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2021-06-11T09:39:38Z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0776FD860FAE4312A91FA784EFC7F5EB</vt:lpwstr>
  </property>
</Properties>
</file>