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sz w:val="44"/>
          <w:szCs w:val="44"/>
        </w:rPr>
        <w:t>翁源县人民政府关于</w:t>
      </w:r>
      <w:r>
        <w:rPr>
          <w:rFonts w:hint="eastAsia" w:ascii="方正小标宋简体" w:hAnsi="宋体" w:eastAsia="方正小标宋简体" w:cs="宋体"/>
          <w:bCs/>
          <w:kern w:val="0"/>
          <w:sz w:val="44"/>
          <w:szCs w:val="44"/>
        </w:rPr>
        <w:t>2018年度县级</w:t>
      </w:r>
    </w:p>
    <w:p>
      <w:pPr>
        <w:spacing w:line="560" w:lineRule="exact"/>
        <w:jc w:val="center"/>
        <w:rPr>
          <w:rFonts w:ascii="方正小标宋简体" w:hAnsi="宋体" w:eastAsia="方正小标宋简体" w:cs="宋体"/>
          <w:bCs/>
          <w:kern w:val="0"/>
          <w:sz w:val="44"/>
          <w:szCs w:val="44"/>
        </w:rPr>
      </w:pPr>
      <w:r>
        <w:rPr>
          <w:rFonts w:hint="eastAsia" w:ascii="方正小标宋简体" w:eastAsia="方正小标宋简体"/>
          <w:sz w:val="44"/>
          <w:szCs w:val="44"/>
        </w:rPr>
        <w:t>预算执行和其他财政收支</w:t>
      </w:r>
      <w:r>
        <w:rPr>
          <w:rFonts w:hint="eastAsia" w:ascii="方正小标宋简体" w:hAnsi="宋体" w:eastAsia="方正小标宋简体" w:cs="宋体"/>
          <w:bCs/>
          <w:kern w:val="0"/>
          <w:sz w:val="44"/>
          <w:szCs w:val="44"/>
        </w:rPr>
        <w:t>审计</w:t>
      </w:r>
    </w:p>
    <w:p>
      <w:pPr>
        <w:spacing w:line="560" w:lineRule="exact"/>
        <w:jc w:val="center"/>
        <w:rPr>
          <w:rFonts w:ascii="方正小标宋简体" w:eastAsia="方正小标宋简体"/>
          <w:sz w:val="44"/>
          <w:szCs w:val="44"/>
        </w:rPr>
      </w:pPr>
      <w:r>
        <w:rPr>
          <w:rFonts w:hint="eastAsia" w:ascii="方正小标宋简体" w:hAnsi="宋体" w:eastAsia="方正小标宋简体" w:cs="宋体"/>
          <w:bCs/>
          <w:kern w:val="0"/>
          <w:sz w:val="44"/>
          <w:szCs w:val="44"/>
        </w:rPr>
        <w:t>查出问题</w:t>
      </w:r>
      <w:r>
        <w:rPr>
          <w:rFonts w:hint="eastAsia" w:ascii="方正小标宋简体" w:hAnsi="宋体" w:eastAsia="方正小标宋简体"/>
          <w:sz w:val="44"/>
          <w:szCs w:val="44"/>
        </w:rPr>
        <w:t>整改情况的报告</w:t>
      </w:r>
    </w:p>
    <w:p>
      <w:pPr>
        <w:spacing w:line="560" w:lineRule="exact"/>
        <w:jc w:val="center"/>
        <w:rPr>
          <w:rFonts w:ascii="仿宋_GB2312"/>
          <w:szCs w:val="32"/>
        </w:rPr>
      </w:pPr>
      <w:r>
        <w:rPr>
          <w:rFonts w:hint="eastAsia" w:ascii="仿宋_GB2312"/>
          <w:szCs w:val="32"/>
        </w:rPr>
        <w:t>——2020年4月29日在翁源县第十五届人民代表大会</w:t>
      </w:r>
    </w:p>
    <w:p>
      <w:pPr>
        <w:spacing w:line="560" w:lineRule="exact"/>
        <w:jc w:val="center"/>
        <w:rPr>
          <w:rFonts w:ascii="仿宋_GB2312"/>
          <w:szCs w:val="32"/>
        </w:rPr>
      </w:pPr>
      <w:r>
        <w:rPr>
          <w:rFonts w:hint="eastAsia" w:ascii="仿宋_GB2312"/>
          <w:szCs w:val="32"/>
        </w:rPr>
        <w:t>常务委员会第四十一次会议上</w:t>
      </w:r>
    </w:p>
    <w:p>
      <w:pPr>
        <w:spacing w:line="560" w:lineRule="exact"/>
        <w:jc w:val="center"/>
        <w:rPr>
          <w:rFonts w:ascii="仿宋_GB2312"/>
          <w:szCs w:val="32"/>
        </w:rPr>
      </w:pPr>
      <w:r>
        <w:rPr>
          <w:rFonts w:hint="eastAsia" w:ascii="仿宋_GB2312"/>
          <w:szCs w:val="32"/>
        </w:rPr>
        <w:t>翁源县审计局局长  许奕堂</w:t>
      </w:r>
    </w:p>
    <w:p>
      <w:pPr>
        <w:spacing w:line="560" w:lineRule="exact"/>
        <w:rPr>
          <w:rFonts w:ascii="仿宋_GB2312"/>
          <w:szCs w:val="32"/>
        </w:rPr>
      </w:pPr>
    </w:p>
    <w:p>
      <w:pPr>
        <w:spacing w:line="560" w:lineRule="exact"/>
        <w:rPr>
          <w:rFonts w:ascii="仿宋_GB2312"/>
          <w:szCs w:val="32"/>
        </w:rPr>
      </w:pPr>
      <w:r>
        <w:rPr>
          <w:rFonts w:hint="eastAsia" w:ascii="仿宋_GB2312"/>
          <w:szCs w:val="32"/>
        </w:rPr>
        <w:t>主任、各位副主任、各位委员：</w:t>
      </w:r>
    </w:p>
    <w:p>
      <w:pPr>
        <w:spacing w:line="560" w:lineRule="exact"/>
        <w:ind w:firstLine="640" w:firstLineChars="200"/>
        <w:rPr>
          <w:rFonts w:ascii="仿宋_GB2312"/>
          <w:szCs w:val="32"/>
        </w:rPr>
      </w:pPr>
      <w:r>
        <w:rPr>
          <w:rFonts w:hint="eastAsia" w:ascii="仿宋_GB2312"/>
          <w:szCs w:val="32"/>
        </w:rPr>
        <w:t>受县人民政府委托，我向县人大常委会报告关于</w:t>
      </w:r>
      <w:r>
        <w:rPr>
          <w:rFonts w:hint="eastAsia" w:ascii="仿宋_GB2312"/>
          <w:bCs/>
          <w:szCs w:val="32"/>
        </w:rPr>
        <w:t>2018年度县级</w:t>
      </w:r>
      <w:r>
        <w:rPr>
          <w:rFonts w:hint="eastAsia" w:ascii="仿宋_GB2312"/>
          <w:szCs w:val="32"/>
        </w:rPr>
        <w:t>预算执行和其他财政收支</w:t>
      </w:r>
      <w:r>
        <w:rPr>
          <w:rFonts w:hint="eastAsia" w:ascii="仿宋_GB2312"/>
          <w:bCs/>
          <w:szCs w:val="32"/>
        </w:rPr>
        <w:t>审计</w:t>
      </w:r>
      <w:r>
        <w:rPr>
          <w:rFonts w:hint="eastAsia" w:ascii="仿宋_GB2312"/>
          <w:szCs w:val="32"/>
        </w:rPr>
        <w:t>查出</w:t>
      </w:r>
      <w:r>
        <w:rPr>
          <w:rFonts w:hint="eastAsia" w:ascii="仿宋_GB2312"/>
          <w:bCs/>
          <w:szCs w:val="32"/>
        </w:rPr>
        <w:t>问题的</w:t>
      </w:r>
      <w:r>
        <w:rPr>
          <w:rFonts w:hint="eastAsia" w:ascii="仿宋_GB2312"/>
          <w:szCs w:val="32"/>
        </w:rPr>
        <w:t>整改情况，请予审议。</w:t>
      </w:r>
    </w:p>
    <w:p>
      <w:pPr>
        <w:spacing w:line="560" w:lineRule="exact"/>
        <w:ind w:firstLine="640" w:firstLineChars="200"/>
        <w:rPr>
          <w:rStyle w:val="11"/>
          <w:rFonts w:ascii="仿宋_GB2312" w:hAnsi="宋体"/>
          <w:szCs w:val="32"/>
        </w:rPr>
      </w:pPr>
      <w:r>
        <w:rPr>
          <w:rStyle w:val="11"/>
          <w:rFonts w:hint="eastAsia" w:ascii="仿宋_GB2312" w:hAnsi="宋体"/>
          <w:szCs w:val="30"/>
        </w:rPr>
        <w:t>2019年8月，县</w:t>
      </w:r>
      <w:r>
        <w:rPr>
          <w:rFonts w:hint="eastAsia" w:ascii="仿宋_GB2312" w:hAnsi="宋体"/>
          <w:szCs w:val="30"/>
        </w:rPr>
        <w:t>第十五届人民代表大会常务委员会第三十二次会议</w:t>
      </w:r>
      <w:r>
        <w:rPr>
          <w:rStyle w:val="11"/>
          <w:rFonts w:hint="eastAsia" w:ascii="仿宋_GB2312" w:hAnsi="宋体"/>
          <w:szCs w:val="30"/>
        </w:rPr>
        <w:t>听取和审议了《翁</w:t>
      </w:r>
      <w:r>
        <w:rPr>
          <w:rFonts w:hint="eastAsia" w:ascii="仿宋_GB2312"/>
        </w:rPr>
        <w:t>源县人民政府关于2018年度县级预算执行和其他财政收支的审计工作报告》，并提出了具体的审议意见。</w:t>
      </w:r>
      <w:r>
        <w:rPr>
          <w:rFonts w:hint="eastAsia" w:ascii="仿宋_GB2312" w:hAnsi="宋体"/>
          <w:szCs w:val="32"/>
        </w:rPr>
        <w:t>县政府高度重视审计整改工作，督促相关单位就《审计工作报告》中反映的存在问题按照</w:t>
      </w:r>
      <w:r>
        <w:rPr>
          <w:rFonts w:hint="eastAsia" w:ascii="仿宋_GB2312"/>
        </w:rPr>
        <w:t>审议意见的要求</w:t>
      </w:r>
      <w:r>
        <w:rPr>
          <w:rFonts w:hint="eastAsia" w:ascii="仿宋_GB2312" w:hAnsi="宋体"/>
          <w:szCs w:val="32"/>
        </w:rPr>
        <w:t>进行整改。有关部门能够提高政治站位，将审计查出问题纳入主题教育检视问题清单，把整改工作列为重大政治任务抓紧落实，确保整改到位。县审计局积极跟踪督促整改，整改工作得到了较好的落实。</w:t>
      </w:r>
    </w:p>
    <w:p>
      <w:pPr>
        <w:widowControl/>
        <w:spacing w:line="560" w:lineRule="exact"/>
        <w:ind w:firstLine="480" w:firstLineChars="150"/>
        <w:rPr>
          <w:rFonts w:ascii="黑体" w:hAnsi="黑体" w:eastAsia="黑体"/>
          <w:color w:val="000000"/>
          <w:szCs w:val="20"/>
        </w:rPr>
      </w:pPr>
      <w:r>
        <w:rPr>
          <w:rFonts w:ascii="黑体" w:hAnsi="黑体" w:eastAsia="黑体"/>
          <w:color w:val="000000"/>
          <w:szCs w:val="20"/>
        </w:rPr>
        <w:t>一</w:t>
      </w:r>
      <w:r>
        <w:rPr>
          <w:rFonts w:hint="eastAsia" w:ascii="黑体" w:hAnsi="黑体" w:eastAsia="黑体"/>
          <w:color w:val="000000"/>
          <w:szCs w:val="20"/>
        </w:rPr>
        <w:t>、县本级</w:t>
      </w:r>
      <w:r>
        <w:rPr>
          <w:rFonts w:ascii="黑体" w:hAnsi="黑体" w:eastAsia="黑体"/>
          <w:color w:val="000000"/>
          <w:szCs w:val="20"/>
        </w:rPr>
        <w:t>财政管理审计</w:t>
      </w:r>
      <w:r>
        <w:rPr>
          <w:rFonts w:hint="eastAsia" w:ascii="黑体" w:hAnsi="黑体" w:eastAsia="黑体"/>
          <w:color w:val="000000"/>
          <w:szCs w:val="20"/>
        </w:rPr>
        <w:t>发现问题整改</w:t>
      </w:r>
      <w:r>
        <w:rPr>
          <w:rFonts w:ascii="黑体" w:hAnsi="黑体" w:eastAsia="黑体"/>
          <w:color w:val="000000"/>
          <w:szCs w:val="20"/>
        </w:rPr>
        <w:t>情况</w:t>
      </w:r>
    </w:p>
    <w:p>
      <w:pPr>
        <w:spacing w:line="560" w:lineRule="exact"/>
        <w:ind w:firstLine="640" w:firstLineChars="200"/>
        <w:rPr>
          <w:rStyle w:val="11"/>
          <w:rFonts w:ascii="楷体_GB2312" w:hAnsi="宋体" w:eastAsia="楷体_GB2312"/>
          <w:color w:val="000000" w:themeColor="text1"/>
          <w:szCs w:val="32"/>
          <w14:textFill>
            <w14:solidFill>
              <w14:schemeClr w14:val="tx1"/>
            </w14:solidFill>
          </w14:textFill>
        </w:rPr>
      </w:pPr>
      <w:r>
        <w:rPr>
          <w:rStyle w:val="11"/>
          <w:rFonts w:hint="eastAsia" w:ascii="楷体_GB2312" w:hAnsi="宋体" w:eastAsia="楷体_GB2312"/>
          <w:color w:val="000000" w:themeColor="text1"/>
          <w:szCs w:val="32"/>
          <w14:textFill>
            <w14:solidFill>
              <w14:schemeClr w14:val="tx1"/>
            </w14:solidFill>
          </w14:textFill>
        </w:rPr>
        <w:t>（一）关于“</w:t>
      </w:r>
      <w:r>
        <w:rPr>
          <w:rFonts w:hint="eastAsia" w:ascii="楷体_GB2312" w:hAnsi="宋体" w:eastAsia="楷体_GB2312"/>
          <w:color w:val="000000" w:themeColor="text1"/>
          <w:szCs w:val="32"/>
          <w14:textFill>
            <w14:solidFill>
              <w14:schemeClr w14:val="tx1"/>
            </w14:solidFill>
          </w14:textFill>
        </w:rPr>
        <w:t>部分代扣的机关事业单位个人职业年金未按规定缴入社保基金账户</w:t>
      </w:r>
      <w:r>
        <w:rPr>
          <w:rStyle w:val="11"/>
          <w:rFonts w:hint="eastAsia" w:ascii="楷体_GB2312" w:hAnsi="宋体" w:eastAsia="楷体_GB2312"/>
          <w:color w:val="000000" w:themeColor="text1"/>
          <w:szCs w:val="32"/>
          <w14:textFill>
            <w14:solidFill>
              <w14:schemeClr w14:val="tx1"/>
            </w14:solidFill>
          </w14:textFill>
        </w:rPr>
        <w:t>”的问题</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根据最近省市下发关于开展机关事业单位职业年金补缴工作的通知，县财政局与人力资源和社会保障局联合出台了《翁源县贯彻落实职业年金清算补征工作方案》。截至2019年8月底，已根据社保分局做实的职业年金基金情况，将代扣的机关事业单位职业年金全部拨付给各机关事业单位，作为补缴职业年金的个人部分。</w:t>
      </w:r>
    </w:p>
    <w:p>
      <w:pPr>
        <w:spacing w:line="560" w:lineRule="exact"/>
        <w:ind w:firstLine="640" w:firstLineChars="200"/>
        <w:rPr>
          <w:rStyle w:val="11"/>
          <w:rFonts w:ascii="楷体_GB2312" w:eastAsia="楷体_GB2312"/>
        </w:rPr>
      </w:pPr>
      <w:r>
        <w:rPr>
          <w:rStyle w:val="11"/>
          <w:rFonts w:hint="eastAsia" w:ascii="楷体_GB2312" w:hAnsi="宋体" w:eastAsia="楷体_GB2312"/>
          <w:color w:val="000000" w:themeColor="text1"/>
          <w:szCs w:val="32"/>
          <w14:textFill>
            <w14:solidFill>
              <w14:schemeClr w14:val="tx1"/>
            </w14:solidFill>
          </w14:textFill>
        </w:rPr>
        <w:t>（二）</w:t>
      </w:r>
      <w:r>
        <w:rPr>
          <w:rStyle w:val="11"/>
          <w:rFonts w:hint="eastAsia" w:ascii="楷体_GB2312" w:eastAsia="楷体_GB2312"/>
        </w:rPr>
        <w:t>关于“提前列支或提前拨付资金，涉及金额6.35亿元”的问题</w:t>
      </w:r>
    </w:p>
    <w:p>
      <w:pPr>
        <w:spacing w:line="560" w:lineRule="exact"/>
        <w:ind w:firstLine="640" w:firstLineChars="200"/>
        <w:rPr>
          <w:rStyle w:val="11"/>
        </w:rPr>
      </w:pPr>
      <w:r>
        <w:rPr>
          <w:rStyle w:val="11"/>
          <w:rFonts w:hint="eastAsia" w:ascii="仿宋_GB2312"/>
        </w:rPr>
        <w:t>县</w:t>
      </w:r>
      <w:r>
        <w:rPr>
          <w:rStyle w:val="11"/>
          <w:rFonts w:hint="eastAsia"/>
        </w:rPr>
        <w:t>财政局明确今后将做好资金拨付工作：</w:t>
      </w:r>
      <w:r>
        <w:rPr>
          <w:rStyle w:val="11"/>
          <w:rFonts w:hint="eastAsia"/>
          <w:b/>
        </w:rPr>
        <w:t>一是</w:t>
      </w:r>
      <w:r>
        <w:rPr>
          <w:rStyle w:val="11"/>
          <w:rFonts w:hint="eastAsia"/>
        </w:rPr>
        <w:t>大力加快财政支出力度，督促专项转移资金使用单位加快对应项目支出进度，积极消化存量资金；</w:t>
      </w:r>
      <w:r>
        <w:rPr>
          <w:rStyle w:val="11"/>
          <w:rFonts w:hint="eastAsia"/>
          <w:b/>
        </w:rPr>
        <w:t>二是</w:t>
      </w:r>
      <w:r>
        <w:rPr>
          <w:rStyle w:val="11"/>
          <w:rFonts w:hint="eastAsia"/>
        </w:rPr>
        <w:t>严格执行预算法等有关规定，杜绝提前列支行为，确保财政资金的安全。</w:t>
      </w:r>
    </w:p>
    <w:p>
      <w:pPr>
        <w:spacing w:line="560" w:lineRule="exact"/>
        <w:ind w:firstLine="640" w:firstLineChars="200"/>
        <w:rPr>
          <w:rStyle w:val="11"/>
          <w:rFonts w:ascii="楷体_GB2312" w:hAnsi="宋体" w:eastAsia="楷体_GB2312"/>
          <w:szCs w:val="32"/>
        </w:rPr>
      </w:pPr>
      <w:r>
        <w:rPr>
          <w:rStyle w:val="11"/>
          <w:rFonts w:hint="eastAsia" w:ascii="楷体_GB2312" w:hAnsi="宋体" w:eastAsia="楷体_GB2312"/>
          <w:szCs w:val="32"/>
        </w:rPr>
        <w:t>（三）关于“部分非税收入存量资金未及时缴入县国库”的问题</w:t>
      </w:r>
    </w:p>
    <w:p>
      <w:pPr>
        <w:spacing w:line="560" w:lineRule="exact"/>
        <w:ind w:firstLine="640" w:firstLineChars="200"/>
        <w:rPr>
          <w:rStyle w:val="11"/>
        </w:rPr>
      </w:pPr>
      <w:r>
        <w:rPr>
          <w:rStyle w:val="11"/>
          <w:rFonts w:hint="eastAsia" w:ascii="仿宋_GB2312" w:hAnsi="宋体"/>
          <w:szCs w:val="32"/>
        </w:rPr>
        <w:t>县财政局已将2018年非税资金收入全额缴入国库。并明确</w:t>
      </w:r>
      <w:r>
        <w:rPr>
          <w:rStyle w:val="11"/>
          <w:rFonts w:hint="eastAsia"/>
        </w:rPr>
        <w:t>将加强财务管理，在非税资金缴入、支出两端建立对应台账，做到非税收入存量资金及时缴入，盘活存量资金。</w:t>
      </w:r>
    </w:p>
    <w:p>
      <w:pPr>
        <w:widowControl/>
        <w:spacing w:line="560" w:lineRule="exact"/>
        <w:ind w:firstLine="480" w:firstLineChars="150"/>
        <w:rPr>
          <w:rFonts w:ascii="黑体" w:hAnsi="黑体" w:eastAsia="黑体"/>
          <w:color w:val="000000"/>
          <w:szCs w:val="20"/>
        </w:rPr>
      </w:pPr>
      <w:r>
        <w:rPr>
          <w:rFonts w:hint="eastAsia" w:ascii="黑体" w:hAnsi="黑体" w:eastAsia="黑体"/>
          <w:color w:val="000000"/>
          <w:szCs w:val="20"/>
        </w:rPr>
        <w:t>二、部门预算执行审计发现问题整改情况</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县委</w:t>
      </w:r>
      <w:bookmarkStart w:id="0" w:name="_GoBack"/>
      <w:bookmarkEnd w:id="0"/>
      <w:r>
        <w:rPr>
          <w:rStyle w:val="11"/>
          <w:rFonts w:hint="eastAsia" w:ascii="仿宋_GB2312" w:hAnsi="宋体"/>
          <w:color w:val="000000" w:themeColor="text1"/>
          <w:szCs w:val="32"/>
          <w:lang w:eastAsia="zh-CN"/>
          <w14:textFill>
            <w14:solidFill>
              <w14:schemeClr w14:val="tx1"/>
            </w14:solidFill>
          </w14:textFill>
        </w:rPr>
        <w:t>老干部局</w:t>
      </w:r>
      <w:r>
        <w:rPr>
          <w:rStyle w:val="11"/>
          <w:rFonts w:hint="eastAsia" w:ascii="仿宋_GB2312" w:hAnsi="宋体"/>
          <w:color w:val="000000" w:themeColor="text1"/>
          <w:szCs w:val="32"/>
          <w14:textFill>
            <w14:solidFill>
              <w14:schemeClr w14:val="tx1"/>
            </w14:solidFill>
          </w14:textFill>
        </w:rPr>
        <w:t>、县工商联、</w:t>
      </w:r>
      <w:r>
        <w:rPr>
          <w:rFonts w:hint="eastAsia" w:ascii="仿宋_GB2312" w:hAnsi="宋体"/>
          <w:iCs/>
          <w:color w:val="000000" w:themeColor="text1"/>
          <w:szCs w:val="32"/>
          <w14:textFill>
            <w14:solidFill>
              <w14:schemeClr w14:val="tx1"/>
            </w14:solidFill>
          </w14:textFill>
        </w:rPr>
        <w:t>县编办、</w:t>
      </w:r>
      <w:r>
        <w:rPr>
          <w:rStyle w:val="11"/>
          <w:rFonts w:hint="eastAsia" w:ascii="仿宋_GB2312" w:hAnsi="宋体"/>
          <w:color w:val="000000" w:themeColor="text1"/>
          <w:szCs w:val="32"/>
          <w14:textFill>
            <w14:solidFill>
              <w14:schemeClr w14:val="tx1"/>
            </w14:solidFill>
          </w14:textFill>
        </w:rPr>
        <w:t>县国土资源局等4个县直单位能重视审计查出的问题，分别认真制定整改措施，组织和推进审计整改工作的落实。整改具体情况如下：</w:t>
      </w:r>
    </w:p>
    <w:p>
      <w:pPr>
        <w:spacing w:line="560" w:lineRule="exact"/>
        <w:ind w:firstLine="640" w:firstLineChars="200"/>
        <w:rPr>
          <w:rStyle w:val="11"/>
          <w:rFonts w:ascii="楷体_GB2312" w:hAnsi="宋体" w:eastAsia="楷体_GB2312"/>
          <w:color w:val="000000" w:themeColor="text1"/>
          <w:szCs w:val="32"/>
          <w14:textFill>
            <w14:solidFill>
              <w14:schemeClr w14:val="tx1"/>
            </w14:solidFill>
          </w14:textFill>
        </w:rPr>
      </w:pPr>
      <w:r>
        <w:rPr>
          <w:rStyle w:val="11"/>
          <w:rFonts w:hint="eastAsia" w:ascii="楷体_GB2312" w:hAnsi="宋体" w:eastAsia="楷体_GB2312"/>
          <w:color w:val="000000" w:themeColor="text1"/>
          <w:szCs w:val="32"/>
          <w14:textFill>
            <w14:solidFill>
              <w14:schemeClr w14:val="tx1"/>
            </w14:solidFill>
          </w14:textFill>
        </w:rPr>
        <w:t>（一）关于“县委</w:t>
      </w:r>
      <w:r>
        <w:rPr>
          <w:rStyle w:val="11"/>
          <w:rFonts w:hint="eastAsia" w:ascii="楷体_GB2312" w:hAnsi="宋体" w:eastAsia="楷体_GB2312"/>
          <w:color w:val="000000" w:themeColor="text1"/>
          <w:szCs w:val="32"/>
          <w:lang w:eastAsia="zh-CN"/>
          <w14:textFill>
            <w14:solidFill>
              <w14:schemeClr w14:val="tx1"/>
            </w14:solidFill>
          </w14:textFill>
        </w:rPr>
        <w:t>老干部局</w:t>
      </w:r>
      <w:r>
        <w:rPr>
          <w:rStyle w:val="11"/>
          <w:rFonts w:hint="eastAsia" w:ascii="楷体_GB2312" w:hAnsi="宋体" w:eastAsia="楷体_GB2312"/>
          <w:color w:val="000000" w:themeColor="text1"/>
          <w:szCs w:val="32"/>
          <w14:textFill>
            <w14:solidFill>
              <w14:schemeClr w14:val="tx1"/>
            </w14:solidFill>
          </w14:textFill>
        </w:rPr>
        <w:t>和县工商联2个单位的部门预算编制不够科学、不够准确”的问题</w:t>
      </w:r>
    </w:p>
    <w:p>
      <w:pPr>
        <w:spacing w:line="560" w:lineRule="exact"/>
        <w:ind w:firstLine="800" w:firstLineChars="25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县委</w:t>
      </w:r>
      <w:r>
        <w:rPr>
          <w:rStyle w:val="11"/>
          <w:rFonts w:hint="eastAsia" w:ascii="仿宋_GB2312" w:hAnsi="宋体"/>
          <w:color w:val="000000" w:themeColor="text1"/>
          <w:szCs w:val="32"/>
          <w:lang w:eastAsia="zh-CN"/>
          <w14:textFill>
            <w14:solidFill>
              <w14:schemeClr w14:val="tx1"/>
            </w14:solidFill>
          </w14:textFill>
        </w:rPr>
        <w:t>老干部局</w:t>
      </w:r>
      <w:r>
        <w:rPr>
          <w:rStyle w:val="11"/>
          <w:rFonts w:hint="eastAsia" w:ascii="仿宋_GB2312" w:hAnsi="宋体"/>
          <w:color w:val="000000" w:themeColor="text1"/>
          <w:szCs w:val="32"/>
          <w14:textFill>
            <w14:solidFill>
              <w14:schemeClr w14:val="tx1"/>
            </w14:solidFill>
          </w14:textFill>
        </w:rPr>
        <w:t>和县工商联2个单位</w:t>
      </w:r>
      <w:r>
        <w:rPr>
          <w:rStyle w:val="11"/>
          <w:rFonts w:hint="eastAsia" w:ascii="仿宋_GB2312" w:hAnsi="华文仿宋"/>
          <w:szCs w:val="32"/>
        </w:rPr>
        <w:t>根据审计报告提出的要求完成了整改</w:t>
      </w:r>
      <w:r>
        <w:rPr>
          <w:rStyle w:val="11"/>
          <w:rFonts w:hint="eastAsia" w:ascii="仿宋_GB2312" w:hAnsi="宋体"/>
          <w:color w:val="000000" w:themeColor="text1"/>
          <w:szCs w:val="32"/>
          <w14:textFill>
            <w14:solidFill>
              <w14:schemeClr w14:val="tx1"/>
            </w14:solidFill>
          </w14:textFill>
        </w:rPr>
        <w:t>，</w:t>
      </w:r>
      <w:r>
        <w:rPr>
          <w:rFonts w:hint="eastAsia" w:ascii="仿宋_GB2312" w:hAnsi="楷体" w:cs="宋体"/>
          <w:color w:val="000000" w:themeColor="text1"/>
          <w:kern w:val="0"/>
          <w:szCs w:val="32"/>
          <w14:textFill>
            <w14:solidFill>
              <w14:schemeClr w14:val="tx1"/>
            </w14:solidFill>
          </w14:textFill>
        </w:rPr>
        <w:t>并将按新预算法和国家相关规定，</w:t>
      </w:r>
      <w:r>
        <w:rPr>
          <w:rStyle w:val="11"/>
          <w:rFonts w:hint="eastAsia" w:ascii="仿宋_GB2312" w:hAnsi="宋体"/>
          <w:color w:val="000000" w:themeColor="text1"/>
          <w:szCs w:val="32"/>
          <w14:textFill>
            <w14:solidFill>
              <w14:schemeClr w14:val="tx1"/>
            </w14:solidFill>
          </w14:textFill>
        </w:rPr>
        <w:t>加强部门预算编制工作，做到精准安排预算资金，结合上一年度预算执行情况和本年度预算收支变化因素，准确、完整、规范编制本单位年度预算，做实、做细、做准部门预算，切实提高预算编制准确率。</w:t>
      </w:r>
    </w:p>
    <w:p>
      <w:pPr>
        <w:spacing w:line="560" w:lineRule="exact"/>
        <w:ind w:firstLine="640" w:firstLineChars="200"/>
        <w:rPr>
          <w:rStyle w:val="11"/>
          <w:rFonts w:ascii="楷体_GB2312" w:hAnsi="宋体" w:eastAsia="楷体_GB2312"/>
          <w:color w:val="000000" w:themeColor="text1"/>
          <w:szCs w:val="32"/>
          <w14:textFill>
            <w14:solidFill>
              <w14:schemeClr w14:val="tx1"/>
            </w14:solidFill>
          </w14:textFill>
        </w:rPr>
      </w:pPr>
      <w:r>
        <w:rPr>
          <w:rStyle w:val="11"/>
          <w:rFonts w:hint="eastAsia" w:ascii="楷体_GB2312" w:eastAsia="楷体_GB2312"/>
          <w:color w:val="000000" w:themeColor="text1"/>
          <w14:textFill>
            <w14:solidFill>
              <w14:schemeClr w14:val="tx1"/>
            </w14:solidFill>
          </w14:textFill>
        </w:rPr>
        <w:t>（二）</w:t>
      </w:r>
      <w:r>
        <w:rPr>
          <w:rStyle w:val="11"/>
          <w:rFonts w:hint="eastAsia" w:ascii="楷体_GB2312" w:hAnsi="宋体" w:eastAsia="楷体_GB2312"/>
          <w:color w:val="000000" w:themeColor="text1"/>
          <w:szCs w:val="32"/>
          <w14:textFill>
            <w14:solidFill>
              <w14:schemeClr w14:val="tx1"/>
            </w14:solidFill>
          </w14:textFill>
        </w:rPr>
        <w:t>关于“</w:t>
      </w:r>
      <w:r>
        <w:rPr>
          <w:rFonts w:hint="eastAsia" w:ascii="楷体_GB2312" w:hAnsi="宋体" w:eastAsia="楷体_GB2312"/>
          <w:color w:val="000000" w:themeColor="text1"/>
          <w:szCs w:val="32"/>
          <w14:textFill>
            <w14:solidFill>
              <w14:schemeClr w14:val="tx1"/>
            </w14:solidFill>
          </w14:textFill>
        </w:rPr>
        <w:t>县工商联、县编办和县国土资源局3个单位未按照规定执行部门预算，存在超预算和无预算列支行为</w:t>
      </w:r>
      <w:r>
        <w:rPr>
          <w:rStyle w:val="11"/>
          <w:rFonts w:hint="eastAsia" w:ascii="楷体_GB2312" w:hAnsi="宋体" w:eastAsia="楷体_GB2312"/>
          <w:color w:val="000000" w:themeColor="text1"/>
          <w:szCs w:val="32"/>
          <w14:textFill>
            <w14:solidFill>
              <w14:schemeClr w14:val="tx1"/>
            </w14:solidFill>
          </w14:textFill>
        </w:rPr>
        <w:t>”的问题</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县工商联、县编办和县国土资源局3个单位根据审计报告提出的要求完成了整改</w:t>
      </w:r>
      <w:r>
        <w:rPr>
          <w:rStyle w:val="11"/>
          <w:rFonts w:hint="eastAsia" w:ascii="仿宋_GB2312" w:hAnsi="宋体"/>
          <w:color w:val="000000" w:themeColor="text1"/>
          <w:szCs w:val="32"/>
          <w14:textFill>
            <w14:solidFill>
              <w14:schemeClr w14:val="tx1"/>
            </w14:solidFill>
          </w14:textFill>
        </w:rPr>
        <w:t>，</w:t>
      </w:r>
      <w:r>
        <w:rPr>
          <w:rFonts w:hint="eastAsia" w:ascii="仿宋_GB2312" w:hAnsi="宋体"/>
          <w:color w:val="000000" w:themeColor="text1"/>
          <w:szCs w:val="32"/>
          <w14:textFill>
            <w14:solidFill>
              <w14:schemeClr w14:val="tx1"/>
            </w14:solidFill>
          </w14:textFill>
        </w:rPr>
        <w:t>今后将根据实际情况及相关因素全面、合理、准确编制年初预算，严格按照实际工作需要安排预算资金。</w:t>
      </w:r>
    </w:p>
    <w:p>
      <w:pPr>
        <w:spacing w:line="560" w:lineRule="exact"/>
        <w:ind w:firstLine="640" w:firstLineChars="200"/>
        <w:rPr>
          <w:rStyle w:val="11"/>
          <w:rFonts w:ascii="楷体_GB2312" w:hAnsi="宋体" w:eastAsia="楷体_GB2312"/>
          <w:color w:val="000000" w:themeColor="text1"/>
          <w:szCs w:val="32"/>
          <w14:textFill>
            <w14:solidFill>
              <w14:schemeClr w14:val="tx1"/>
            </w14:solidFill>
          </w14:textFill>
        </w:rPr>
      </w:pPr>
      <w:r>
        <w:rPr>
          <w:rStyle w:val="11"/>
          <w:rFonts w:hint="eastAsia" w:ascii="楷体_GB2312" w:hAnsi="宋体" w:eastAsia="楷体_GB2312"/>
          <w:color w:val="000000" w:themeColor="text1"/>
          <w:szCs w:val="32"/>
          <w14:textFill>
            <w14:solidFill>
              <w14:schemeClr w14:val="tx1"/>
            </w14:solidFill>
          </w14:textFill>
        </w:rPr>
        <w:t>（三）关于“</w:t>
      </w:r>
      <w:r>
        <w:rPr>
          <w:rFonts w:hint="eastAsia" w:ascii="楷体_GB2312" w:eastAsia="楷体_GB2312" w:cs="仿宋_GB2312"/>
          <w:color w:val="000000" w:themeColor="text1"/>
          <w14:textFill>
            <w14:solidFill>
              <w14:schemeClr w14:val="tx1"/>
            </w14:solidFill>
          </w14:textFill>
        </w:rPr>
        <w:t>县国土资源局、</w:t>
      </w:r>
      <w:r>
        <w:rPr>
          <w:rFonts w:hint="eastAsia" w:ascii="楷体_GB2312" w:eastAsia="楷体_GB2312"/>
          <w:bCs/>
          <w:color w:val="000000" w:themeColor="text1"/>
          <w:szCs w:val="32"/>
          <w14:textFill>
            <w14:solidFill>
              <w14:schemeClr w14:val="tx1"/>
            </w14:solidFill>
          </w14:textFill>
        </w:rPr>
        <w:t>县</w:t>
      </w:r>
      <w:r>
        <w:rPr>
          <w:rFonts w:hint="eastAsia" w:ascii="楷体_GB2312" w:eastAsia="楷体_GB2312"/>
          <w:color w:val="000000" w:themeColor="text1"/>
          <w:szCs w:val="32"/>
          <w14:textFill>
            <w14:solidFill>
              <w14:schemeClr w14:val="tx1"/>
            </w14:solidFill>
          </w14:textFill>
        </w:rPr>
        <w:t>工商联、</w:t>
      </w:r>
      <w:r>
        <w:rPr>
          <w:rFonts w:hint="eastAsia" w:ascii="楷体_GB2312" w:eastAsia="楷体_GB2312"/>
          <w:iCs/>
          <w:color w:val="000000" w:themeColor="text1"/>
          <w14:textFill>
            <w14:solidFill>
              <w14:schemeClr w14:val="tx1"/>
            </w14:solidFill>
          </w14:textFill>
        </w:rPr>
        <w:t>县编办、</w:t>
      </w:r>
      <w:r>
        <w:rPr>
          <w:rFonts w:hint="eastAsia" w:ascii="楷体_GB2312" w:eastAsia="楷体_GB2312" w:cs="仿宋_GB2312"/>
          <w:color w:val="000000" w:themeColor="text1"/>
          <w14:textFill>
            <w14:solidFill>
              <w14:schemeClr w14:val="tx1"/>
            </w14:solidFill>
          </w14:textFill>
        </w:rPr>
        <w:t>县委</w:t>
      </w:r>
      <w:r>
        <w:rPr>
          <w:rFonts w:hint="eastAsia" w:ascii="楷体_GB2312" w:eastAsia="楷体_GB2312" w:cs="仿宋_GB2312"/>
          <w:color w:val="000000" w:themeColor="text1"/>
          <w:lang w:eastAsia="zh-CN"/>
          <w14:textFill>
            <w14:solidFill>
              <w14:schemeClr w14:val="tx1"/>
            </w14:solidFill>
          </w14:textFill>
        </w:rPr>
        <w:t>老干部局</w:t>
      </w:r>
      <w:r>
        <w:rPr>
          <w:rFonts w:hint="eastAsia" w:ascii="楷体_GB2312" w:eastAsia="楷体_GB2312" w:cs="仿宋_GB2312"/>
          <w:color w:val="000000" w:themeColor="text1"/>
          <w14:textFill>
            <w14:solidFill>
              <w14:schemeClr w14:val="tx1"/>
            </w14:solidFill>
          </w14:textFill>
        </w:rPr>
        <w:t>4个单位的部门决算报表数与实际执行数不一致</w:t>
      </w:r>
      <w:r>
        <w:rPr>
          <w:rStyle w:val="11"/>
          <w:rFonts w:hint="eastAsia" w:ascii="楷体_GB2312" w:hAnsi="宋体" w:eastAsia="楷体_GB2312"/>
          <w:color w:val="000000" w:themeColor="text1"/>
          <w:szCs w:val="32"/>
          <w14:textFill>
            <w14:solidFill>
              <w14:schemeClr w14:val="tx1"/>
            </w14:solidFill>
          </w14:textFill>
        </w:rPr>
        <w:t>”的问题</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4个单位均完成了整改。今后将根据《中华人民共和国预算法》，严格按照批复预算执收执支，按有关规定编制决算，确保部门决算报表与实际执行数一致，做到数据真实准确、内容完整，账证、账实、账表、表表相符。加强预算执行力和会计核算管理，认真与财政部门沟通协调及时调整预算，加强结余结转资金管理，增强预算执行的时效性和均衡性，确保部门决算数与实际收支数相符。</w:t>
      </w:r>
    </w:p>
    <w:p>
      <w:pPr>
        <w:spacing w:line="560" w:lineRule="exact"/>
        <w:ind w:firstLine="640" w:firstLineChars="200"/>
        <w:rPr>
          <w:rStyle w:val="11"/>
          <w:rFonts w:ascii="楷体_GB2312" w:hAnsi="宋体" w:eastAsia="楷体_GB2312"/>
          <w:color w:val="000000" w:themeColor="text1"/>
          <w:szCs w:val="32"/>
          <w14:textFill>
            <w14:solidFill>
              <w14:schemeClr w14:val="tx1"/>
            </w14:solidFill>
          </w14:textFill>
        </w:rPr>
      </w:pPr>
      <w:r>
        <w:rPr>
          <w:rStyle w:val="11"/>
          <w:rFonts w:hint="eastAsia" w:ascii="楷体_GB2312" w:hAnsi="宋体" w:eastAsia="楷体_GB2312"/>
          <w:color w:val="000000" w:themeColor="text1"/>
          <w:szCs w:val="32"/>
          <w14:textFill>
            <w14:solidFill>
              <w14:schemeClr w14:val="tx1"/>
            </w14:solidFill>
          </w14:textFill>
        </w:rPr>
        <w:t>（四）关于“</w:t>
      </w:r>
      <w:r>
        <w:rPr>
          <w:rFonts w:hint="eastAsia" w:ascii="楷体_GB2312" w:hAnsi="宋体" w:eastAsia="楷体_GB2312"/>
          <w:color w:val="000000" w:themeColor="text1"/>
          <w:szCs w:val="32"/>
          <w14:textFill>
            <w14:solidFill>
              <w14:schemeClr w14:val="tx1"/>
            </w14:solidFill>
          </w14:textFill>
        </w:rPr>
        <w:t>县国土资源局违规使用专项经费</w:t>
      </w:r>
      <w:r>
        <w:rPr>
          <w:rStyle w:val="11"/>
          <w:rFonts w:hint="eastAsia" w:ascii="楷体_GB2312" w:hAnsi="宋体" w:eastAsia="楷体_GB2312"/>
          <w:color w:val="000000" w:themeColor="text1"/>
          <w:szCs w:val="32"/>
          <w14:textFill>
            <w14:solidFill>
              <w14:schemeClr w14:val="tx1"/>
            </w14:solidFill>
          </w14:textFill>
        </w:rPr>
        <w:t>”的问题</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县国土资源局已完成了整改。该局表示今后将加强与财政部门的沟通，根据工作实际情况编制年初预算，将相关必要支出纳入县级财政预算，从而避免专项费用用于其他支出。</w:t>
      </w:r>
    </w:p>
    <w:p>
      <w:pPr>
        <w:pStyle w:val="16"/>
        <w:spacing w:line="560" w:lineRule="exact"/>
        <w:ind w:firstLine="627" w:firstLineChars="196"/>
        <w:rPr>
          <w:rFonts w:ascii="黑体" w:eastAsia="黑体" w:cs="黑体"/>
          <w:color w:val="000000"/>
        </w:rPr>
      </w:pPr>
      <w:r>
        <w:rPr>
          <w:rFonts w:hint="eastAsia" w:ascii="黑体" w:eastAsia="黑体" w:cs="黑体"/>
          <w:color w:val="000000"/>
        </w:rPr>
        <w:t>三、国家和省重大政策落实跟踪审计发现问题整改情况</w:t>
      </w:r>
    </w:p>
    <w:p>
      <w:pPr>
        <w:pStyle w:val="16"/>
        <w:spacing w:line="560" w:lineRule="exact"/>
        <w:ind w:firstLine="480" w:firstLineChars="150"/>
        <w:rPr>
          <w:rFonts w:ascii="楷体" w:eastAsia="楷体"/>
          <w:color w:val="000000"/>
        </w:rPr>
      </w:pPr>
      <w:r>
        <w:rPr>
          <w:rFonts w:hint="eastAsia" w:ascii="楷体" w:eastAsia="楷体"/>
          <w:color w:val="000000"/>
        </w:rPr>
        <w:t>（一）“放管服”改革推进方面</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1.关于</w:t>
      </w:r>
      <w:r>
        <w:rPr>
          <w:rFonts w:hint="eastAsia" w:ascii="仿宋_GB2312" w:hAnsi="宋体"/>
          <w:color w:val="000000" w:themeColor="text1"/>
          <w:szCs w:val="32"/>
          <w14:textFill>
            <w14:solidFill>
              <w14:schemeClr w14:val="tx1"/>
            </w14:solidFill>
          </w14:textFill>
        </w:rPr>
        <w:t>“一门式一网式”和三级政务体系平台建设推进较慢的问题。县委县政府高度重视，采取多种措施推进 “一门式一网式”和三级政务体系平台建设工作，到目前为止已取得了如下阶段性成果：（1）县级行政许可和公共服务事项已完成基本标准化；（2）进一步完善了县级政务大厅服务功能；（3）已开始启用市“一门式一网式”政务平台办理政务事项；（4）开展了镇村政务服务事项梳理工作。</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2.关于“信息共享方面存在不足”的问题。县行政服务中心已积极向市相关部门反映信息共享方面存在的不足，请求上级通过顶层设计来打通各政务专网，加快推进电子政务服务体系建设，实现信息互联互通。</w:t>
      </w:r>
    </w:p>
    <w:p>
      <w:pPr>
        <w:pStyle w:val="16"/>
        <w:spacing w:line="560" w:lineRule="exact"/>
        <w:ind w:firstLine="640" w:firstLineChars="200"/>
        <w:rPr>
          <w:rFonts w:ascii="楷体" w:eastAsia="楷体"/>
          <w:color w:val="000000"/>
          <w:kern w:val="0"/>
        </w:rPr>
      </w:pPr>
      <w:r>
        <w:rPr>
          <w:rFonts w:hint="eastAsia" w:ascii="楷体" w:eastAsia="楷体"/>
          <w:color w:val="000000"/>
        </w:rPr>
        <w:t>（二）</w:t>
      </w:r>
      <w:r>
        <w:rPr>
          <w:rFonts w:hint="eastAsia" w:ascii="楷体" w:eastAsia="楷体"/>
          <w:color w:val="000000"/>
          <w:kern w:val="0"/>
        </w:rPr>
        <w:t>精准扶贫精准脱贫、创建新农村示范村建设和农村人居环境整治交叉审计方面</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1.关于“扶贫资金筹集管理使用方面存在资金使用缓慢”的问题。相关部门已完成整改。</w:t>
      </w:r>
    </w:p>
    <w:p>
      <w:pPr>
        <w:spacing w:line="560" w:lineRule="exact"/>
        <w:ind w:firstLine="640" w:firstLineChars="200"/>
        <w:rPr>
          <w:rFonts w:ascii="仿宋_GB2312" w:hAnsi="仿宋_GB2312" w:cs="仿宋_GB2312"/>
          <w:color w:val="000000"/>
        </w:rPr>
      </w:pPr>
      <w:r>
        <w:rPr>
          <w:rFonts w:hint="eastAsia" w:ascii="仿宋_GB2312" w:hAnsi="宋体"/>
          <w:color w:val="000000" w:themeColor="text1"/>
          <w:szCs w:val="32"/>
          <w14:textFill>
            <w14:solidFill>
              <w14:schemeClr w14:val="tx1"/>
            </w14:solidFill>
          </w14:textFill>
        </w:rPr>
        <w:t>（1）</w:t>
      </w:r>
      <w:r>
        <w:rPr>
          <w:rFonts w:hint="eastAsia" w:ascii="仿宋_GB2312" w:hAnsi="仿宋_GB2312" w:cs="仿宋_GB2312"/>
          <w:color w:val="000000"/>
        </w:rPr>
        <w:t>在财政扶贫资金拨付使用方面：我县</w:t>
      </w:r>
      <w:r>
        <w:rPr>
          <w:rFonts w:hint="eastAsia" w:ascii="仿宋_GB2312" w:hAnsi="仿宋_GB2312" w:cs="仿宋_GB2312"/>
          <w:b/>
          <w:color w:val="000000"/>
        </w:rPr>
        <w:t>一是</w:t>
      </w:r>
      <w:r>
        <w:rPr>
          <w:rFonts w:hint="eastAsia" w:ascii="仿宋_GB2312" w:hAnsi="仿宋_GB2312" w:cs="仿宋_GB2312"/>
          <w:color w:val="000000"/>
        </w:rPr>
        <w:t>在2018年9月18日印发了《翁源县贫困户参与产业化扶贫实施方案》（翁委办发电〔2018〕52号）和《翁源县贫困户参与产业化扶贫资金管理细则》（翁扶办联〔2018〕16号），督促各镇各单位加强引导贫困户发展规模种养产业，加快村集体项目推进速度。</w:t>
      </w:r>
      <w:r>
        <w:rPr>
          <w:rFonts w:hint="eastAsia" w:ascii="仿宋_GB2312" w:hAnsi="仿宋_GB2312" w:cs="仿宋_GB2312"/>
          <w:b/>
          <w:color w:val="000000"/>
        </w:rPr>
        <w:t>二是</w:t>
      </w:r>
      <w:r>
        <w:rPr>
          <w:rFonts w:hint="eastAsia" w:ascii="仿宋_GB2312" w:hAnsi="仿宋_GB2312" w:cs="仿宋_GB2312"/>
          <w:color w:val="000000"/>
        </w:rPr>
        <w:t>出台相关扶贫资金使用进度和资金绩效考核办法，去年县扶贫办每个月对各镇、村累计使用扶贫资金(人均两万元扶贫开发资金、全域扶贫资金)情况进行排名通报，明确激励措施和责任追究，加快扶贫资金使用进度。</w:t>
      </w:r>
      <w:r>
        <w:rPr>
          <w:rFonts w:ascii="仿宋_GB2312" w:hAnsi="仿宋_GB2312" w:cs="仿宋_GB2312"/>
          <w:color w:val="000000"/>
        </w:rPr>
        <w:t>2016-2019</w:t>
      </w:r>
      <w:r>
        <w:rPr>
          <w:rFonts w:hint="eastAsia" w:ascii="仿宋_GB2312" w:hAnsi="仿宋_GB2312" w:cs="仿宋_GB2312"/>
          <w:color w:val="000000"/>
        </w:rPr>
        <w:t>年，我县共到位全域资金</w:t>
      </w:r>
      <w:r>
        <w:rPr>
          <w:rFonts w:ascii="仿宋_GB2312" w:hAnsi="仿宋_GB2312" w:cs="仿宋_GB2312"/>
          <w:color w:val="000000"/>
        </w:rPr>
        <w:t>48213.41</w:t>
      </w:r>
      <w:r>
        <w:rPr>
          <w:rFonts w:hint="eastAsia" w:ascii="仿宋_GB2312" w:hAnsi="仿宋_GB2312" w:cs="仿宋_GB2312"/>
          <w:color w:val="000000"/>
        </w:rPr>
        <w:t>万元，其中，人均</w:t>
      </w:r>
      <w:r>
        <w:rPr>
          <w:rFonts w:ascii="仿宋_GB2312" w:hAnsi="仿宋_GB2312" w:cs="仿宋_GB2312"/>
          <w:color w:val="000000"/>
        </w:rPr>
        <w:t>2</w:t>
      </w:r>
      <w:r>
        <w:rPr>
          <w:rFonts w:hint="eastAsia" w:ascii="仿宋_GB2312" w:hAnsi="仿宋_GB2312" w:cs="仿宋_GB2312"/>
          <w:color w:val="000000"/>
        </w:rPr>
        <w:t>万元资金</w:t>
      </w:r>
      <w:r>
        <w:rPr>
          <w:rFonts w:ascii="仿宋_GB2312" w:hAnsi="仿宋_GB2312" w:cs="仿宋_GB2312"/>
          <w:color w:val="000000"/>
        </w:rPr>
        <w:t>21120.87</w:t>
      </w:r>
      <w:r>
        <w:rPr>
          <w:rFonts w:hint="eastAsia" w:ascii="仿宋_GB2312" w:hAnsi="仿宋_GB2312" w:cs="仿宋_GB2312"/>
          <w:color w:val="000000"/>
        </w:rPr>
        <w:t>万元。截止2019年</w:t>
      </w:r>
      <w:r>
        <w:rPr>
          <w:rFonts w:ascii="仿宋_GB2312" w:hAnsi="仿宋_GB2312" w:cs="仿宋_GB2312"/>
          <w:color w:val="000000"/>
        </w:rPr>
        <w:t>12</w:t>
      </w:r>
      <w:r>
        <w:rPr>
          <w:rFonts w:hint="eastAsia" w:ascii="仿宋_GB2312" w:hAnsi="仿宋_GB2312" w:cs="仿宋_GB2312"/>
          <w:color w:val="000000"/>
        </w:rPr>
        <w:t>月</w:t>
      </w:r>
      <w:r>
        <w:rPr>
          <w:rFonts w:ascii="仿宋_GB2312" w:hAnsi="仿宋_GB2312" w:cs="仿宋_GB2312"/>
          <w:color w:val="000000"/>
        </w:rPr>
        <w:t>31</w:t>
      </w:r>
      <w:r>
        <w:rPr>
          <w:rFonts w:hint="eastAsia" w:ascii="仿宋_GB2312" w:hAnsi="仿宋_GB2312" w:cs="仿宋_GB2312"/>
          <w:color w:val="000000"/>
        </w:rPr>
        <w:t>日，我县财政专项资金已全部支出，支出进度</w:t>
      </w:r>
      <w:r>
        <w:rPr>
          <w:rFonts w:ascii="仿宋_GB2312" w:hAnsi="仿宋_GB2312" w:cs="仿宋_GB2312"/>
          <w:color w:val="000000"/>
        </w:rPr>
        <w:t>100%</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仿宋_GB2312" w:hAnsi="宋体"/>
          <w:color w:val="000000" w:themeColor="text1"/>
          <w:szCs w:val="32"/>
          <w14:textFill>
            <w14:solidFill>
              <w14:schemeClr w14:val="tx1"/>
            </w14:solidFill>
          </w14:textFill>
        </w:rPr>
        <w:t>（2）在新农村建设资金使用方面：</w:t>
      </w:r>
      <w:r>
        <w:rPr>
          <w:rFonts w:hint="eastAsia" w:ascii="仿宋_GB2312" w:hAnsi="宋体"/>
          <w:b/>
          <w:color w:val="000000" w:themeColor="text1"/>
          <w:szCs w:val="32"/>
          <w14:textFill>
            <w14:solidFill>
              <w14:schemeClr w14:val="tx1"/>
            </w14:solidFill>
          </w14:textFill>
        </w:rPr>
        <w:t>一是</w:t>
      </w:r>
      <w:r>
        <w:rPr>
          <w:rFonts w:hint="eastAsia" w:ascii="仿宋_GB2312" w:hAnsi="宋体"/>
          <w:color w:val="000000" w:themeColor="text1"/>
          <w:szCs w:val="32"/>
          <w14:textFill>
            <w14:solidFill>
              <w14:schemeClr w14:val="tx1"/>
            </w14:solidFill>
          </w14:textFill>
        </w:rPr>
        <w:t>通过签订三方协议，加快新农村建设资金使用和项目施工进度。县委农办与各镇及施工单位签订协议，明确接下来每月必须完成的资金使用计划、设计和工程进度，按照施工合同资金使用总量，分解到每个月，如设计、施工单位没有按计划完成资金使用和工程进度量，则由各镇扣罚施工方资金使用计划量0-10%的违约金，以加快推动工程进度。</w:t>
      </w:r>
      <w:r>
        <w:rPr>
          <w:rFonts w:hint="eastAsia" w:ascii="仿宋_GB2312" w:hAnsi="宋体"/>
          <w:b/>
          <w:color w:val="000000" w:themeColor="text1"/>
          <w:szCs w:val="32"/>
          <w14:textFill>
            <w14:solidFill>
              <w14:schemeClr w14:val="tx1"/>
            </w14:solidFill>
          </w14:textFill>
        </w:rPr>
        <w:t>二是</w:t>
      </w:r>
      <w:r>
        <w:rPr>
          <w:rFonts w:hint="eastAsia" w:ascii="仿宋_GB2312" w:hAnsi="宋体"/>
          <w:color w:val="000000" w:themeColor="text1"/>
          <w:szCs w:val="32"/>
          <w14:textFill>
            <w14:solidFill>
              <w14:schemeClr w14:val="tx1"/>
            </w14:solidFill>
          </w14:textFill>
        </w:rPr>
        <w:t>加强工程进度的督促检查。县委农办及各镇加强施工督促检查，发现问题及时纠正，加快推进工程进度。截止2019年12月31日，共到位新农村建设省市专项资金82132.04万元，共支出资金76846.655万元，支出进度为94%。</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（3）在“广东扶贫济困日”捐款资金使用方面：对2017年度以前“广东扶贫济困日”捐赠的结余资金，进行分门别类处置。定向</w:t>
      </w:r>
      <w:r>
        <w:rPr>
          <w:rFonts w:ascii="仿宋_GB2312" w:hAnsi="宋体"/>
          <w:color w:val="000000" w:themeColor="text1"/>
          <w:szCs w:val="32"/>
          <w:lang w:bidi="en-US"/>
          <w14:textFill>
            <w14:solidFill>
              <w14:schemeClr w14:val="tx1"/>
            </w14:solidFill>
          </w14:textFill>
        </w:rPr>
        <w:t>捐赠的资金发函至受益单位，提醒受益方按照扶贫济困资金使用管理规定申请资金使用;非定向捐赠的资金，由县民政局联合县扶贫办统</w:t>
      </w:r>
      <w:r>
        <w:rPr>
          <w:rFonts w:hint="eastAsia" w:ascii="仿宋_GB2312" w:hAnsi="宋体"/>
          <w:color w:val="000000" w:themeColor="text1"/>
          <w:szCs w:val="32"/>
          <w:lang w:bidi="en-US"/>
          <w14:textFill>
            <w14:solidFill>
              <w14:schemeClr w14:val="tx1"/>
            </w14:solidFill>
          </w14:textFill>
        </w:rPr>
        <w:t>筹</w:t>
      </w:r>
      <w:r>
        <w:rPr>
          <w:rFonts w:ascii="仿宋_GB2312" w:hAnsi="宋体"/>
          <w:color w:val="000000" w:themeColor="text1"/>
          <w:szCs w:val="32"/>
          <w:lang w:bidi="en-US"/>
          <w14:textFill>
            <w14:solidFill>
              <w14:schemeClr w14:val="tx1"/>
            </w14:solidFill>
          </w14:textFill>
        </w:rPr>
        <w:t>资金，制定使用方案，重点倾斜下</w:t>
      </w:r>
      <w:r>
        <w:rPr>
          <w:rFonts w:hint="eastAsia" w:ascii="仿宋_GB2312" w:hAnsi="宋体"/>
          <w:color w:val="000000" w:themeColor="text1"/>
          <w:szCs w:val="32"/>
          <w:lang w:bidi="en-US"/>
          <w14:textFill>
            <w14:solidFill>
              <w14:schemeClr w14:val="tx1"/>
            </w14:solidFill>
          </w14:textFill>
        </w:rPr>
        <w:t>拨</w:t>
      </w:r>
      <w:r>
        <w:rPr>
          <w:rFonts w:ascii="仿宋_GB2312" w:hAnsi="宋体"/>
          <w:color w:val="000000" w:themeColor="text1"/>
          <w:szCs w:val="32"/>
          <w:lang w:bidi="en-US"/>
          <w14:textFill>
            <w14:solidFill>
              <w14:schemeClr w14:val="tx1"/>
            </w14:solidFill>
          </w14:textFill>
        </w:rPr>
        <w:t>我县51个省定贫困村的扶贫项目</w:t>
      </w:r>
      <w:r>
        <w:rPr>
          <w:rFonts w:hint="eastAsia" w:ascii="仿宋_GB2312" w:hAnsi="宋体"/>
          <w:color w:val="000000" w:themeColor="text1"/>
          <w:szCs w:val="32"/>
          <w:lang w:bidi="en-US"/>
          <w14:textFill>
            <w14:solidFill>
              <w14:schemeClr w14:val="tx1"/>
            </w14:solidFill>
          </w14:textFill>
        </w:rPr>
        <w:t>，</w:t>
      </w:r>
      <w:r>
        <w:rPr>
          <w:rFonts w:ascii="仿宋_GB2312" w:hAnsi="宋体"/>
          <w:color w:val="000000" w:themeColor="text1"/>
          <w:szCs w:val="32"/>
          <w:lang w:bidi="en-US"/>
          <w14:textFill>
            <w14:solidFill>
              <w14:schemeClr w14:val="tx1"/>
            </w14:solidFill>
          </w14:textFill>
        </w:rPr>
        <w:t>保证资金的使用效率。同时，加强资金使用的绩效考评和监管</w:t>
      </w:r>
      <w:r>
        <w:rPr>
          <w:rFonts w:hint="eastAsia" w:ascii="仿宋_GB2312" w:hAnsi="宋体"/>
          <w:color w:val="000000" w:themeColor="text1"/>
          <w:szCs w:val="32"/>
          <w:lang w:bidi="en-US"/>
          <w14:textFill>
            <w14:solidFill>
              <w14:schemeClr w14:val="tx1"/>
            </w14:solidFill>
          </w14:textFill>
        </w:rPr>
        <w:t>，</w:t>
      </w:r>
      <w:r>
        <w:rPr>
          <w:rFonts w:ascii="仿宋_GB2312" w:hAnsi="宋体"/>
          <w:color w:val="000000" w:themeColor="text1"/>
          <w:szCs w:val="32"/>
          <w:lang w:bidi="en-US"/>
          <w14:textFill>
            <w14:solidFill>
              <w14:schemeClr w14:val="tx1"/>
            </w14:solidFill>
          </w14:textFill>
        </w:rPr>
        <w:t>确保扶贫济困资金严格用于扶贫项目范围内。</w:t>
      </w:r>
      <w:r>
        <w:rPr>
          <w:rFonts w:hint="eastAsia" w:ascii="仿宋_GB2312" w:hAnsi="宋体"/>
          <w:color w:val="000000" w:themeColor="text1"/>
          <w:szCs w:val="32"/>
          <w:lang w:bidi="en-US"/>
          <w14:textFill>
            <w14:solidFill>
              <w14:schemeClr w14:val="tx1"/>
            </w14:solidFill>
          </w14:textFill>
        </w:rPr>
        <w:t>截至2019年12月底，</w:t>
      </w:r>
      <w:r>
        <w:rPr>
          <w:rFonts w:ascii="仿宋_GB2312" w:hAnsi="宋体"/>
          <w:color w:val="000000" w:themeColor="text1"/>
          <w:szCs w:val="32"/>
          <w:lang w:bidi="en-US"/>
          <w14:textFill>
            <w14:solidFill>
              <w14:schemeClr w14:val="tx1"/>
            </w14:solidFill>
          </w14:textFill>
        </w:rPr>
        <w:t>2017年度630扶贫济困定向资金已全部下拨完成</w:t>
      </w:r>
      <w:r>
        <w:rPr>
          <w:rFonts w:hint="eastAsia" w:ascii="仿宋_GB2312" w:hAnsi="宋体"/>
          <w:color w:val="000000" w:themeColor="text1"/>
          <w:szCs w:val="32"/>
          <w:lang w:bidi="en-US"/>
          <w14:textFill>
            <w14:solidFill>
              <w14:schemeClr w14:val="tx1"/>
            </w14:solidFill>
          </w14:textFill>
        </w:rPr>
        <w:t>。</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2.关于</w:t>
      </w:r>
      <w:r>
        <w:rPr>
          <w:rStyle w:val="11"/>
          <w:rFonts w:hint="eastAsia" w:ascii="仿宋_GB2312" w:hAnsi="宋体"/>
          <w:color w:val="000000" w:themeColor="text1"/>
          <w:szCs w:val="32"/>
          <w14:textFill>
            <w14:solidFill>
              <w14:schemeClr w14:val="tx1"/>
            </w14:solidFill>
          </w14:textFill>
        </w:rPr>
        <w:t>“广东扶贫济困日”捐赠款物管理使用方面存在的问题。相关部门</w:t>
      </w:r>
      <w:r>
        <w:rPr>
          <w:rFonts w:hint="eastAsia" w:ascii="仿宋_GB2312" w:hAnsi="宋体"/>
          <w:color w:val="000000" w:themeColor="text1"/>
          <w:szCs w:val="32"/>
          <w14:textFill>
            <w14:solidFill>
              <w14:schemeClr w14:val="tx1"/>
            </w14:solidFill>
          </w14:textFill>
        </w:rPr>
        <w:t>已完成整改。</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（1）对</w:t>
      </w:r>
      <w:r>
        <w:t>“广东扶贫济困日”捐款未按规定单独设置账户管理</w:t>
      </w:r>
      <w:r>
        <w:rPr>
          <w:rFonts w:hint="eastAsia"/>
        </w:rPr>
        <w:t>的问题</w:t>
      </w:r>
      <w:r>
        <w:t>。</w:t>
      </w:r>
      <w:r>
        <w:rPr>
          <w:rStyle w:val="11"/>
          <w:rFonts w:hint="eastAsia" w:ascii="仿宋_GB2312" w:hAnsi="宋体"/>
          <w:color w:val="000000" w:themeColor="text1"/>
          <w:szCs w:val="32"/>
          <w14:textFill>
            <w14:solidFill>
              <w14:schemeClr w14:val="tx1"/>
            </w14:solidFill>
          </w14:textFill>
        </w:rPr>
        <w:t>县民政局已严格按照《广东扶贫济困日活动捐赠管理办法》（粤府办</w:t>
      </w:r>
      <w:r>
        <w:rPr>
          <w:rFonts w:hint="eastAsia" w:ascii="仿宋_GB2312" w:hAnsi="宋体"/>
          <w:color w:val="000000" w:themeColor="text1"/>
          <w:szCs w:val="32"/>
          <w14:textFill>
            <w14:solidFill>
              <w14:schemeClr w14:val="tx1"/>
            </w14:solidFill>
          </w14:textFill>
        </w:rPr>
        <w:t>〔2015〕</w:t>
      </w:r>
      <w:r>
        <w:rPr>
          <w:rStyle w:val="11"/>
          <w:rFonts w:hint="eastAsia" w:ascii="仿宋_GB2312" w:hAnsi="宋体"/>
          <w:color w:val="000000" w:themeColor="text1"/>
          <w:szCs w:val="32"/>
          <w14:textFill>
            <w14:solidFill>
              <w14:schemeClr w14:val="tx1"/>
            </w14:solidFill>
          </w14:textFill>
        </w:rPr>
        <w:t>39号）的规定要求，于2018年7月2日在县慈善会下设“广东省扶贫济困日”捐款单独账户进行专户管理。2018年度630扶贫济困资金已全部存入独立专户中，2017年度前结余的非定向捐款一并转存独立专户，确保“广东扶贫济困日”捐赠资金能够专户专管、专款专用。</w:t>
      </w:r>
    </w:p>
    <w:p>
      <w:pPr>
        <w:spacing w:line="560" w:lineRule="exact"/>
        <w:ind w:firstLine="640" w:firstLineChars="200"/>
        <w:rPr>
          <w:rFonts w:ascii="仿宋_GB2312" w:hAnsi="宋体"/>
          <w:color w:val="000000" w:themeColor="text1"/>
          <w:szCs w:val="32"/>
          <w:lang w:bidi="en-US"/>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（2）对</w:t>
      </w:r>
      <w:r>
        <w:t>未按规定向县慈善会</w:t>
      </w:r>
      <w:r>
        <w:rPr>
          <w:rFonts w:hint="eastAsia"/>
        </w:rPr>
        <w:t>申</w:t>
      </w:r>
      <w:r>
        <w:t>请下拨捐赠资金</w:t>
      </w:r>
      <w:r>
        <w:rPr>
          <w:rFonts w:hint="eastAsia"/>
        </w:rPr>
        <w:t>的问题，</w:t>
      </w:r>
      <w:r>
        <w:rPr>
          <w:rFonts w:hint="eastAsia" w:ascii="仿宋_GB2312" w:hAnsi="宋体"/>
          <w:color w:val="000000" w:themeColor="text1"/>
          <w:szCs w:val="32"/>
          <w:lang w:bidi="en-US"/>
          <w14:textFill>
            <w14:solidFill>
              <w14:schemeClr w14:val="tx1"/>
            </w14:solidFill>
          </w14:textFill>
        </w:rPr>
        <w:t>该项捐赠</w:t>
      </w:r>
      <w:r>
        <w:rPr>
          <w:rFonts w:ascii="仿宋_GB2312" w:hAnsi="宋体"/>
          <w:color w:val="000000" w:themeColor="text1"/>
          <w:szCs w:val="32"/>
          <w:lang w:bidi="en-US"/>
          <w14:textFill>
            <w14:solidFill>
              <w14:schemeClr w14:val="tx1"/>
            </w14:solidFill>
          </w14:textFill>
        </w:rPr>
        <w:t>资金已下拨到翁城镇财政所，</w:t>
      </w:r>
      <w:r>
        <w:rPr>
          <w:rFonts w:hint="eastAsia" w:ascii="仿宋_GB2312" w:hAnsi="宋体"/>
          <w:color w:val="000000" w:themeColor="text1"/>
          <w:szCs w:val="32"/>
          <w:lang w:bidi="en-US"/>
          <w14:textFill>
            <w14:solidFill>
              <w14:schemeClr w14:val="tx1"/>
            </w14:solidFill>
          </w14:textFill>
        </w:rPr>
        <w:t>翁城镇</w:t>
      </w:r>
      <w:r>
        <w:rPr>
          <w:rFonts w:ascii="仿宋_GB2312" w:hAnsi="宋体"/>
          <w:color w:val="000000" w:themeColor="text1"/>
          <w:szCs w:val="32"/>
          <w:lang w:bidi="en-US"/>
          <w14:textFill>
            <w14:solidFill>
              <w14:schemeClr w14:val="tx1"/>
            </w14:solidFill>
          </w14:textFill>
        </w:rPr>
        <w:t>墨岭村已申请到村并完成使用</w:t>
      </w:r>
      <w:r>
        <w:rPr>
          <w:rFonts w:hint="eastAsia" w:ascii="仿宋_GB2312" w:hAnsi="宋体"/>
          <w:color w:val="000000" w:themeColor="text1"/>
          <w:szCs w:val="32"/>
          <w:lang w:bidi="en-US"/>
          <w14:textFill>
            <w14:solidFill>
              <w14:schemeClr w14:val="tx1"/>
            </w14:solidFill>
          </w14:textFill>
        </w:rPr>
        <w:t>。</w:t>
      </w:r>
      <w:r>
        <w:rPr>
          <w:rFonts w:hint="eastAsia"/>
        </w:rPr>
        <w:t>对</w:t>
      </w:r>
      <w:r>
        <w:t>部分镇将捐赠资金拨入村委账户，未执行镇财政所直接支付或报账</w:t>
      </w:r>
      <w:r>
        <w:rPr>
          <w:rFonts w:hint="eastAsia"/>
        </w:rPr>
        <w:t>的问题。</w:t>
      </w:r>
      <w:r>
        <w:rPr>
          <w:rFonts w:ascii="仿宋_GB2312" w:hAnsi="宋体"/>
          <w:color w:val="000000" w:themeColor="text1"/>
          <w:szCs w:val="32"/>
          <w:lang w:bidi="en-US"/>
          <w14:textFill>
            <w14:solidFill>
              <w14:schemeClr w14:val="tx1"/>
            </w14:solidFill>
          </w14:textFill>
        </w:rPr>
        <w:t>县民政局与扶贫办联合制定了《翁源县“广东扶贫济困日”活动捐赠财产使用管理办法》，加强对630扶贫济困资金的管理使用。同时规范审核扶贫济困资金的申请拨付程序，严格落实扶贫济困资金实行镇级财政所报账制，对扶贫济</w:t>
      </w:r>
      <w:r>
        <w:rPr>
          <w:rFonts w:hint="eastAsia" w:ascii="仿宋_GB2312" w:hAnsi="宋体"/>
          <w:color w:val="000000" w:themeColor="text1"/>
          <w:szCs w:val="32"/>
          <w:lang w:bidi="en-US"/>
          <w14:textFill>
            <w14:solidFill>
              <w14:schemeClr w14:val="tx1"/>
            </w14:solidFill>
          </w14:textFill>
        </w:rPr>
        <w:t>困</w:t>
      </w:r>
      <w:r>
        <w:rPr>
          <w:rFonts w:ascii="仿宋_GB2312" w:hAnsi="宋体"/>
          <w:color w:val="000000" w:themeColor="text1"/>
          <w:szCs w:val="32"/>
          <w:lang w:bidi="en-US"/>
          <w14:textFill>
            <w14:solidFill>
              <w14:schemeClr w14:val="tx1"/>
            </w14:solidFill>
          </w14:textFill>
        </w:rPr>
        <w:t>资金一律下拨到镇级财政所。截止至2018年7月3日，官渡镇财政所已将官渡镇下榕角村6050元收回财政所代管户。江尾镇财政采取先由村委退账、然后调账、最后重新向镇财政所进行报账的方式整改，并组织相关人员进行了相关业务知识的学习培训。龙仙镇举一反三，制订了《龙仙镇定向捐赠资金使用管理办法》，指导各村规范使用扶贫捐赠资金。</w:t>
      </w:r>
    </w:p>
    <w:p>
      <w:pPr>
        <w:spacing w:line="560" w:lineRule="exact"/>
        <w:ind w:firstLine="640" w:firstLineChars="200"/>
        <w:jc w:val="left"/>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3.</w:t>
      </w:r>
      <w:r>
        <w:rPr>
          <w:rFonts w:hint="eastAsia"/>
        </w:rPr>
        <w:t>关于</w:t>
      </w:r>
      <w:r>
        <w:rPr>
          <w:rStyle w:val="11"/>
          <w:rFonts w:hint="eastAsia" w:ascii="仿宋_GB2312" w:hAnsi="宋体"/>
          <w:color w:val="000000" w:themeColor="text1"/>
          <w:szCs w:val="32"/>
          <w14:textFill>
            <w14:solidFill>
              <w14:schemeClr w14:val="tx1"/>
            </w14:solidFill>
          </w14:textFill>
        </w:rPr>
        <w:t>“三保障”惠民政策落实方面存在的问题。</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（1）对医疗及养老保障政策落实方面的问题，县扶贫办已完成整改。县扶贫办</w:t>
      </w:r>
      <w:r>
        <w:rPr>
          <w:rFonts w:ascii="仿宋_GB2312" w:hAnsi="宋体"/>
          <w:color w:val="000000" w:themeColor="text1"/>
          <w:szCs w:val="32"/>
          <w:lang w:bidi="en-US"/>
          <w14:textFill>
            <w14:solidFill>
              <w14:schemeClr w14:val="tx1"/>
            </w14:solidFill>
          </w14:textFill>
        </w:rPr>
        <w:t>对数据进行了仔细甄别，对身份证号码</w:t>
      </w:r>
      <w:r>
        <w:rPr>
          <w:rFonts w:hint="eastAsia" w:ascii="仿宋_GB2312" w:hAnsi="宋体"/>
          <w:color w:val="000000" w:themeColor="text1"/>
          <w:szCs w:val="32"/>
          <w:lang w:bidi="en-US"/>
          <w14:textFill>
            <w14:solidFill>
              <w14:schemeClr w14:val="tx1"/>
            </w14:solidFill>
          </w14:textFill>
        </w:rPr>
        <w:t>录入</w:t>
      </w:r>
      <w:r>
        <w:rPr>
          <w:rFonts w:ascii="仿宋_GB2312" w:hAnsi="宋体"/>
          <w:color w:val="000000" w:themeColor="text1"/>
          <w:szCs w:val="32"/>
          <w:lang w:bidi="en-US"/>
          <w14:textFill>
            <w14:solidFill>
              <w14:schemeClr w14:val="tx1"/>
            </w14:solidFill>
          </w14:textFill>
        </w:rPr>
        <w:t>错误6人</w:t>
      </w:r>
      <w:r>
        <w:rPr>
          <w:rFonts w:hint="eastAsia" w:ascii="仿宋_GB2312" w:hAnsi="宋体"/>
          <w:color w:val="000000" w:themeColor="text1"/>
          <w:szCs w:val="32"/>
          <w:lang w:bidi="en-US"/>
          <w14:textFill>
            <w14:solidFill>
              <w14:schemeClr w14:val="tx1"/>
            </w14:solidFill>
          </w14:textFill>
        </w:rPr>
        <w:t>的信息已</w:t>
      </w:r>
      <w:r>
        <w:rPr>
          <w:rFonts w:ascii="仿宋_GB2312" w:hAnsi="宋体"/>
          <w:color w:val="000000" w:themeColor="text1"/>
          <w:szCs w:val="32"/>
          <w:lang w:bidi="en-US"/>
          <w14:textFill>
            <w14:solidFill>
              <w14:schemeClr w14:val="tx1"/>
            </w14:solidFill>
          </w14:textFill>
        </w:rPr>
        <w:t>进行了更正。</w:t>
      </w:r>
      <w:r>
        <w:rPr>
          <w:rFonts w:hint="eastAsia" w:ascii="仿宋_GB2312" w:hAnsi="宋体"/>
          <w:color w:val="000000" w:themeColor="text1"/>
          <w:szCs w:val="32"/>
          <w:lang w:bidi="en-US"/>
          <w14:textFill>
            <w14:solidFill>
              <w14:schemeClr w14:val="tx1"/>
            </w14:solidFill>
          </w14:textFill>
        </w:rPr>
        <w:t>关于未为2668人代缴部分或最低标准的养老保险的问题，</w:t>
      </w:r>
      <w:r>
        <w:rPr>
          <w:rFonts w:hint="eastAsia" w:ascii="仿宋_GB2312" w:hAnsi="宋体"/>
          <w:b/>
          <w:color w:val="000000" w:themeColor="text1"/>
          <w:szCs w:val="32"/>
          <w:lang w:bidi="en-US"/>
          <w14:textFill>
            <w14:solidFill>
              <w14:schemeClr w14:val="tx1"/>
            </w14:solidFill>
          </w14:textFill>
        </w:rPr>
        <w:t>一是</w:t>
      </w:r>
      <w:r>
        <w:rPr>
          <w:rFonts w:ascii="仿宋_GB2312" w:hAnsi="宋体"/>
          <w:color w:val="000000" w:themeColor="text1"/>
          <w:szCs w:val="32"/>
          <w:lang w:bidi="en-US"/>
          <w14:textFill>
            <w14:solidFill>
              <w14:schemeClr w14:val="tx1"/>
            </w14:solidFill>
          </w14:textFill>
        </w:rPr>
        <w:t>有20人不符合参保条件(其中:1人死亡，在校生1人，18人为外县户籍或外县已经参保)</w:t>
      </w:r>
      <w:r>
        <w:rPr>
          <w:rFonts w:hint="eastAsia" w:ascii="仿宋_GB2312" w:hAnsi="宋体"/>
          <w:color w:val="000000" w:themeColor="text1"/>
          <w:szCs w:val="32"/>
          <w:lang w:bidi="en-US"/>
          <w14:textFill>
            <w14:solidFill>
              <w14:schemeClr w14:val="tx1"/>
            </w14:solidFill>
          </w14:textFill>
        </w:rPr>
        <w:t>；</w:t>
      </w:r>
      <w:r>
        <w:rPr>
          <w:rFonts w:hint="eastAsia" w:ascii="仿宋_GB2312" w:hAnsi="宋体"/>
          <w:b/>
          <w:color w:val="000000" w:themeColor="text1"/>
          <w:szCs w:val="32"/>
          <w:lang w:bidi="en-US"/>
          <w14:textFill>
            <w14:solidFill>
              <w14:schemeClr w14:val="tx1"/>
            </w14:solidFill>
          </w14:textFill>
        </w:rPr>
        <w:t>二是</w:t>
      </w:r>
      <w:r>
        <w:rPr>
          <w:rFonts w:ascii="仿宋_GB2312" w:hAnsi="宋体"/>
          <w:color w:val="000000" w:themeColor="text1"/>
          <w:szCs w:val="32"/>
          <w:lang w:bidi="en-US"/>
          <w14:textFill>
            <w14:solidFill>
              <w14:schemeClr w14:val="tx1"/>
            </w14:solidFill>
          </w14:textFill>
        </w:rPr>
        <w:t>余下的2648人已经参保登记或领取养老待遇(其中:参加职工养老167人，领取职工养老待遇1人，参加城乡居民养老2480人)。</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（2）对2017年脱贫贫困户中有17户未真正实现有安全住房</w:t>
      </w:r>
      <w:r>
        <w:rPr>
          <w:rFonts w:hint="eastAsia" w:ascii="仿宋_GB2312" w:hAnsi="宋体"/>
          <w:color w:val="000000" w:themeColor="text1"/>
          <w:szCs w:val="32"/>
          <w14:textFill>
            <w14:solidFill>
              <w14:schemeClr w14:val="tx1"/>
            </w14:solidFill>
          </w14:textFill>
        </w:rPr>
        <w:t>的问题</w:t>
      </w:r>
      <w:r>
        <w:rPr>
          <w:rStyle w:val="11"/>
          <w:rFonts w:hint="eastAsia" w:ascii="仿宋_GB2312" w:hAnsi="宋体"/>
          <w:color w:val="000000" w:themeColor="text1"/>
          <w:szCs w:val="32"/>
          <w14:textFill>
            <w14:solidFill>
              <w14:schemeClr w14:val="tx1"/>
            </w14:solidFill>
          </w14:textFill>
        </w:rPr>
        <w:t>。已全部整改完毕。</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4.关于农村人居环境整治方面的问题。相关部门已完成整改。</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（1）对有2个镇超范围使用农村人居环境整治工程资金的问题。</w:t>
      </w:r>
      <w:r>
        <w:rPr>
          <w:rFonts w:ascii="仿宋_GB2312" w:hAnsi="宋体"/>
          <w:color w:val="000000" w:themeColor="text1"/>
          <w:szCs w:val="32"/>
          <w:lang w:bidi="en-US"/>
          <w14:textFill>
            <w14:solidFill>
              <w14:schemeClr w14:val="tx1"/>
            </w14:solidFill>
          </w14:textFill>
        </w:rPr>
        <w:t>根据韶关市财政局、韶关市委农办《关于进一步强化省定贫困村创建新农村示范村建设资金使用管理的通知》(</w:t>
      </w:r>
      <w:r>
        <w:rPr>
          <w:rFonts w:hint="eastAsia" w:ascii="仿宋_GB2312" w:hAnsi="仿宋" w:cs="宋体"/>
          <w:color w:val="000000" w:themeColor="text1"/>
          <w:szCs w:val="32"/>
          <w:lang w:bidi="en-US"/>
          <w14:textFill>
            <w14:solidFill>
              <w14:schemeClr w14:val="tx1"/>
            </w14:solidFill>
          </w14:textFill>
        </w:rPr>
        <w:t>韶</w:t>
      </w:r>
      <w:r>
        <w:rPr>
          <w:rFonts w:hint="eastAsia" w:ascii="仿宋_GB2312" w:hAnsi="仿宋" w:cs="仿宋_GB2312"/>
          <w:color w:val="000000" w:themeColor="text1"/>
          <w:szCs w:val="32"/>
          <w:lang w:bidi="en-US"/>
          <w14:textFill>
            <w14:solidFill>
              <w14:schemeClr w14:val="tx1"/>
            </w14:solidFill>
          </w14:textFill>
        </w:rPr>
        <w:t>财农</w:t>
      </w:r>
      <w:r>
        <w:rPr>
          <w:rFonts w:hint="eastAsia" w:ascii="仿宋_GB2312" w:hAnsi="宋体"/>
          <w:color w:val="000000" w:themeColor="text1"/>
          <w:szCs w:val="32"/>
          <w14:textFill>
            <w14:solidFill>
              <w14:schemeClr w14:val="tx1"/>
            </w14:solidFill>
          </w14:textFill>
        </w:rPr>
        <w:t>〔2018〕</w:t>
      </w:r>
      <w:r>
        <w:rPr>
          <w:rFonts w:ascii="仿宋_GB2312" w:hAnsi="宋体"/>
          <w:color w:val="000000" w:themeColor="text1"/>
          <w:szCs w:val="32"/>
          <w:lang w:bidi="en-US"/>
          <w14:textFill>
            <w14:solidFill>
              <w14:schemeClr w14:val="tx1"/>
            </w14:solidFill>
          </w14:textFill>
        </w:rPr>
        <w:t>127号)精神，进一步明确了示范村建设市级奖补资金可统筹用于“三清三拆”(拆旧不补、青苗不补</w:t>
      </w:r>
      <w:r>
        <w:rPr>
          <w:rFonts w:hint="eastAsia" w:ascii="仿宋_GB2312" w:hAnsi="宋体"/>
          <w:color w:val="000000" w:themeColor="text1"/>
          <w:szCs w:val="32"/>
          <w:lang w:bidi="en-US"/>
          <w14:textFill>
            <w14:solidFill>
              <w14:schemeClr w14:val="tx1"/>
            </w14:solidFill>
          </w14:textFill>
        </w:rPr>
        <w:t>、</w:t>
      </w:r>
      <w:r>
        <w:rPr>
          <w:rFonts w:ascii="仿宋_GB2312" w:hAnsi="宋体"/>
          <w:color w:val="000000" w:themeColor="text1"/>
          <w:szCs w:val="32"/>
          <w:lang w:bidi="en-US"/>
          <w14:textFill>
            <w14:solidFill>
              <w14:schemeClr w14:val="tx1"/>
            </w14:solidFill>
          </w14:textFill>
        </w:rPr>
        <w:t>让地不补、务工不补)。目前，各镇已使用的市级资金均用于支付“三清三拆”机械清拆费用和项目建设费用，已</w:t>
      </w:r>
      <w:r>
        <w:rPr>
          <w:rFonts w:hint="eastAsia" w:ascii="仿宋_GB2312" w:hAnsi="宋体"/>
          <w:color w:val="000000" w:themeColor="text1"/>
          <w:szCs w:val="32"/>
          <w:lang w:bidi="en-US"/>
          <w14:textFill>
            <w14:solidFill>
              <w14:schemeClr w14:val="tx1"/>
            </w14:solidFill>
          </w14:textFill>
        </w:rPr>
        <w:t>符合相关规定要求</w:t>
      </w:r>
      <w:r>
        <w:rPr>
          <w:rFonts w:ascii="仿宋_GB2312" w:hAnsi="宋体"/>
          <w:color w:val="000000" w:themeColor="text1"/>
          <w:szCs w:val="32"/>
          <w:lang w:bidi="en-US"/>
          <w14:textFill>
            <w14:solidFill>
              <w14:schemeClr w14:val="tx1"/>
            </w14:solidFill>
          </w14:textFill>
        </w:rPr>
        <w:t>。</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（2）对有36个自然村虚报完成农村人居环境整治任务的问题。上述36个未完成雨污分流、污水处理设施建设的自然村截至2019年12月31日已经全面完成</w:t>
      </w:r>
      <w:r>
        <w:rPr>
          <w:rFonts w:hint="eastAsia" w:ascii="仿宋_GB2312" w:hAnsi="宋体"/>
          <w:color w:val="000000" w:themeColor="text1"/>
          <w:szCs w:val="32"/>
          <w:lang w:bidi="en-US"/>
          <w14:textFill>
            <w14:solidFill>
              <w14:schemeClr w14:val="tx1"/>
            </w14:solidFill>
          </w14:textFill>
        </w:rPr>
        <w:t>。</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（3）对有5个列入2017年规划建设农村人居环境综合整治美丽乡村示范点的村小组，建设文体活动场所选址不合理，造成体育健身器材无法配送安装的问题。</w:t>
      </w:r>
      <w:r>
        <w:rPr>
          <w:rFonts w:ascii="仿宋_GB2312" w:hAnsi="宋体"/>
          <w:color w:val="000000" w:themeColor="text1"/>
          <w:szCs w:val="32"/>
          <w:lang w:bidi="en-US"/>
          <w14:textFill>
            <w14:solidFill>
              <w14:schemeClr w14:val="tx1"/>
            </w14:solidFill>
          </w14:textFill>
        </w:rPr>
        <w:t>目前，除新江镇渔溪村田心组、翁城镇沾坑</w:t>
      </w:r>
      <w:r>
        <w:rPr>
          <w:rFonts w:hint="eastAsia" w:ascii="仿宋_GB2312" w:hAnsi="宋体"/>
          <w:color w:val="000000" w:themeColor="text1"/>
          <w:szCs w:val="32"/>
          <w:lang w:bidi="en-US"/>
          <w14:textFill>
            <w14:solidFill>
              <w14:schemeClr w14:val="tx1"/>
            </w14:solidFill>
          </w14:textFill>
        </w:rPr>
        <w:t>村</w:t>
      </w:r>
      <w:r>
        <w:rPr>
          <w:rFonts w:ascii="仿宋_GB2312" w:hAnsi="宋体"/>
          <w:color w:val="000000" w:themeColor="text1"/>
          <w:szCs w:val="32"/>
          <w:lang w:bidi="en-US"/>
          <w14:textFill>
            <w14:solidFill>
              <w14:schemeClr w14:val="tx1"/>
            </w14:solidFill>
          </w14:textFill>
        </w:rPr>
        <w:t>李屋组已重新规划场地建</w:t>
      </w:r>
      <w:r>
        <w:rPr>
          <w:rFonts w:hint="eastAsia" w:ascii="仿宋_GB2312" w:hAnsi="宋体"/>
          <w:color w:val="000000" w:themeColor="text1"/>
          <w:szCs w:val="32"/>
          <w:lang w:bidi="en-US"/>
          <w14:textFill>
            <w14:solidFill>
              <w14:schemeClr w14:val="tx1"/>
            </w14:solidFill>
          </w14:textFill>
        </w:rPr>
        <w:t>完了</w:t>
      </w:r>
      <w:r>
        <w:rPr>
          <w:rFonts w:ascii="仿宋_GB2312" w:hAnsi="宋体"/>
          <w:color w:val="000000" w:themeColor="text1"/>
          <w:szCs w:val="32"/>
          <w:lang w:bidi="en-US"/>
          <w14:textFill>
            <w14:solidFill>
              <w14:schemeClr w14:val="tx1"/>
            </w14:solidFill>
          </w14:textFill>
        </w:rPr>
        <w:t>一个小型文体活动场所外，其余3个村</w:t>
      </w:r>
      <w:r>
        <w:rPr>
          <w:rFonts w:hint="eastAsia" w:ascii="仿宋_GB2312" w:hAnsi="宋体"/>
          <w:color w:val="000000" w:themeColor="text1"/>
          <w:szCs w:val="32"/>
          <w:lang w:bidi="en-US"/>
          <w14:textFill>
            <w14:solidFill>
              <w14:schemeClr w14:val="tx1"/>
            </w14:solidFill>
          </w14:textFill>
        </w:rPr>
        <w:t>小组</w:t>
      </w:r>
      <w:r>
        <w:rPr>
          <w:rFonts w:ascii="仿宋_GB2312" w:hAnsi="宋体"/>
          <w:color w:val="000000" w:themeColor="text1"/>
          <w:szCs w:val="32"/>
          <w:lang w:bidi="en-US"/>
          <w14:textFill>
            <w14:solidFill>
              <w14:schemeClr w14:val="tx1"/>
            </w14:solidFill>
          </w14:textFill>
        </w:rPr>
        <w:t>的文体活动场所建设</w:t>
      </w:r>
      <w:r>
        <w:rPr>
          <w:rFonts w:hint="eastAsia" w:ascii="仿宋_GB2312" w:hAnsi="宋体"/>
          <w:color w:val="000000" w:themeColor="text1"/>
          <w:szCs w:val="32"/>
          <w:lang w:bidi="en-US"/>
          <w14:textFill>
            <w14:solidFill>
              <w14:schemeClr w14:val="tx1"/>
            </w14:solidFill>
          </w14:textFill>
        </w:rPr>
        <w:t>项目</w:t>
      </w:r>
      <w:r>
        <w:rPr>
          <w:rFonts w:ascii="仿宋_GB2312" w:hAnsi="宋体"/>
          <w:color w:val="000000" w:themeColor="text1"/>
          <w:szCs w:val="32"/>
          <w:lang w:bidi="en-US"/>
          <w14:textFill>
            <w14:solidFill>
              <w14:schemeClr w14:val="tx1"/>
            </w14:solidFill>
          </w14:textFill>
        </w:rPr>
        <w:t>，由所在村调配到其他村小组或由镇统筹调配到其他村建设。</w:t>
      </w:r>
    </w:p>
    <w:p>
      <w:pPr>
        <w:spacing w:line="560" w:lineRule="exact"/>
        <w:ind w:firstLine="640" w:firstLineChars="200"/>
      </w:pPr>
      <w:r>
        <w:rPr>
          <w:rFonts w:hint="eastAsia" w:ascii="仿宋_GB2312" w:hAnsi="宋体"/>
          <w:color w:val="000000" w:themeColor="text1"/>
          <w:szCs w:val="32"/>
          <w14:textFill>
            <w14:solidFill>
              <w14:schemeClr w14:val="tx1"/>
            </w14:solidFill>
          </w14:textFill>
        </w:rPr>
        <w:t>（4）对农村生活饮用水水质合格率偏低的问题。县政府专门</w:t>
      </w:r>
      <w:r>
        <w:t>召开</w:t>
      </w:r>
      <w:r>
        <w:rPr>
          <w:rFonts w:hint="eastAsia"/>
        </w:rPr>
        <w:t>了</w:t>
      </w:r>
      <w:r>
        <w:t>饮用水专题会议，</w:t>
      </w:r>
      <w:r>
        <w:rPr>
          <w:rFonts w:hint="eastAsia"/>
        </w:rPr>
        <w:t>研究制定了工作方案，</w:t>
      </w:r>
      <w:r>
        <w:t>明确</w:t>
      </w:r>
      <w:r>
        <w:rPr>
          <w:rFonts w:hint="eastAsia"/>
        </w:rPr>
        <w:t>了</w:t>
      </w:r>
      <w:r>
        <w:t>监测监督部门的职责要求</w:t>
      </w:r>
      <w:r>
        <w:rPr>
          <w:rFonts w:hint="eastAsia"/>
        </w:rPr>
        <w:t>并</w:t>
      </w:r>
      <w:r>
        <w:t>加强</w:t>
      </w:r>
      <w:r>
        <w:rPr>
          <w:rFonts w:hint="eastAsia"/>
        </w:rPr>
        <w:t>了</w:t>
      </w:r>
      <w:r>
        <w:t>监督管理和技术指导</w:t>
      </w:r>
      <w:r>
        <w:rPr>
          <w:rFonts w:hint="eastAsia"/>
        </w:rPr>
        <w:t>，切实</w:t>
      </w:r>
      <w:r>
        <w:t>做好饮用水监测和监督工作</w:t>
      </w:r>
      <w:r>
        <w:rPr>
          <w:rFonts w:hint="eastAsia"/>
        </w:rPr>
        <w:t xml:space="preserve">。通过水样检测评价结果显示，翁源县农村生活饮用水水质合格率已达到安全饮用水要求。            </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5.关于其他方面问题的整改情况。</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1）对危房改造政策落实方面存在的问题。2018年2月底，我县2017年农村危房改造补助资金已全部拨付到危改对象账户；2019年我县农村危房改造任务为60户，市、县各按50%的比例给予改造对象资金补助。为加强对农村危房改造对象的施工进度、工程质量、安全生产监督检查，我县实行农村危房改造项目进度月报制度，到2019年11月底止，已完成验收并将补助资金发放到户，全面完成了危改任务。</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（2）以前年度跟踪审计发现未整改完成的问题。</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关于县扶贫办上报的“</w:t>
      </w:r>
      <w:r>
        <w:rPr>
          <w:rFonts w:hint="eastAsia" w:ascii="仿宋_GB2312" w:hAnsi="宋体"/>
          <w:color w:val="000000" w:themeColor="text1"/>
          <w:szCs w:val="32"/>
          <w:lang w:bidi="en-US"/>
          <w14:textFill>
            <w14:solidFill>
              <w14:schemeClr w14:val="tx1"/>
            </w14:solidFill>
          </w14:textFill>
        </w:rPr>
        <w:t>2016年已脱贫的375户贫困户中仍有68户居住在C/D级危房中，</w:t>
      </w:r>
      <w:r>
        <w:rPr>
          <w:rFonts w:hint="eastAsia" w:ascii="仿宋_GB2312" w:hAnsi="宋体" w:cs="宋体"/>
          <w:color w:val="000000" w:themeColor="text1"/>
          <w:szCs w:val="32"/>
          <w:lang w:bidi="en-US"/>
          <w14:textFill>
            <w14:solidFill>
              <w14:schemeClr w14:val="tx1"/>
            </w14:solidFill>
          </w14:textFill>
        </w:rPr>
        <w:t>虚增</w:t>
      </w:r>
      <w:r>
        <w:rPr>
          <w:rFonts w:hint="eastAsia" w:ascii="仿宋_GB2312" w:hAnsi="宋体"/>
          <w:color w:val="000000" w:themeColor="text1"/>
          <w:szCs w:val="32"/>
          <w:lang w:bidi="en-US"/>
          <w14:textFill>
            <w14:solidFill>
              <w14:schemeClr w14:val="tx1"/>
            </w14:solidFill>
          </w14:textFill>
        </w:rPr>
        <w:t>2016年脱贫户数的问题。</w:t>
      </w:r>
      <w:r>
        <w:rPr>
          <w:rFonts w:hint="eastAsia" w:ascii="仿宋_GB2312"/>
        </w:rPr>
        <w:t>目前，有63户纳入2018年农房改造省指标任务进行改造并竣工验收，1户已解决安全住房，4户纳入2018年农村危房改造存量进行改造并已竣工验收。</w:t>
      </w:r>
    </w:p>
    <w:p>
      <w:pPr>
        <w:spacing w:line="560" w:lineRule="exact"/>
        <w:ind w:firstLine="640" w:firstLineChars="200"/>
        <w:rPr>
          <w:rStyle w:val="11"/>
          <w:rFonts w:ascii="仿宋_GB2312" w:hAnsi="宋体"/>
          <w:color w:val="000000" w:themeColor="text1"/>
          <w:szCs w:val="32"/>
          <w14:textFill>
            <w14:solidFill>
              <w14:schemeClr w14:val="tx1"/>
            </w14:solidFill>
          </w14:textFill>
        </w:rPr>
      </w:pPr>
      <w:r>
        <w:rPr>
          <w:rStyle w:val="11"/>
          <w:rFonts w:hint="eastAsia" w:ascii="仿宋_GB2312" w:hAnsi="宋体"/>
          <w:color w:val="000000" w:themeColor="text1"/>
          <w:szCs w:val="32"/>
          <w14:textFill>
            <w14:solidFill>
              <w14:schemeClr w14:val="tx1"/>
            </w14:solidFill>
          </w14:textFill>
        </w:rPr>
        <w:t>6.关于其他应关注事项的整改情况。</w:t>
      </w:r>
    </w:p>
    <w:p>
      <w:pPr>
        <w:spacing w:line="560" w:lineRule="exact"/>
        <w:ind w:firstLine="640" w:firstLineChars="200"/>
        <w:rPr>
          <w:rFonts w:ascii="仿宋_GB2312" w:hAnsi="仿宋_GB2312" w:cs="仿宋_GB2312"/>
          <w:b/>
          <w:bCs/>
          <w:szCs w:val="32"/>
        </w:rPr>
      </w:pPr>
      <w:r>
        <w:rPr>
          <w:rStyle w:val="11"/>
          <w:rFonts w:hint="eastAsia" w:ascii="仿宋_GB2312" w:hAnsi="宋体"/>
          <w:color w:val="000000" w:themeColor="text1"/>
          <w:szCs w:val="32"/>
          <w14:textFill>
            <w14:solidFill>
              <w14:schemeClr w14:val="tx1"/>
            </w14:solidFill>
          </w14:textFill>
        </w:rPr>
        <w:t>对“</w:t>
      </w:r>
      <w:r>
        <w:rPr>
          <w:rFonts w:hint="eastAsia" w:ascii="仿宋_GB2312" w:hAnsi="宋体"/>
          <w:color w:val="000000" w:themeColor="text1"/>
          <w:szCs w:val="32"/>
          <w14:textFill>
            <w14:solidFill>
              <w14:schemeClr w14:val="tx1"/>
            </w14:solidFill>
          </w14:textFill>
        </w:rPr>
        <w:t>扶贫小额信贷工作推进缓慢”的问题。县金融办已完成整改。2019年我县加大金融扶贫小额贷款力度，将金融扶持作为贫困户增收、产业增效的重要举措，鼓励贫困户利用扶贫小额贷款发展产业，实现增收。截止2019年11月，我县共召开了5次全县金融扶贫小额信贷联席会议，探索产业扶贫项目带动，由3家金融机构自主选择县域内的农业龙头企业、农民专业合作社、家庭农场等新型农业经营主体，实施委托代种代养代销扶贫小额信贷，重点帮助未脱贫和已脱贫但质量不高的贫困户增加收入。有效帮扶贫困户通过贷款选上项目、启动生产和扩大就业实现脱贫增收。</w:t>
      </w:r>
      <w:r>
        <w:rPr>
          <w:rFonts w:hint="eastAsia" w:ascii="仿宋_GB2312" w:hAnsi="仿宋_GB2312" w:cs="仿宋_GB2312"/>
          <w:szCs w:val="32"/>
        </w:rPr>
        <w:t>截止至2019年12月31日，我县累计放贷1178笔，累计放贷金额4539.11万元，扶贫小额信贷率为33.31%，放贷总额居全市第一，有效推动了扶贫小额信贷工作进程。</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四、重点民生项目和专项资金审计发现问题整改情况</w:t>
      </w:r>
    </w:p>
    <w:p>
      <w:pPr>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（一）关于省级财政支持山区教育事业发展专项资金及相关政策落实方面，山区农村教师补助政策个别绩效指标变化不明显的问题</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县教育局已完成整改，今后将充分运用农村教师生活补助政策，加大力度鼓励、引导年轻、职称级别高的优秀教师到农村学校任教，切实提高农村学校教师的整体素质。</w:t>
      </w:r>
    </w:p>
    <w:p>
      <w:pPr>
        <w:pStyle w:val="16"/>
        <w:snapToGrid w:val="0"/>
        <w:spacing w:line="560" w:lineRule="exact"/>
        <w:ind w:firstLine="480" w:firstLineChars="150"/>
        <w:jc w:val="left"/>
        <w:rPr>
          <w:rFonts w:ascii="楷体" w:eastAsia="楷体"/>
          <w:bCs/>
          <w:szCs w:val="32"/>
        </w:rPr>
      </w:pPr>
      <w:r>
        <w:rPr>
          <w:rFonts w:hint="eastAsia" w:ascii="楷体" w:eastAsia="楷体"/>
          <w:bCs/>
          <w:szCs w:val="32"/>
        </w:rPr>
        <w:t>（二）关于省级加强基层医疗卫生服务能力建设项目资金及相关政策落实方面</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1.对有“35间已建成的村卫生站未投入使用”的问题。县卫生健康局已完成整改。截至2019年5月10日，35间村卫生站已投入使用。</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2.对“村卫生站未办理移交手续和制定管理方案”的问题。县卫生健康局已完成整改，2018年建设的33间村卫生站已于2019年4月30日前办理移交手续，2017年建设的45间村卫生站已于2019年5月30日补办移交手续。</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3.对“卫生院全科医生特岗补助资金闲置”的问题。县卫生健康局已完成整改。闲置的全科医生特岗补助资金264万元已于2019年8月16日退回给县财政局。</w:t>
      </w:r>
    </w:p>
    <w:p>
      <w:pPr>
        <w:spacing w:line="560" w:lineRule="exact"/>
        <w:ind w:firstLine="480" w:firstLineChars="150"/>
        <w:rPr>
          <w:rFonts w:ascii="楷体" w:eastAsia="楷体"/>
          <w:color w:val="000000"/>
          <w:kern w:val="0"/>
        </w:rPr>
      </w:pPr>
      <w:r>
        <w:rPr>
          <w:rFonts w:hint="eastAsia" w:ascii="楷体" w:eastAsia="楷体"/>
          <w:color w:val="000000"/>
          <w:kern w:val="0"/>
        </w:rPr>
        <w:t>（三）关于2018年度县生活无着的流浪乞讨人员救助方面</w:t>
      </w:r>
    </w:p>
    <w:p>
      <w:pPr>
        <w:spacing w:line="560" w:lineRule="exact"/>
        <w:ind w:firstLine="640" w:firstLineChars="200"/>
        <w:rPr>
          <w:rFonts w:ascii="仿宋_GB2312"/>
          <w:color w:val="000000"/>
          <w:kern w:val="0"/>
        </w:rPr>
      </w:pPr>
      <w:r>
        <w:rPr>
          <w:rFonts w:hint="eastAsia" w:ascii="仿宋_GB2312"/>
          <w:color w:val="000000"/>
          <w:kern w:val="0"/>
        </w:rPr>
        <w:t>1．对“流浪乞讨人员救助补助专项资金结余未进行专项核算”的问题。县民政局已完成整改，明确将严格按照流浪乞讨人员救助补助专项资金管理办法进行专项核算。</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2.对“县流浪乞讨救助管理机制落实不到位”的问题。已完成整改，县编办于2019年8月27日下发了招聘通知，同意招聘工作人员2名，2019年底组织了招聘工作，现相关人员已到岗。</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3.对“县安置中心业务楼工程建设进度缓慢”的问题。县民政局已完成整改，土地调规于2019年6月底已完成，业务楼在7月1日已动工建设，现已建成并投入使用。</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4.对“县安置中心安置场所安全设施不完善”的问题。县民政局已完成整改，消防设施已通过验收。</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5.对“县安置中心配备救助的车辆不符合救助要求”的问题。县民政局于2019年12月13日购入一辆流动服务车，救助车辆已到位。</w:t>
      </w:r>
    </w:p>
    <w:p>
      <w:pPr>
        <w:spacing w:line="56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6.对“部分流浪乞讨受助人员存在跑站现象”的问题。县民政局已完成整改，明确在今后工作中将加强救助管理，严格把关，按照相关救助政策执行，抵制不劳而获的职业乞讨行为。</w:t>
      </w:r>
    </w:p>
    <w:p>
      <w:pPr>
        <w:spacing w:line="560" w:lineRule="exact"/>
        <w:ind w:firstLine="640" w:firstLineChars="200"/>
        <w:rPr>
          <w:rFonts w:ascii="黑体" w:hAnsi="黑体" w:eastAsia="黑体"/>
        </w:rPr>
      </w:pPr>
      <w:r>
        <w:rPr>
          <w:rFonts w:ascii="黑体" w:hAnsi="黑体" w:eastAsia="黑体"/>
        </w:rPr>
        <w:t>五</w:t>
      </w:r>
      <w:r>
        <w:rPr>
          <w:rFonts w:hint="eastAsia" w:ascii="黑体" w:hAnsi="黑体" w:eastAsia="黑体"/>
        </w:rPr>
        <w:t>、</w:t>
      </w:r>
      <w:r>
        <w:rPr>
          <w:rFonts w:ascii="黑体" w:hAnsi="黑体" w:eastAsia="黑体"/>
        </w:rPr>
        <w:t>审计整改工作存在问题及今后设想</w:t>
      </w:r>
    </w:p>
    <w:p>
      <w:pPr>
        <w:spacing w:line="560" w:lineRule="exact"/>
        <w:ind w:firstLine="640" w:firstLineChars="200"/>
        <w:rPr>
          <w:rFonts w:ascii="仿宋_GB2312"/>
        </w:rPr>
      </w:pPr>
      <w:r>
        <w:rPr>
          <w:rFonts w:hint="eastAsia" w:ascii="仿宋_GB2312"/>
        </w:rPr>
        <w:t>在做好审计查出问题立行立改的同时，有些问题需要深入持续推进整改，主要有两种情况：</w:t>
      </w:r>
    </w:p>
    <w:p>
      <w:pPr>
        <w:spacing w:line="560" w:lineRule="exact"/>
        <w:ind w:firstLine="640" w:firstLineChars="200"/>
        <w:rPr>
          <w:rFonts w:ascii="仿宋_GB2312"/>
        </w:rPr>
      </w:pPr>
      <w:r>
        <w:rPr>
          <w:rFonts w:hint="eastAsia" w:ascii="仿宋_GB2312"/>
        </w:rPr>
        <w:t>（一）有的问题涉及改革中长期目标，需要结合深化改革逐步解决。如预算管理、农村人居环境整治和“信息共享方面存在不足”等问题，需要随着财税体制改革、乡村振兴战略深入推进和通过顶层设计来逐步解决。</w:t>
      </w:r>
    </w:p>
    <w:p>
      <w:pPr>
        <w:spacing w:line="560" w:lineRule="exact"/>
        <w:ind w:firstLine="640" w:firstLineChars="200"/>
        <w:rPr>
          <w:rFonts w:ascii="仿宋_GB2312"/>
        </w:rPr>
      </w:pPr>
      <w:r>
        <w:rPr>
          <w:rFonts w:hint="eastAsia" w:ascii="仿宋_GB2312"/>
        </w:rPr>
        <w:t>（二）部分产业扶贫资金安排与地方产业发展不匹配，没有充分考虑贫困村产业基础薄弱、土地流转困难和交通不便等现实情况，导致资金执行进度慢或扶贫项目落地难等问题难以解决。扶贫攻坚工作还需要有关部门加强政策指引，完善制度和合理安排资金。</w:t>
      </w:r>
    </w:p>
    <w:p>
      <w:pPr>
        <w:spacing w:line="560" w:lineRule="exact"/>
        <w:ind w:firstLine="640" w:firstLineChars="200"/>
        <w:rPr>
          <w:rFonts w:ascii="仿宋_GB2312"/>
        </w:rPr>
      </w:pPr>
      <w:r>
        <w:rPr>
          <w:rFonts w:hint="eastAsia" w:ascii="仿宋_GB2312"/>
        </w:rPr>
        <w:t>下一步，我们</w:t>
      </w:r>
      <w:r>
        <w:rPr>
          <w:rFonts w:hint="eastAsia" w:ascii="仿宋_GB2312"/>
          <w:b/>
        </w:rPr>
        <w:t>一是</w:t>
      </w:r>
      <w:r>
        <w:rPr>
          <w:rFonts w:hint="eastAsia" w:ascii="仿宋_GB2312"/>
        </w:rPr>
        <w:t>继续抓好审计整改，将狠抓审计整改作为开展审计工作的落脚点，在切实提高审计报告质量的基础上，认真做好审计工作的“后半篇文章”；</w:t>
      </w:r>
      <w:r>
        <w:rPr>
          <w:rFonts w:hint="eastAsia" w:ascii="仿宋_GB2312"/>
          <w:b/>
        </w:rPr>
        <w:t>二是</w:t>
      </w:r>
      <w:r>
        <w:rPr>
          <w:rFonts w:hint="eastAsia" w:ascii="仿宋_GB2312"/>
        </w:rPr>
        <w:t>构建协调机制，对需多部门共同推进整改的问题，由主管部门牵头建立协作机制，明确各自责任，加强统筹协调，形成整改合力；</w:t>
      </w:r>
      <w:r>
        <w:rPr>
          <w:rFonts w:hint="eastAsia" w:ascii="仿宋_GB2312"/>
          <w:b/>
        </w:rPr>
        <w:t>三是</w:t>
      </w:r>
      <w:r>
        <w:rPr>
          <w:rFonts w:hint="eastAsia" w:ascii="仿宋_GB2312"/>
        </w:rPr>
        <w:t>促进深化改革，完善体制机制、堵塞制度性漏洞。县审计局将在县人大的指导和监督下，持续对后续整改情况进行跟踪检查，进一步推动完善审计查出问题的整改工作，为翁源的经济社会发展作出应有的贡献！</w:t>
      </w:r>
    </w:p>
    <w:p>
      <w:pPr>
        <w:spacing w:line="560" w:lineRule="exact"/>
        <w:ind w:firstLine="640" w:firstLineChars="200"/>
        <w:rPr>
          <w:rFonts w:ascii="仿宋_GB2312"/>
        </w:rPr>
      </w:pPr>
    </w:p>
    <w:p>
      <w:pPr>
        <w:spacing w:line="560" w:lineRule="exact"/>
        <w:ind w:firstLine="640" w:firstLineChars="200"/>
        <w:rPr>
          <w:rFonts w:ascii="仿宋_GB2312"/>
        </w:rPr>
      </w:pPr>
    </w:p>
    <w:p>
      <w:pPr>
        <w:spacing w:line="560" w:lineRule="exact"/>
        <w:ind w:firstLine="640" w:firstLineChars="200"/>
        <w:rPr>
          <w:rFonts w:ascii="仿宋_GB2312"/>
        </w:rPr>
      </w:pPr>
    </w:p>
    <w:p>
      <w:pPr>
        <w:spacing w:line="560" w:lineRule="exact"/>
        <w:ind w:right="1280" w:firstLine="640" w:firstLineChars="200"/>
        <w:jc w:val="righ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翁源县人民政府</w:t>
      </w:r>
    </w:p>
    <w:p>
      <w:pPr>
        <w:spacing w:line="560" w:lineRule="exact"/>
        <w:ind w:right="1120" w:firstLine="640" w:firstLineChars="200"/>
        <w:jc w:val="righ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2019年4月29日</w:t>
      </w:r>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66151"/>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900691"/>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11"/>
    <w:rsid w:val="000057A8"/>
    <w:rsid w:val="0001015D"/>
    <w:rsid w:val="00013176"/>
    <w:rsid w:val="000146B1"/>
    <w:rsid w:val="00017EC1"/>
    <w:rsid w:val="000268AC"/>
    <w:rsid w:val="00027B5C"/>
    <w:rsid w:val="00031DCE"/>
    <w:rsid w:val="00032605"/>
    <w:rsid w:val="00034282"/>
    <w:rsid w:val="000455B5"/>
    <w:rsid w:val="00047781"/>
    <w:rsid w:val="00053FB4"/>
    <w:rsid w:val="000543D1"/>
    <w:rsid w:val="0005745A"/>
    <w:rsid w:val="00057A9E"/>
    <w:rsid w:val="00062186"/>
    <w:rsid w:val="00064247"/>
    <w:rsid w:val="00066EF5"/>
    <w:rsid w:val="00073DC5"/>
    <w:rsid w:val="00085CD8"/>
    <w:rsid w:val="00086E02"/>
    <w:rsid w:val="000872A4"/>
    <w:rsid w:val="00092707"/>
    <w:rsid w:val="00096DD7"/>
    <w:rsid w:val="000A5B16"/>
    <w:rsid w:val="000A6E96"/>
    <w:rsid w:val="000A750D"/>
    <w:rsid w:val="000B17D9"/>
    <w:rsid w:val="000B2609"/>
    <w:rsid w:val="000B2F32"/>
    <w:rsid w:val="000B699F"/>
    <w:rsid w:val="000C2CC7"/>
    <w:rsid w:val="000C4646"/>
    <w:rsid w:val="000C6873"/>
    <w:rsid w:val="000D1DBE"/>
    <w:rsid w:val="000D2B4E"/>
    <w:rsid w:val="000D60D2"/>
    <w:rsid w:val="000D6DB7"/>
    <w:rsid w:val="000D77FA"/>
    <w:rsid w:val="000E5E30"/>
    <w:rsid w:val="000E7B4F"/>
    <w:rsid w:val="000F0379"/>
    <w:rsid w:val="000F1FB8"/>
    <w:rsid w:val="000F2B65"/>
    <w:rsid w:val="000F3405"/>
    <w:rsid w:val="000F359D"/>
    <w:rsid w:val="000F42FA"/>
    <w:rsid w:val="000F4BF5"/>
    <w:rsid w:val="000F6D87"/>
    <w:rsid w:val="00107AAB"/>
    <w:rsid w:val="001152EF"/>
    <w:rsid w:val="00115E14"/>
    <w:rsid w:val="00122E41"/>
    <w:rsid w:val="001422C9"/>
    <w:rsid w:val="00146914"/>
    <w:rsid w:val="00152F72"/>
    <w:rsid w:val="0016259C"/>
    <w:rsid w:val="001651A7"/>
    <w:rsid w:val="0017110F"/>
    <w:rsid w:val="00172C2E"/>
    <w:rsid w:val="001761A9"/>
    <w:rsid w:val="00177B12"/>
    <w:rsid w:val="00182157"/>
    <w:rsid w:val="00182C47"/>
    <w:rsid w:val="00183C5D"/>
    <w:rsid w:val="001905F6"/>
    <w:rsid w:val="001920A0"/>
    <w:rsid w:val="001B5673"/>
    <w:rsid w:val="001C454B"/>
    <w:rsid w:val="001C5191"/>
    <w:rsid w:val="001C5194"/>
    <w:rsid w:val="001D05DB"/>
    <w:rsid w:val="001D5FE4"/>
    <w:rsid w:val="001E5CF4"/>
    <w:rsid w:val="001E5D40"/>
    <w:rsid w:val="001E75C7"/>
    <w:rsid w:val="001F0736"/>
    <w:rsid w:val="001F6376"/>
    <w:rsid w:val="001F74D7"/>
    <w:rsid w:val="00204889"/>
    <w:rsid w:val="00204DD4"/>
    <w:rsid w:val="00206C4B"/>
    <w:rsid w:val="00214DE3"/>
    <w:rsid w:val="00215D9C"/>
    <w:rsid w:val="00217F6E"/>
    <w:rsid w:val="00223AA3"/>
    <w:rsid w:val="0022656B"/>
    <w:rsid w:val="00232A54"/>
    <w:rsid w:val="002343AE"/>
    <w:rsid w:val="00235933"/>
    <w:rsid w:val="002402A0"/>
    <w:rsid w:val="0024288E"/>
    <w:rsid w:val="0024296F"/>
    <w:rsid w:val="0025579C"/>
    <w:rsid w:val="00255F35"/>
    <w:rsid w:val="002567AB"/>
    <w:rsid w:val="00256F24"/>
    <w:rsid w:val="00262AC9"/>
    <w:rsid w:val="00263912"/>
    <w:rsid w:val="00264576"/>
    <w:rsid w:val="00265C16"/>
    <w:rsid w:val="002674D7"/>
    <w:rsid w:val="00280491"/>
    <w:rsid w:val="00283083"/>
    <w:rsid w:val="00285F8A"/>
    <w:rsid w:val="002A5499"/>
    <w:rsid w:val="002A7263"/>
    <w:rsid w:val="002B2C30"/>
    <w:rsid w:val="002B5949"/>
    <w:rsid w:val="002C011F"/>
    <w:rsid w:val="002C7D6E"/>
    <w:rsid w:val="002E1579"/>
    <w:rsid w:val="002E7FC9"/>
    <w:rsid w:val="002F11D7"/>
    <w:rsid w:val="002F447D"/>
    <w:rsid w:val="002F62D7"/>
    <w:rsid w:val="00300B58"/>
    <w:rsid w:val="003017E3"/>
    <w:rsid w:val="00307D32"/>
    <w:rsid w:val="00315487"/>
    <w:rsid w:val="003207BC"/>
    <w:rsid w:val="00321D19"/>
    <w:rsid w:val="00322367"/>
    <w:rsid w:val="00327FB4"/>
    <w:rsid w:val="0033162C"/>
    <w:rsid w:val="00336443"/>
    <w:rsid w:val="003365DB"/>
    <w:rsid w:val="0034260C"/>
    <w:rsid w:val="00342BC6"/>
    <w:rsid w:val="003453FC"/>
    <w:rsid w:val="00346EC1"/>
    <w:rsid w:val="00350358"/>
    <w:rsid w:val="00355DE0"/>
    <w:rsid w:val="00356BD1"/>
    <w:rsid w:val="0036430E"/>
    <w:rsid w:val="00365DA5"/>
    <w:rsid w:val="00365F95"/>
    <w:rsid w:val="0036680B"/>
    <w:rsid w:val="00371F2D"/>
    <w:rsid w:val="00374C1F"/>
    <w:rsid w:val="00374D59"/>
    <w:rsid w:val="00377421"/>
    <w:rsid w:val="0038237C"/>
    <w:rsid w:val="00386CEC"/>
    <w:rsid w:val="0039392F"/>
    <w:rsid w:val="003A00A9"/>
    <w:rsid w:val="003A1D42"/>
    <w:rsid w:val="003A2605"/>
    <w:rsid w:val="003A26C7"/>
    <w:rsid w:val="003A7758"/>
    <w:rsid w:val="003C0116"/>
    <w:rsid w:val="003C48B1"/>
    <w:rsid w:val="003D0388"/>
    <w:rsid w:val="003D18DB"/>
    <w:rsid w:val="003D55CA"/>
    <w:rsid w:val="003E03B0"/>
    <w:rsid w:val="003E1D2C"/>
    <w:rsid w:val="003E2BF3"/>
    <w:rsid w:val="003E6FE8"/>
    <w:rsid w:val="003E758D"/>
    <w:rsid w:val="003F01A7"/>
    <w:rsid w:val="003F5A3A"/>
    <w:rsid w:val="00400ECD"/>
    <w:rsid w:val="00405560"/>
    <w:rsid w:val="00406EF8"/>
    <w:rsid w:val="00410999"/>
    <w:rsid w:val="00423684"/>
    <w:rsid w:val="00423F06"/>
    <w:rsid w:val="00440E3E"/>
    <w:rsid w:val="0044282E"/>
    <w:rsid w:val="00444266"/>
    <w:rsid w:val="00444568"/>
    <w:rsid w:val="00445D92"/>
    <w:rsid w:val="00447F17"/>
    <w:rsid w:val="00447F27"/>
    <w:rsid w:val="00451B97"/>
    <w:rsid w:val="00453061"/>
    <w:rsid w:val="004612E1"/>
    <w:rsid w:val="004652AA"/>
    <w:rsid w:val="004671C2"/>
    <w:rsid w:val="00473CD0"/>
    <w:rsid w:val="004753E8"/>
    <w:rsid w:val="00496D78"/>
    <w:rsid w:val="00497203"/>
    <w:rsid w:val="00497B3F"/>
    <w:rsid w:val="004A0FAF"/>
    <w:rsid w:val="004A226D"/>
    <w:rsid w:val="004A5EB7"/>
    <w:rsid w:val="004A760B"/>
    <w:rsid w:val="004A7879"/>
    <w:rsid w:val="004B7C62"/>
    <w:rsid w:val="004C100B"/>
    <w:rsid w:val="004C1711"/>
    <w:rsid w:val="004C1E31"/>
    <w:rsid w:val="004C271E"/>
    <w:rsid w:val="004D1C54"/>
    <w:rsid w:val="004D2212"/>
    <w:rsid w:val="004D71D1"/>
    <w:rsid w:val="004D7311"/>
    <w:rsid w:val="004D73EB"/>
    <w:rsid w:val="004E2DF7"/>
    <w:rsid w:val="004F5DE6"/>
    <w:rsid w:val="004F6036"/>
    <w:rsid w:val="004F7D5F"/>
    <w:rsid w:val="00502827"/>
    <w:rsid w:val="00507DD9"/>
    <w:rsid w:val="00514427"/>
    <w:rsid w:val="00514520"/>
    <w:rsid w:val="00517704"/>
    <w:rsid w:val="005252E9"/>
    <w:rsid w:val="00527D95"/>
    <w:rsid w:val="00527EBC"/>
    <w:rsid w:val="00532391"/>
    <w:rsid w:val="005344FB"/>
    <w:rsid w:val="00537ED6"/>
    <w:rsid w:val="00540731"/>
    <w:rsid w:val="005439B0"/>
    <w:rsid w:val="005478E4"/>
    <w:rsid w:val="00556831"/>
    <w:rsid w:val="0056690B"/>
    <w:rsid w:val="0057127D"/>
    <w:rsid w:val="00576158"/>
    <w:rsid w:val="00584595"/>
    <w:rsid w:val="005866C6"/>
    <w:rsid w:val="005869AB"/>
    <w:rsid w:val="0059100F"/>
    <w:rsid w:val="005A32BD"/>
    <w:rsid w:val="005A3703"/>
    <w:rsid w:val="005A5D36"/>
    <w:rsid w:val="005B0DEA"/>
    <w:rsid w:val="005C1B25"/>
    <w:rsid w:val="005D10C3"/>
    <w:rsid w:val="005D299E"/>
    <w:rsid w:val="005D4EC6"/>
    <w:rsid w:val="005D6930"/>
    <w:rsid w:val="005E10AE"/>
    <w:rsid w:val="005F24DA"/>
    <w:rsid w:val="005F394D"/>
    <w:rsid w:val="005F536E"/>
    <w:rsid w:val="0060243A"/>
    <w:rsid w:val="00602A44"/>
    <w:rsid w:val="006054C3"/>
    <w:rsid w:val="00613ABF"/>
    <w:rsid w:val="0061660B"/>
    <w:rsid w:val="00624D4F"/>
    <w:rsid w:val="0063311E"/>
    <w:rsid w:val="00633D83"/>
    <w:rsid w:val="00643F8B"/>
    <w:rsid w:val="0064591D"/>
    <w:rsid w:val="006464F1"/>
    <w:rsid w:val="0065284E"/>
    <w:rsid w:val="0065588D"/>
    <w:rsid w:val="006558E5"/>
    <w:rsid w:val="00657BC3"/>
    <w:rsid w:val="00664A26"/>
    <w:rsid w:val="006667EF"/>
    <w:rsid w:val="0066784C"/>
    <w:rsid w:val="00670070"/>
    <w:rsid w:val="006735B4"/>
    <w:rsid w:val="00681CFD"/>
    <w:rsid w:val="0068761C"/>
    <w:rsid w:val="00693775"/>
    <w:rsid w:val="00695180"/>
    <w:rsid w:val="006A0AFE"/>
    <w:rsid w:val="006A3B5E"/>
    <w:rsid w:val="006A3BCB"/>
    <w:rsid w:val="006A6630"/>
    <w:rsid w:val="006B17A1"/>
    <w:rsid w:val="006B2FA5"/>
    <w:rsid w:val="006B3CDE"/>
    <w:rsid w:val="006C0F06"/>
    <w:rsid w:val="006C4633"/>
    <w:rsid w:val="006D2327"/>
    <w:rsid w:val="006D44B1"/>
    <w:rsid w:val="006E0A19"/>
    <w:rsid w:val="006E6576"/>
    <w:rsid w:val="006F3D64"/>
    <w:rsid w:val="006F4D5D"/>
    <w:rsid w:val="006F74D0"/>
    <w:rsid w:val="00701582"/>
    <w:rsid w:val="00706D55"/>
    <w:rsid w:val="00710DF4"/>
    <w:rsid w:val="0071551B"/>
    <w:rsid w:val="00721F2D"/>
    <w:rsid w:val="00722231"/>
    <w:rsid w:val="007314AB"/>
    <w:rsid w:val="00732C5B"/>
    <w:rsid w:val="00735F7D"/>
    <w:rsid w:val="007446FC"/>
    <w:rsid w:val="00750016"/>
    <w:rsid w:val="0075008C"/>
    <w:rsid w:val="0075781D"/>
    <w:rsid w:val="007610AB"/>
    <w:rsid w:val="0078568A"/>
    <w:rsid w:val="00785693"/>
    <w:rsid w:val="00790914"/>
    <w:rsid w:val="007952A5"/>
    <w:rsid w:val="0079580D"/>
    <w:rsid w:val="007962B8"/>
    <w:rsid w:val="007A2BDD"/>
    <w:rsid w:val="007C4045"/>
    <w:rsid w:val="007C4A37"/>
    <w:rsid w:val="007C6CEE"/>
    <w:rsid w:val="007D0A83"/>
    <w:rsid w:val="007D0B57"/>
    <w:rsid w:val="007D17A9"/>
    <w:rsid w:val="007D210D"/>
    <w:rsid w:val="007E7E66"/>
    <w:rsid w:val="007F02BD"/>
    <w:rsid w:val="007F13A6"/>
    <w:rsid w:val="007F366C"/>
    <w:rsid w:val="007F40A9"/>
    <w:rsid w:val="007F6DB8"/>
    <w:rsid w:val="00804438"/>
    <w:rsid w:val="00814104"/>
    <w:rsid w:val="008175D2"/>
    <w:rsid w:val="00825373"/>
    <w:rsid w:val="008259F6"/>
    <w:rsid w:val="00834974"/>
    <w:rsid w:val="00836C72"/>
    <w:rsid w:val="00846A45"/>
    <w:rsid w:val="008518EF"/>
    <w:rsid w:val="00852A00"/>
    <w:rsid w:val="00856C6A"/>
    <w:rsid w:val="008570E7"/>
    <w:rsid w:val="00862B0B"/>
    <w:rsid w:val="008668CA"/>
    <w:rsid w:val="008675F8"/>
    <w:rsid w:val="00872404"/>
    <w:rsid w:val="00876C87"/>
    <w:rsid w:val="008773C1"/>
    <w:rsid w:val="00880B54"/>
    <w:rsid w:val="0088611B"/>
    <w:rsid w:val="00887137"/>
    <w:rsid w:val="008934ED"/>
    <w:rsid w:val="008974C7"/>
    <w:rsid w:val="008A5CF6"/>
    <w:rsid w:val="008B3483"/>
    <w:rsid w:val="008C177C"/>
    <w:rsid w:val="008C4AEF"/>
    <w:rsid w:val="008D062B"/>
    <w:rsid w:val="008D19A4"/>
    <w:rsid w:val="008D53B2"/>
    <w:rsid w:val="008E140F"/>
    <w:rsid w:val="008E7D2F"/>
    <w:rsid w:val="008F0048"/>
    <w:rsid w:val="008F1871"/>
    <w:rsid w:val="008F190B"/>
    <w:rsid w:val="008F2096"/>
    <w:rsid w:val="008F5EE4"/>
    <w:rsid w:val="00900966"/>
    <w:rsid w:val="00903044"/>
    <w:rsid w:val="0090347E"/>
    <w:rsid w:val="00907731"/>
    <w:rsid w:val="0091000E"/>
    <w:rsid w:val="00910DBC"/>
    <w:rsid w:val="00912223"/>
    <w:rsid w:val="00917D42"/>
    <w:rsid w:val="00920D12"/>
    <w:rsid w:val="009229D6"/>
    <w:rsid w:val="00930BA5"/>
    <w:rsid w:val="0094054C"/>
    <w:rsid w:val="0094077F"/>
    <w:rsid w:val="00952D27"/>
    <w:rsid w:val="00954D50"/>
    <w:rsid w:val="009557AA"/>
    <w:rsid w:val="0095750A"/>
    <w:rsid w:val="00962372"/>
    <w:rsid w:val="00966B58"/>
    <w:rsid w:val="00967A88"/>
    <w:rsid w:val="00971872"/>
    <w:rsid w:val="00973DC4"/>
    <w:rsid w:val="00976C63"/>
    <w:rsid w:val="009822C6"/>
    <w:rsid w:val="00983C96"/>
    <w:rsid w:val="0098534E"/>
    <w:rsid w:val="00990C97"/>
    <w:rsid w:val="00997C81"/>
    <w:rsid w:val="00997CA6"/>
    <w:rsid w:val="009A0EA3"/>
    <w:rsid w:val="009A13FA"/>
    <w:rsid w:val="009A2388"/>
    <w:rsid w:val="009B1DB0"/>
    <w:rsid w:val="009B22FE"/>
    <w:rsid w:val="009B2BAA"/>
    <w:rsid w:val="009C1596"/>
    <w:rsid w:val="009C16D5"/>
    <w:rsid w:val="009C31A9"/>
    <w:rsid w:val="009C4150"/>
    <w:rsid w:val="009C520B"/>
    <w:rsid w:val="009C529B"/>
    <w:rsid w:val="009C5A5B"/>
    <w:rsid w:val="009D190C"/>
    <w:rsid w:val="009D19A9"/>
    <w:rsid w:val="009D65BC"/>
    <w:rsid w:val="009E2189"/>
    <w:rsid w:val="009F7939"/>
    <w:rsid w:val="00A0209A"/>
    <w:rsid w:val="00A04FFE"/>
    <w:rsid w:val="00A129E2"/>
    <w:rsid w:val="00A225EC"/>
    <w:rsid w:val="00A27219"/>
    <w:rsid w:val="00A33952"/>
    <w:rsid w:val="00A40B7F"/>
    <w:rsid w:val="00A4180F"/>
    <w:rsid w:val="00A47EAE"/>
    <w:rsid w:val="00A53378"/>
    <w:rsid w:val="00A565DA"/>
    <w:rsid w:val="00A57E93"/>
    <w:rsid w:val="00A61E29"/>
    <w:rsid w:val="00A7263F"/>
    <w:rsid w:val="00A73323"/>
    <w:rsid w:val="00A74621"/>
    <w:rsid w:val="00A74FEB"/>
    <w:rsid w:val="00A82A46"/>
    <w:rsid w:val="00A85C6A"/>
    <w:rsid w:val="00A9040A"/>
    <w:rsid w:val="00A9552C"/>
    <w:rsid w:val="00AA7331"/>
    <w:rsid w:val="00AA764A"/>
    <w:rsid w:val="00AB0E37"/>
    <w:rsid w:val="00AC2E1F"/>
    <w:rsid w:val="00AD50EA"/>
    <w:rsid w:val="00AD7C46"/>
    <w:rsid w:val="00AE0C23"/>
    <w:rsid w:val="00AE17AA"/>
    <w:rsid w:val="00AE575F"/>
    <w:rsid w:val="00AE7811"/>
    <w:rsid w:val="00AF446A"/>
    <w:rsid w:val="00AF5E65"/>
    <w:rsid w:val="00AF6200"/>
    <w:rsid w:val="00AF7CDC"/>
    <w:rsid w:val="00B040C7"/>
    <w:rsid w:val="00B069E5"/>
    <w:rsid w:val="00B13F63"/>
    <w:rsid w:val="00B15A0D"/>
    <w:rsid w:val="00B245C3"/>
    <w:rsid w:val="00B3341F"/>
    <w:rsid w:val="00B335B9"/>
    <w:rsid w:val="00B376F0"/>
    <w:rsid w:val="00B42279"/>
    <w:rsid w:val="00B47ED2"/>
    <w:rsid w:val="00B50533"/>
    <w:rsid w:val="00B618CB"/>
    <w:rsid w:val="00B63D24"/>
    <w:rsid w:val="00B676C2"/>
    <w:rsid w:val="00B71265"/>
    <w:rsid w:val="00B73DD8"/>
    <w:rsid w:val="00B75B4A"/>
    <w:rsid w:val="00B76F37"/>
    <w:rsid w:val="00B80A58"/>
    <w:rsid w:val="00B812C8"/>
    <w:rsid w:val="00B82118"/>
    <w:rsid w:val="00B92B29"/>
    <w:rsid w:val="00B94F36"/>
    <w:rsid w:val="00B95890"/>
    <w:rsid w:val="00BB0DFB"/>
    <w:rsid w:val="00BB4A33"/>
    <w:rsid w:val="00BC25AC"/>
    <w:rsid w:val="00BD559E"/>
    <w:rsid w:val="00BE3220"/>
    <w:rsid w:val="00BE3DCC"/>
    <w:rsid w:val="00BF38E8"/>
    <w:rsid w:val="00BF4902"/>
    <w:rsid w:val="00C00B48"/>
    <w:rsid w:val="00C01384"/>
    <w:rsid w:val="00C14471"/>
    <w:rsid w:val="00C16D0F"/>
    <w:rsid w:val="00C2209F"/>
    <w:rsid w:val="00C2457F"/>
    <w:rsid w:val="00C248D0"/>
    <w:rsid w:val="00C45FEB"/>
    <w:rsid w:val="00C473C0"/>
    <w:rsid w:val="00C47F6B"/>
    <w:rsid w:val="00C5089A"/>
    <w:rsid w:val="00C50E04"/>
    <w:rsid w:val="00C5172B"/>
    <w:rsid w:val="00C55976"/>
    <w:rsid w:val="00C559C1"/>
    <w:rsid w:val="00C66DE3"/>
    <w:rsid w:val="00C67D4B"/>
    <w:rsid w:val="00C76291"/>
    <w:rsid w:val="00C76652"/>
    <w:rsid w:val="00C8792C"/>
    <w:rsid w:val="00CA1F02"/>
    <w:rsid w:val="00CA2C95"/>
    <w:rsid w:val="00CA5037"/>
    <w:rsid w:val="00CA714C"/>
    <w:rsid w:val="00CB06F0"/>
    <w:rsid w:val="00CB180A"/>
    <w:rsid w:val="00CB37EE"/>
    <w:rsid w:val="00CB45A0"/>
    <w:rsid w:val="00CB5F9C"/>
    <w:rsid w:val="00CC0681"/>
    <w:rsid w:val="00CC1530"/>
    <w:rsid w:val="00CC402B"/>
    <w:rsid w:val="00CC6985"/>
    <w:rsid w:val="00CC6DC8"/>
    <w:rsid w:val="00CE33FA"/>
    <w:rsid w:val="00CE4969"/>
    <w:rsid w:val="00CE6DE4"/>
    <w:rsid w:val="00CF0035"/>
    <w:rsid w:val="00CF52CD"/>
    <w:rsid w:val="00CF5C2C"/>
    <w:rsid w:val="00D03AE5"/>
    <w:rsid w:val="00D11ED0"/>
    <w:rsid w:val="00D1368C"/>
    <w:rsid w:val="00D22EAB"/>
    <w:rsid w:val="00D24023"/>
    <w:rsid w:val="00D345C8"/>
    <w:rsid w:val="00D34787"/>
    <w:rsid w:val="00D40587"/>
    <w:rsid w:val="00D419E5"/>
    <w:rsid w:val="00D41BE0"/>
    <w:rsid w:val="00D51268"/>
    <w:rsid w:val="00D562E5"/>
    <w:rsid w:val="00D57412"/>
    <w:rsid w:val="00D62DFD"/>
    <w:rsid w:val="00D64811"/>
    <w:rsid w:val="00D71637"/>
    <w:rsid w:val="00D81206"/>
    <w:rsid w:val="00D81BAB"/>
    <w:rsid w:val="00D864CF"/>
    <w:rsid w:val="00D87FE1"/>
    <w:rsid w:val="00D95D2C"/>
    <w:rsid w:val="00D96BA8"/>
    <w:rsid w:val="00DA2D5C"/>
    <w:rsid w:val="00DA4A4A"/>
    <w:rsid w:val="00DA68E8"/>
    <w:rsid w:val="00DA6D88"/>
    <w:rsid w:val="00DB104A"/>
    <w:rsid w:val="00DB2CB7"/>
    <w:rsid w:val="00DC1A5B"/>
    <w:rsid w:val="00DC3B26"/>
    <w:rsid w:val="00DC6C79"/>
    <w:rsid w:val="00DD192F"/>
    <w:rsid w:val="00DD2FF1"/>
    <w:rsid w:val="00DD51D9"/>
    <w:rsid w:val="00DD707C"/>
    <w:rsid w:val="00DD72CC"/>
    <w:rsid w:val="00DE01EC"/>
    <w:rsid w:val="00DE0720"/>
    <w:rsid w:val="00DE351F"/>
    <w:rsid w:val="00DE705C"/>
    <w:rsid w:val="00DF6CE3"/>
    <w:rsid w:val="00E018B8"/>
    <w:rsid w:val="00E11222"/>
    <w:rsid w:val="00E23363"/>
    <w:rsid w:val="00E2389D"/>
    <w:rsid w:val="00E24141"/>
    <w:rsid w:val="00E27E28"/>
    <w:rsid w:val="00E30ACA"/>
    <w:rsid w:val="00E3193F"/>
    <w:rsid w:val="00E3223A"/>
    <w:rsid w:val="00E336A7"/>
    <w:rsid w:val="00E42D74"/>
    <w:rsid w:val="00E44357"/>
    <w:rsid w:val="00E46C84"/>
    <w:rsid w:val="00E53BCF"/>
    <w:rsid w:val="00E56A5F"/>
    <w:rsid w:val="00E607FA"/>
    <w:rsid w:val="00E6402D"/>
    <w:rsid w:val="00E65E94"/>
    <w:rsid w:val="00E70EF7"/>
    <w:rsid w:val="00E7405F"/>
    <w:rsid w:val="00E76507"/>
    <w:rsid w:val="00E76AEF"/>
    <w:rsid w:val="00E76D83"/>
    <w:rsid w:val="00E77FB7"/>
    <w:rsid w:val="00E9088C"/>
    <w:rsid w:val="00EA558D"/>
    <w:rsid w:val="00EB08A0"/>
    <w:rsid w:val="00EB0DD0"/>
    <w:rsid w:val="00EB19E8"/>
    <w:rsid w:val="00EB2D89"/>
    <w:rsid w:val="00EB2E32"/>
    <w:rsid w:val="00EB51F4"/>
    <w:rsid w:val="00EB5B52"/>
    <w:rsid w:val="00EB5C25"/>
    <w:rsid w:val="00EC323F"/>
    <w:rsid w:val="00EC6114"/>
    <w:rsid w:val="00EC6C0B"/>
    <w:rsid w:val="00ED0B88"/>
    <w:rsid w:val="00EE5D73"/>
    <w:rsid w:val="00EF18FD"/>
    <w:rsid w:val="00F03A71"/>
    <w:rsid w:val="00F04E5A"/>
    <w:rsid w:val="00F05654"/>
    <w:rsid w:val="00F10F9C"/>
    <w:rsid w:val="00F12FDC"/>
    <w:rsid w:val="00F17D89"/>
    <w:rsid w:val="00F25A2C"/>
    <w:rsid w:val="00F26A48"/>
    <w:rsid w:val="00F26C2B"/>
    <w:rsid w:val="00F30ECC"/>
    <w:rsid w:val="00F34FE1"/>
    <w:rsid w:val="00F36999"/>
    <w:rsid w:val="00F3766F"/>
    <w:rsid w:val="00F538D7"/>
    <w:rsid w:val="00F61F1F"/>
    <w:rsid w:val="00F675F4"/>
    <w:rsid w:val="00F71A24"/>
    <w:rsid w:val="00F76757"/>
    <w:rsid w:val="00F82412"/>
    <w:rsid w:val="00F91729"/>
    <w:rsid w:val="00FA05BF"/>
    <w:rsid w:val="00FA4077"/>
    <w:rsid w:val="00FA74FB"/>
    <w:rsid w:val="00FB3A63"/>
    <w:rsid w:val="00FB3B90"/>
    <w:rsid w:val="00FB4366"/>
    <w:rsid w:val="00FC26E6"/>
    <w:rsid w:val="00FC5216"/>
    <w:rsid w:val="00FC64B5"/>
    <w:rsid w:val="00FD0FE2"/>
    <w:rsid w:val="00FD7760"/>
    <w:rsid w:val="00FE10EE"/>
    <w:rsid w:val="00FE3FBD"/>
    <w:rsid w:val="00FF2C84"/>
    <w:rsid w:val="00FF2E36"/>
    <w:rsid w:val="2C25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4"/>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7"/>
    <w:qFormat/>
    <w:uiPriority w:val="0"/>
    <w:pPr>
      <w:spacing w:before="240" w:after="60"/>
      <w:jc w:val="center"/>
      <w:outlineLvl w:val="0"/>
    </w:pPr>
    <w:rPr>
      <w:rFonts w:eastAsia="宋体" w:asciiTheme="majorHAnsi" w:hAnsiTheme="majorHAnsi" w:cstheme="majorBidi"/>
      <w:b/>
      <w:bCs/>
      <w:szCs w:val="32"/>
    </w:rPr>
  </w:style>
  <w:style w:type="character" w:styleId="9">
    <w:name w:val="page number"/>
    <w:basedOn w:val="8"/>
    <w:uiPriority w:val="0"/>
  </w:style>
  <w:style w:type="character" w:styleId="10">
    <w:name w:val="Hyperlink"/>
    <w:uiPriority w:val="0"/>
    <w:rPr>
      <w:color w:val="0000FF"/>
      <w:u w:val="single"/>
    </w:rPr>
  </w:style>
  <w:style w:type="character" w:customStyle="1" w:styleId="11">
    <w:name w:val="comment f-blue"/>
    <w:basedOn w:val="8"/>
    <w:uiPriority w:val="0"/>
  </w:style>
  <w:style w:type="character" w:customStyle="1" w:styleId="12">
    <w:name w:val="页眉 Char"/>
    <w:link w:val="5"/>
    <w:uiPriority w:val="0"/>
    <w:rPr>
      <w:rFonts w:eastAsia="仿宋_GB2312"/>
      <w:kern w:val="2"/>
      <w:sz w:val="18"/>
      <w:szCs w:val="18"/>
    </w:rPr>
  </w:style>
  <w:style w:type="paragraph" w:customStyle="1" w:styleId="13">
    <w:name w:val="Char Char Char Char"/>
    <w:basedOn w:val="1"/>
    <w:uiPriority w:val="0"/>
    <w:rPr>
      <w:rFonts w:eastAsia="宋体"/>
      <w:sz w:val="21"/>
    </w:rPr>
  </w:style>
  <w:style w:type="character" w:customStyle="1" w:styleId="14">
    <w:name w:val="批注框文本 Char"/>
    <w:link w:val="3"/>
    <w:uiPriority w:val="0"/>
    <w:rPr>
      <w:rFonts w:eastAsia="仿宋_GB2312"/>
      <w:kern w:val="2"/>
      <w:sz w:val="18"/>
      <w:szCs w:val="18"/>
    </w:rPr>
  </w:style>
  <w:style w:type="paragraph" w:styleId="15">
    <w:name w:val="List Paragraph"/>
    <w:basedOn w:val="1"/>
    <w:qFormat/>
    <w:uiPriority w:val="34"/>
    <w:pPr>
      <w:ind w:firstLine="420" w:firstLineChars="200"/>
    </w:pPr>
  </w:style>
  <w:style w:type="paragraph" w:customStyle="1" w:styleId="16">
    <w:name w:val="正文2"/>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7">
    <w:name w:val="标题 Char"/>
    <w:basedOn w:val="8"/>
    <w:link w:val="6"/>
    <w:uiPriority w:val="0"/>
    <w:rPr>
      <w:rFonts w:asciiTheme="majorHAnsi" w:hAnsiTheme="majorHAnsi" w:cstheme="majorBidi"/>
      <w:b/>
      <w:bCs/>
      <w:kern w:val="2"/>
      <w:sz w:val="32"/>
      <w:szCs w:val="32"/>
    </w:rPr>
  </w:style>
  <w:style w:type="character" w:customStyle="1" w:styleId="18">
    <w:name w:val="页脚 Char"/>
    <w:basedOn w:val="8"/>
    <w:link w:val="4"/>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736BC-399C-4E58-9A5C-1A256AE025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959</Words>
  <Characters>5472</Characters>
  <Lines>45</Lines>
  <Paragraphs>12</Paragraphs>
  <TotalTime>4</TotalTime>
  <ScaleCrop>false</ScaleCrop>
  <LinksUpToDate>false</LinksUpToDate>
  <CharactersWithSpaces>6419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2020-05-07T01:30:00Z</dcterms:created>
  <dc:creator>User</dc:creator>
  <cp:lastModifiedBy>Administrator</cp:lastModifiedBy>
  <cp:lastPrinted>2020-04-28T07:57:00Z</cp:lastPrinted>
  <dcterms:modified xsi:type="dcterms:W3CDTF">2021-06-16T01:47:27Z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A4BFE7D7A31748E8ACA63867BB6FA080</vt:lpwstr>
  </property>
</Properties>
</file>