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0" w:beforeLines="0" w:line="240" w:lineRule="auto"/>
        <w:ind w:firstLine="0" w:firstLineChars="0"/>
        <w:jc w:val="center"/>
        <w:rPr>
          <w:rFonts w:ascii="Times New Roman" w:hAnsi="Times New Roman"/>
          <w:b/>
          <w:color w:val="auto"/>
          <w:sz w:val="36"/>
          <w:szCs w:val="32"/>
        </w:rPr>
      </w:pPr>
    </w:p>
    <w:p>
      <w:pPr>
        <w:spacing w:before="0" w:beforeLines="0" w:line="240" w:lineRule="auto"/>
        <w:ind w:firstLine="0" w:firstLineChars="0"/>
        <w:jc w:val="center"/>
        <w:rPr>
          <w:rFonts w:ascii="Times New Roman" w:hAnsi="Times New Roman"/>
          <w:b/>
          <w:color w:val="auto"/>
          <w:sz w:val="36"/>
          <w:szCs w:val="32"/>
        </w:rPr>
      </w:pPr>
    </w:p>
    <w:p>
      <w:pPr>
        <w:spacing w:before="0" w:beforeLines="0" w:line="240" w:lineRule="auto"/>
        <w:ind w:firstLine="0" w:firstLineChars="0"/>
        <w:jc w:val="center"/>
        <w:rPr>
          <w:rFonts w:ascii="Times New Roman" w:hAnsi="Times New Roman"/>
          <w:b/>
          <w:bCs/>
          <w:color w:val="auto"/>
          <w:spacing w:val="-10"/>
          <w:kern w:val="11"/>
          <w:sz w:val="44"/>
          <w:szCs w:val="48"/>
        </w:rPr>
      </w:pPr>
      <w:r>
        <w:rPr>
          <w:rFonts w:ascii="Times New Roman" w:hAnsi="Times New Roman"/>
          <w:b/>
          <w:bCs/>
          <w:color w:val="auto"/>
          <w:spacing w:val="-10"/>
          <w:kern w:val="11"/>
          <w:sz w:val="44"/>
          <w:szCs w:val="48"/>
        </w:rPr>
        <w:t>韶关市恒粤生态农业有限责任公司</w:t>
      </w:r>
      <w:bookmarkStart w:id="0" w:name="OLE_LINK3"/>
    </w:p>
    <w:p>
      <w:pPr>
        <w:spacing w:before="0" w:beforeLines="0" w:line="240" w:lineRule="auto"/>
        <w:ind w:firstLine="0" w:firstLineChars="0"/>
        <w:jc w:val="center"/>
        <w:rPr>
          <w:rFonts w:ascii="Times New Roman" w:hAnsi="Times New Roman"/>
          <w:b/>
          <w:bCs/>
          <w:color w:val="auto"/>
          <w:spacing w:val="-10"/>
          <w:kern w:val="11"/>
          <w:sz w:val="44"/>
          <w:szCs w:val="48"/>
        </w:rPr>
      </w:pPr>
      <w:r>
        <w:rPr>
          <w:rFonts w:hint="eastAsia" w:ascii="Times New Roman" w:hAnsi="Times New Roman"/>
          <w:b/>
          <w:bCs/>
          <w:color w:val="auto"/>
          <w:spacing w:val="-10"/>
          <w:kern w:val="11"/>
          <w:sz w:val="44"/>
          <w:szCs w:val="48"/>
        </w:rPr>
        <w:t>年出栏30000头生猪的生态养殖项目</w:t>
      </w:r>
      <w:bookmarkEnd w:id="0"/>
    </w:p>
    <w:p>
      <w:pPr>
        <w:tabs>
          <w:tab w:val="center" w:pos="4365"/>
          <w:tab w:val="right" w:pos="8731"/>
        </w:tabs>
        <w:spacing w:before="0" w:beforeLines="0" w:line="240" w:lineRule="auto"/>
        <w:ind w:firstLine="0" w:firstLineChars="0"/>
        <w:jc w:val="center"/>
        <w:rPr>
          <w:rFonts w:ascii="Times New Roman" w:hAnsi="Times New Roman"/>
          <w:b/>
          <w:color w:val="auto"/>
          <w:sz w:val="56"/>
          <w:szCs w:val="72"/>
        </w:rPr>
      </w:pPr>
      <w:r>
        <w:rPr>
          <w:rFonts w:ascii="Times New Roman" w:hAnsi="Times New Roman"/>
          <w:b/>
          <w:color w:val="auto"/>
          <w:sz w:val="56"/>
          <w:szCs w:val="72"/>
        </w:rPr>
        <w:t>环境影响报告书</w:t>
      </w:r>
    </w:p>
    <w:p>
      <w:pPr>
        <w:spacing w:before="0" w:beforeLines="0" w:line="240" w:lineRule="auto"/>
        <w:ind w:firstLine="0" w:firstLineChars="0"/>
        <w:jc w:val="center"/>
        <w:rPr>
          <w:rFonts w:ascii="Times New Roman" w:hAnsi="Times New Roman"/>
          <w:b/>
          <w:color w:val="auto"/>
          <w:sz w:val="44"/>
          <w:szCs w:val="24"/>
        </w:rPr>
      </w:pPr>
    </w:p>
    <w:p>
      <w:pPr>
        <w:spacing w:before="0" w:beforeLines="0" w:line="240" w:lineRule="auto"/>
        <w:ind w:firstLine="0" w:firstLineChars="0"/>
        <w:jc w:val="center"/>
        <w:rPr>
          <w:rFonts w:ascii="Times New Roman" w:hAnsi="Times New Roman"/>
          <w:b/>
          <w:color w:val="auto"/>
          <w:sz w:val="44"/>
          <w:szCs w:val="24"/>
        </w:rPr>
      </w:pPr>
    </w:p>
    <w:p>
      <w:pPr>
        <w:spacing w:before="0" w:beforeLines="0" w:line="240" w:lineRule="auto"/>
        <w:ind w:firstLine="0" w:firstLineChars="0"/>
        <w:jc w:val="center"/>
        <w:rPr>
          <w:rFonts w:ascii="Times New Roman" w:hAnsi="Times New Roman"/>
          <w:b/>
          <w:color w:val="auto"/>
          <w:sz w:val="44"/>
          <w:szCs w:val="24"/>
        </w:rPr>
      </w:pPr>
    </w:p>
    <w:p>
      <w:pPr>
        <w:spacing w:before="0" w:beforeLines="0" w:line="240" w:lineRule="auto"/>
        <w:ind w:firstLine="0" w:firstLineChars="0"/>
        <w:jc w:val="center"/>
        <w:rPr>
          <w:rFonts w:ascii="Times New Roman" w:hAnsi="Times New Roman"/>
          <w:b/>
          <w:color w:val="auto"/>
          <w:sz w:val="44"/>
          <w:szCs w:val="24"/>
        </w:rPr>
      </w:pPr>
    </w:p>
    <w:p>
      <w:pPr>
        <w:tabs>
          <w:tab w:val="center" w:pos="4365"/>
          <w:tab w:val="right" w:pos="8731"/>
        </w:tabs>
        <w:spacing w:before="0" w:beforeLines="0" w:line="240" w:lineRule="auto"/>
        <w:ind w:firstLine="0" w:firstLineChars="0"/>
        <w:jc w:val="center"/>
        <w:rPr>
          <w:rFonts w:ascii="Times New Roman" w:hAnsi="Times New Roman"/>
          <w:b/>
          <w:color w:val="auto"/>
          <w:sz w:val="56"/>
          <w:szCs w:val="72"/>
        </w:rPr>
      </w:pPr>
      <w:r>
        <w:rPr>
          <w:rFonts w:ascii="Times New Roman" w:hAnsi="Times New Roman"/>
          <w:b/>
          <w:color w:val="auto"/>
          <w:sz w:val="56"/>
          <w:szCs w:val="72"/>
        </w:rPr>
        <w:t>公众参与专册</w:t>
      </w:r>
    </w:p>
    <w:p>
      <w:pPr>
        <w:spacing w:before="163"/>
        <w:ind w:firstLine="883"/>
        <w:jc w:val="center"/>
        <w:rPr>
          <w:rFonts w:ascii="Times New Roman" w:hAnsi="Times New Roman"/>
          <w:b/>
          <w:color w:val="auto"/>
          <w:sz w:val="44"/>
        </w:rPr>
      </w:pPr>
    </w:p>
    <w:p>
      <w:pPr>
        <w:spacing w:before="0" w:beforeLines="0" w:line="240" w:lineRule="auto"/>
        <w:ind w:firstLine="0" w:firstLineChars="0"/>
        <w:jc w:val="center"/>
        <w:rPr>
          <w:rFonts w:ascii="Times New Roman" w:hAnsi="Times New Roman"/>
          <w:b/>
          <w:color w:val="auto"/>
          <w:sz w:val="44"/>
          <w:szCs w:val="24"/>
        </w:rPr>
      </w:pPr>
    </w:p>
    <w:p>
      <w:pPr>
        <w:spacing w:before="0" w:beforeLines="0" w:line="240" w:lineRule="auto"/>
        <w:ind w:firstLine="0" w:firstLineChars="0"/>
        <w:jc w:val="center"/>
        <w:rPr>
          <w:rFonts w:ascii="Times New Roman" w:hAnsi="Times New Roman"/>
          <w:b/>
          <w:color w:val="auto"/>
          <w:sz w:val="44"/>
          <w:szCs w:val="24"/>
        </w:rPr>
      </w:pPr>
    </w:p>
    <w:p>
      <w:pPr>
        <w:spacing w:before="0" w:beforeLines="0" w:line="240" w:lineRule="auto"/>
        <w:ind w:firstLine="0" w:firstLineChars="0"/>
        <w:jc w:val="center"/>
        <w:rPr>
          <w:rFonts w:ascii="Times New Roman" w:hAnsi="Times New Roman"/>
          <w:b/>
          <w:color w:val="auto"/>
          <w:sz w:val="44"/>
          <w:szCs w:val="24"/>
        </w:rPr>
      </w:pPr>
    </w:p>
    <w:p>
      <w:pPr>
        <w:spacing w:before="163"/>
        <w:ind w:firstLine="0" w:firstLineChars="0"/>
        <w:rPr>
          <w:rFonts w:ascii="Times New Roman" w:hAnsi="Times New Roman"/>
          <w:color w:val="auto"/>
        </w:rPr>
      </w:pPr>
    </w:p>
    <w:p>
      <w:pPr>
        <w:spacing w:before="163"/>
        <w:ind w:firstLine="0" w:firstLineChars="0"/>
        <w:rPr>
          <w:rFonts w:ascii="Times New Roman" w:hAnsi="Times New Roman"/>
          <w:color w:val="auto"/>
        </w:rPr>
      </w:pPr>
    </w:p>
    <w:p>
      <w:pPr>
        <w:spacing w:before="163"/>
        <w:ind w:firstLine="0" w:firstLineChars="0"/>
        <w:jc w:val="center"/>
        <w:rPr>
          <w:rFonts w:ascii="Times New Roman" w:hAnsi="Times New Roman"/>
          <w:color w:val="auto"/>
          <w:sz w:val="28"/>
        </w:rPr>
      </w:pPr>
      <w:r>
        <w:rPr>
          <w:rFonts w:ascii="Times New Roman" w:hAnsi="Times New Roman"/>
          <w:color w:val="auto"/>
          <w:sz w:val="28"/>
        </w:rPr>
        <w:t>建设单位： 韶关市恒粤生态农业有限责任公司</w:t>
      </w:r>
    </w:p>
    <w:p>
      <w:pPr>
        <w:spacing w:before="0" w:beforeLines="0"/>
        <w:ind w:firstLine="0" w:firstLineChars="0"/>
        <w:jc w:val="center"/>
        <w:rPr>
          <w:rFonts w:ascii="Times New Roman" w:hAnsi="Times New Roman"/>
          <w:color w:val="auto"/>
          <w:sz w:val="28"/>
        </w:rPr>
      </w:pPr>
      <w:r>
        <w:rPr>
          <w:rFonts w:ascii="Times New Roman" w:hAnsi="Times New Roman"/>
          <w:color w:val="auto"/>
          <w:sz w:val="28"/>
        </w:rPr>
        <w:t>二</w:t>
      </w:r>
      <w:r>
        <w:rPr>
          <w:rFonts w:hint="eastAsia" w:ascii="Times New Roman" w:hAnsi="Times New Roman"/>
          <w:color w:val="auto"/>
          <w:sz w:val="28"/>
        </w:rPr>
        <w:t>〇</w:t>
      </w:r>
      <w:r>
        <w:rPr>
          <w:rFonts w:ascii="Times New Roman" w:hAnsi="Times New Roman"/>
          <w:color w:val="auto"/>
          <w:sz w:val="28"/>
        </w:rPr>
        <w:t>二</w:t>
      </w:r>
      <w:r>
        <w:rPr>
          <w:rFonts w:hint="eastAsia" w:ascii="Times New Roman" w:hAnsi="Times New Roman"/>
          <w:color w:val="auto"/>
          <w:sz w:val="28"/>
        </w:rPr>
        <w:t>一</w:t>
      </w:r>
      <w:r>
        <w:rPr>
          <w:rFonts w:ascii="Times New Roman" w:hAnsi="Times New Roman"/>
          <w:color w:val="auto"/>
          <w:sz w:val="28"/>
        </w:rPr>
        <w:t>年</w:t>
      </w:r>
      <w:r>
        <w:rPr>
          <w:rFonts w:hint="eastAsia" w:ascii="Times New Roman" w:hAnsi="Times New Roman"/>
          <w:color w:val="auto"/>
          <w:sz w:val="28"/>
          <w:lang w:val="en-US" w:eastAsia="zh-CN"/>
        </w:rPr>
        <w:t>六</w:t>
      </w:r>
      <w:r>
        <w:rPr>
          <w:rFonts w:ascii="Times New Roman" w:hAnsi="Times New Roman"/>
          <w:color w:val="auto"/>
          <w:sz w:val="28"/>
        </w:rPr>
        <w:t>月</w:t>
      </w:r>
    </w:p>
    <w:p>
      <w:pPr>
        <w:pStyle w:val="42"/>
        <w:spacing w:before="156"/>
        <w:rPr>
          <w:rFonts w:ascii="Times New Roman" w:hAnsi="Times New Roman"/>
          <w:color w:val="auto"/>
        </w:rPr>
      </w:pPr>
    </w:p>
    <w:p>
      <w:pPr>
        <w:pStyle w:val="42"/>
        <w:spacing w:before="156"/>
        <w:rPr>
          <w:rFonts w:ascii="Times New Roman" w:hAnsi="Times New Roman"/>
          <w:color w:val="auto"/>
        </w:rPr>
      </w:pPr>
    </w:p>
    <w:p>
      <w:pPr>
        <w:pStyle w:val="42"/>
        <w:spacing w:before="156"/>
        <w:rPr>
          <w:rFonts w:ascii="Times New Roman" w:hAnsi="Times New Roman"/>
          <w:color w:val="auto"/>
        </w:rPr>
      </w:pPr>
      <w:r>
        <w:rPr>
          <w:rFonts w:ascii="Times New Roman" w:hAnsi="Times New Roman"/>
          <w:color w:val="auto"/>
        </w:rPr>
        <w:t>目 录</w:t>
      </w:r>
    </w:p>
    <w:p>
      <w:pPr>
        <w:pStyle w:val="16"/>
        <w:tabs>
          <w:tab w:val="right" w:leader="dot" w:pos="8306"/>
          <w:tab w:val="clear" w:pos="8296"/>
        </w:tabs>
      </w:pPr>
      <w:r>
        <w:rPr>
          <w:rFonts w:ascii="Times New Roman" w:hAnsi="Times New Roman"/>
          <w:color w:val="auto"/>
        </w:rPr>
        <w:fldChar w:fldCharType="begin"/>
      </w:r>
      <w:r>
        <w:rPr>
          <w:rFonts w:ascii="Times New Roman" w:hAnsi="Times New Roman"/>
          <w:color w:val="auto"/>
        </w:rPr>
        <w:instrText xml:space="preserve"> TOC \h \z \t "一级标题,1,二级标题,2,三级标题,3" </w:instrText>
      </w:r>
      <w:r>
        <w:rPr>
          <w:rFonts w:ascii="Times New Roman" w:hAnsi="Times New Roman"/>
          <w:color w:val="auto"/>
        </w:rPr>
        <w:fldChar w:fldCharType="separate"/>
      </w:r>
      <w:r>
        <w:rPr>
          <w:rFonts w:ascii="Times New Roman" w:hAnsi="Times New Roman"/>
          <w:color w:val="auto"/>
        </w:rPr>
        <w:fldChar w:fldCharType="begin"/>
      </w:r>
      <w:r>
        <w:rPr>
          <w:rFonts w:ascii="Times New Roman" w:hAnsi="Times New Roman"/>
        </w:rPr>
        <w:instrText xml:space="preserve"> HYPERLINK \l _Toc13969 </w:instrText>
      </w:r>
      <w:r>
        <w:rPr>
          <w:rFonts w:ascii="Times New Roman" w:hAnsi="Times New Roman"/>
        </w:rPr>
        <w:fldChar w:fldCharType="separate"/>
      </w:r>
      <w:r>
        <w:rPr>
          <w:rFonts w:ascii="Times New Roman" w:hAnsi="Times New Roman"/>
        </w:rPr>
        <w:t>1、公众参与的由来</w:t>
      </w:r>
      <w:r>
        <w:tab/>
      </w:r>
      <w:r>
        <w:fldChar w:fldCharType="begin"/>
      </w:r>
      <w:r>
        <w:instrText xml:space="preserve"> PAGEREF _Toc13969 \h </w:instrText>
      </w:r>
      <w:r>
        <w:fldChar w:fldCharType="separate"/>
      </w:r>
      <w:r>
        <w:t>- 1 -</w:t>
      </w:r>
      <w:r>
        <w:fldChar w:fldCharType="end"/>
      </w:r>
      <w:r>
        <w:rPr>
          <w:rFonts w:ascii="Times New Roman" w:hAnsi="Times New Roman"/>
          <w:color w:val="auto"/>
        </w:rPr>
        <w:fldChar w:fldCharType="end"/>
      </w:r>
    </w:p>
    <w:p>
      <w:pPr>
        <w:pStyle w:val="16"/>
        <w:tabs>
          <w:tab w:val="right" w:leader="dot" w:pos="8306"/>
          <w:tab w:val="clear" w:pos="8296"/>
        </w:tabs>
      </w:pPr>
      <w:r>
        <w:rPr>
          <w:rFonts w:ascii="Times New Roman" w:hAnsi="Times New Roman"/>
          <w:color w:val="auto"/>
        </w:rPr>
        <w:fldChar w:fldCharType="begin"/>
      </w:r>
      <w:r>
        <w:rPr>
          <w:rFonts w:ascii="Times New Roman" w:hAnsi="Times New Roman"/>
        </w:rPr>
        <w:instrText xml:space="preserve"> HYPERLINK \l _Toc3799 </w:instrText>
      </w:r>
      <w:r>
        <w:rPr>
          <w:rFonts w:ascii="Times New Roman" w:hAnsi="Times New Roman"/>
        </w:rPr>
        <w:fldChar w:fldCharType="separate"/>
      </w:r>
      <w:r>
        <w:rPr>
          <w:rFonts w:ascii="Times New Roman" w:hAnsi="Times New Roman"/>
        </w:rPr>
        <w:t>2、项目概况</w:t>
      </w:r>
      <w:r>
        <w:tab/>
      </w:r>
      <w:r>
        <w:fldChar w:fldCharType="begin"/>
      </w:r>
      <w:r>
        <w:instrText xml:space="preserve"> PAGEREF _Toc3799 \h </w:instrText>
      </w:r>
      <w:r>
        <w:fldChar w:fldCharType="separate"/>
      </w:r>
      <w:r>
        <w:t>- 3 -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_Toc5976 </w:instrText>
      </w:r>
      <w:r>
        <w:rPr>
          <w:rFonts w:ascii="Times New Roman" w:hAnsi="Times New Roman"/>
        </w:rPr>
        <w:fldChar w:fldCharType="separate"/>
      </w:r>
      <w:r>
        <w:rPr>
          <w:rFonts w:ascii="Times New Roman" w:hAnsi="Times New Roman"/>
        </w:rPr>
        <w:t>2.1项目基本情况</w:t>
      </w:r>
      <w:r>
        <w:tab/>
      </w:r>
      <w:r>
        <w:fldChar w:fldCharType="begin"/>
      </w:r>
      <w:r>
        <w:instrText xml:space="preserve"> PAGEREF _Toc5976 \h </w:instrText>
      </w:r>
      <w:r>
        <w:fldChar w:fldCharType="separate"/>
      </w:r>
      <w:r>
        <w:t>- 3 -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_Toc587 </w:instrText>
      </w:r>
      <w:r>
        <w:rPr>
          <w:rFonts w:ascii="Times New Roman" w:hAnsi="Times New Roman"/>
        </w:rPr>
        <w:fldChar w:fldCharType="separate"/>
      </w:r>
      <w:r>
        <w:rPr>
          <w:rFonts w:ascii="Times New Roman" w:hAnsi="Times New Roman"/>
        </w:rPr>
        <w:t>2.2项目组成</w:t>
      </w:r>
      <w:r>
        <w:tab/>
      </w:r>
      <w:r>
        <w:fldChar w:fldCharType="begin"/>
      </w:r>
      <w:r>
        <w:instrText xml:space="preserve"> PAGEREF _Toc587 \h </w:instrText>
      </w:r>
      <w:r>
        <w:fldChar w:fldCharType="separate"/>
      </w:r>
      <w:r>
        <w:t>- 3 -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_Toc19136 </w:instrText>
      </w:r>
      <w:r>
        <w:rPr>
          <w:rFonts w:ascii="Times New Roman" w:hAnsi="Times New Roman"/>
        </w:rPr>
        <w:fldChar w:fldCharType="separate"/>
      </w:r>
      <w:r>
        <w:rPr>
          <w:rFonts w:ascii="Times New Roman" w:hAnsi="Times New Roman"/>
        </w:rPr>
        <w:t>2.3环境保护目标</w:t>
      </w:r>
      <w:r>
        <w:tab/>
      </w:r>
      <w:r>
        <w:fldChar w:fldCharType="begin"/>
      </w:r>
      <w:r>
        <w:instrText xml:space="preserve"> PAGEREF _Toc19136 \h </w:instrText>
      </w:r>
      <w:r>
        <w:fldChar w:fldCharType="separate"/>
      </w:r>
      <w:r>
        <w:t>- 5 -</w:t>
      </w:r>
      <w:r>
        <w:fldChar w:fldCharType="end"/>
      </w:r>
      <w:r>
        <w:rPr>
          <w:rFonts w:ascii="Times New Roman" w:hAnsi="Times New Roman"/>
          <w:color w:val="auto"/>
        </w:rPr>
        <w:fldChar w:fldCharType="end"/>
      </w:r>
    </w:p>
    <w:p>
      <w:pPr>
        <w:pStyle w:val="16"/>
        <w:tabs>
          <w:tab w:val="right" w:leader="dot" w:pos="8306"/>
          <w:tab w:val="clear" w:pos="8296"/>
        </w:tabs>
      </w:pPr>
      <w:r>
        <w:rPr>
          <w:rFonts w:ascii="Times New Roman" w:hAnsi="Times New Roman"/>
          <w:color w:val="auto"/>
        </w:rPr>
        <w:fldChar w:fldCharType="begin"/>
      </w:r>
      <w:r>
        <w:rPr>
          <w:rFonts w:ascii="Times New Roman" w:hAnsi="Times New Roman"/>
        </w:rPr>
        <w:instrText xml:space="preserve"> HYPERLINK \l _Toc20839 </w:instrText>
      </w:r>
      <w:r>
        <w:rPr>
          <w:rFonts w:ascii="Times New Roman" w:hAnsi="Times New Roman"/>
        </w:rPr>
        <w:fldChar w:fldCharType="separate"/>
      </w:r>
      <w:r>
        <w:rPr>
          <w:rFonts w:ascii="Times New Roman" w:hAnsi="Times New Roman"/>
        </w:rPr>
        <w:t>3、首次环境影响评价信息公开情况</w:t>
      </w:r>
      <w:r>
        <w:tab/>
      </w:r>
      <w:r>
        <w:fldChar w:fldCharType="begin"/>
      </w:r>
      <w:r>
        <w:instrText xml:space="preserve"> PAGEREF _Toc20839 \h </w:instrText>
      </w:r>
      <w:r>
        <w:fldChar w:fldCharType="separate"/>
      </w:r>
      <w:r>
        <w:t>- 6 -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_Toc27026 </w:instrText>
      </w:r>
      <w:r>
        <w:rPr>
          <w:rFonts w:ascii="Times New Roman" w:hAnsi="Times New Roman"/>
        </w:rPr>
        <w:fldChar w:fldCharType="separate"/>
      </w:r>
      <w:r>
        <w:rPr>
          <w:rFonts w:ascii="Times New Roman" w:hAnsi="Times New Roman"/>
        </w:rPr>
        <w:t>3.1公开内容和日期</w:t>
      </w:r>
      <w:r>
        <w:tab/>
      </w:r>
      <w:r>
        <w:fldChar w:fldCharType="begin"/>
      </w:r>
      <w:r>
        <w:instrText xml:space="preserve"> PAGEREF _Toc27026 \h </w:instrText>
      </w:r>
      <w:r>
        <w:fldChar w:fldCharType="separate"/>
      </w:r>
      <w:r>
        <w:t>- 6 -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_Toc30752 </w:instrText>
      </w:r>
      <w:r>
        <w:rPr>
          <w:rFonts w:ascii="Times New Roman" w:hAnsi="Times New Roman"/>
        </w:rPr>
        <w:fldChar w:fldCharType="separate"/>
      </w:r>
      <w:r>
        <w:rPr>
          <w:rFonts w:ascii="Times New Roman" w:hAnsi="Times New Roman"/>
        </w:rPr>
        <w:t>3.2公众意见情况</w:t>
      </w:r>
      <w:r>
        <w:tab/>
      </w:r>
      <w:r>
        <w:fldChar w:fldCharType="begin"/>
      </w:r>
      <w:r>
        <w:instrText xml:space="preserve"> PAGEREF _Toc30752 \h </w:instrText>
      </w:r>
      <w:r>
        <w:fldChar w:fldCharType="separate"/>
      </w:r>
      <w:r>
        <w:t>- 6 -</w:t>
      </w:r>
      <w:r>
        <w:fldChar w:fldCharType="end"/>
      </w:r>
      <w:r>
        <w:rPr>
          <w:rFonts w:ascii="Times New Roman" w:hAnsi="Times New Roman"/>
          <w:color w:val="auto"/>
        </w:rPr>
        <w:fldChar w:fldCharType="end"/>
      </w:r>
    </w:p>
    <w:p>
      <w:pPr>
        <w:pStyle w:val="16"/>
        <w:tabs>
          <w:tab w:val="right" w:leader="dot" w:pos="8306"/>
          <w:tab w:val="clear" w:pos="8296"/>
        </w:tabs>
      </w:pPr>
      <w:r>
        <w:rPr>
          <w:rFonts w:ascii="Times New Roman" w:hAnsi="Times New Roman"/>
          <w:color w:val="auto"/>
        </w:rPr>
        <w:fldChar w:fldCharType="begin"/>
      </w:r>
      <w:r>
        <w:rPr>
          <w:rFonts w:ascii="Times New Roman" w:hAnsi="Times New Roman"/>
        </w:rPr>
        <w:instrText xml:space="preserve"> HYPERLINK \l _Toc29943 </w:instrText>
      </w:r>
      <w:r>
        <w:rPr>
          <w:rFonts w:ascii="Times New Roman" w:hAnsi="Times New Roman"/>
        </w:rPr>
        <w:fldChar w:fldCharType="separate"/>
      </w:r>
      <w:r>
        <w:rPr>
          <w:rFonts w:ascii="Times New Roman" w:hAnsi="Times New Roman"/>
        </w:rPr>
        <w:t>4、征求意见稿公示情况</w:t>
      </w:r>
      <w:r>
        <w:tab/>
      </w:r>
      <w:r>
        <w:fldChar w:fldCharType="begin"/>
      </w:r>
      <w:r>
        <w:instrText xml:space="preserve"> PAGEREF _Toc29943 \h </w:instrText>
      </w:r>
      <w:r>
        <w:fldChar w:fldCharType="separate"/>
      </w:r>
      <w:r>
        <w:t>- 7 -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_Toc15326 </w:instrText>
      </w:r>
      <w:r>
        <w:rPr>
          <w:rFonts w:ascii="Times New Roman" w:hAnsi="Times New Roman"/>
        </w:rPr>
        <w:fldChar w:fldCharType="separate"/>
      </w:r>
      <w:r>
        <w:rPr>
          <w:rFonts w:ascii="Times New Roman" w:hAnsi="Times New Roman"/>
        </w:rPr>
        <w:t>4.1公示内容及时限</w:t>
      </w:r>
      <w:r>
        <w:tab/>
      </w:r>
      <w:r>
        <w:fldChar w:fldCharType="begin"/>
      </w:r>
      <w:r>
        <w:instrText xml:space="preserve"> PAGEREF _Toc15326 \h </w:instrText>
      </w:r>
      <w:r>
        <w:fldChar w:fldCharType="separate"/>
      </w:r>
      <w:r>
        <w:t>- 7 -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_Toc18963 </w:instrText>
      </w:r>
      <w:r>
        <w:rPr>
          <w:rFonts w:ascii="Times New Roman" w:hAnsi="Times New Roman"/>
        </w:rPr>
        <w:fldChar w:fldCharType="separate"/>
      </w:r>
      <w:r>
        <w:rPr>
          <w:rFonts w:ascii="Times New Roman" w:hAnsi="Times New Roman"/>
        </w:rPr>
        <w:t>4.2查阅情况</w:t>
      </w:r>
      <w:r>
        <w:tab/>
      </w:r>
      <w:r>
        <w:fldChar w:fldCharType="begin"/>
      </w:r>
      <w:r>
        <w:instrText xml:space="preserve"> PAGEREF _Toc18963 \h </w:instrText>
      </w:r>
      <w:r>
        <w:fldChar w:fldCharType="separate"/>
      </w:r>
      <w:r>
        <w:t>- 11 -</w:t>
      </w:r>
      <w:r>
        <w:fldChar w:fldCharType="end"/>
      </w:r>
      <w:r>
        <w:rPr>
          <w:rFonts w:ascii="Times New Roman" w:hAnsi="Times New Roman"/>
          <w:color w:val="auto"/>
        </w:rPr>
        <w:fldChar w:fldCharType="end"/>
      </w:r>
    </w:p>
    <w:p>
      <w:pPr>
        <w:pStyle w:val="17"/>
        <w:tabs>
          <w:tab w:val="right" w:leader="dot" w:pos="8306"/>
        </w:tabs>
      </w:pPr>
      <w:r>
        <w:rPr>
          <w:rFonts w:ascii="Times New Roman" w:hAnsi="Times New Roman"/>
          <w:color w:val="auto"/>
        </w:rPr>
        <w:fldChar w:fldCharType="begin"/>
      </w:r>
      <w:r>
        <w:rPr>
          <w:rFonts w:ascii="Times New Roman" w:hAnsi="Times New Roman"/>
        </w:rPr>
        <w:instrText xml:space="preserve"> HYPERLINK \l _Toc25897 </w:instrText>
      </w:r>
      <w:r>
        <w:rPr>
          <w:rFonts w:ascii="Times New Roman" w:hAnsi="Times New Roman"/>
        </w:rPr>
        <w:fldChar w:fldCharType="separate"/>
      </w:r>
      <w:r>
        <w:rPr>
          <w:rFonts w:ascii="Times New Roman" w:hAnsi="Times New Roman"/>
        </w:rPr>
        <w:t>4.3公众提出意见情况</w:t>
      </w:r>
      <w:r>
        <w:tab/>
      </w:r>
      <w:r>
        <w:fldChar w:fldCharType="begin"/>
      </w:r>
      <w:r>
        <w:instrText xml:space="preserve"> PAGEREF _Toc25897 \h </w:instrText>
      </w:r>
      <w:r>
        <w:fldChar w:fldCharType="separate"/>
      </w:r>
      <w:r>
        <w:t>- 11 -</w:t>
      </w:r>
      <w:r>
        <w:fldChar w:fldCharType="end"/>
      </w:r>
      <w:r>
        <w:rPr>
          <w:rFonts w:ascii="Times New Roman" w:hAnsi="Times New Roman"/>
          <w:color w:val="auto"/>
        </w:rPr>
        <w:fldChar w:fldCharType="end"/>
      </w:r>
    </w:p>
    <w:p>
      <w:pPr>
        <w:pStyle w:val="16"/>
        <w:tabs>
          <w:tab w:val="right" w:leader="dot" w:pos="8306"/>
          <w:tab w:val="clear" w:pos="8296"/>
        </w:tabs>
      </w:pPr>
      <w:r>
        <w:rPr>
          <w:rFonts w:ascii="Times New Roman" w:hAnsi="Times New Roman"/>
          <w:color w:val="auto"/>
        </w:rPr>
        <w:fldChar w:fldCharType="begin"/>
      </w:r>
      <w:r>
        <w:rPr>
          <w:rFonts w:ascii="Times New Roman" w:hAnsi="Times New Roman"/>
        </w:rPr>
        <w:instrText xml:space="preserve"> HYPERLINK \l _Toc14199 </w:instrText>
      </w:r>
      <w:r>
        <w:rPr>
          <w:rFonts w:ascii="Times New Roman" w:hAnsi="Times New Roman"/>
        </w:rPr>
        <w:fldChar w:fldCharType="separate"/>
      </w:r>
      <w:r>
        <w:rPr>
          <w:rFonts w:ascii="Times New Roman" w:hAnsi="Times New Roman"/>
        </w:rPr>
        <w:t>5、</w:t>
      </w:r>
      <w:r>
        <w:rPr>
          <w:rFonts w:hint="eastAsia" w:ascii="Times New Roman" w:hAnsi="Times New Roman"/>
        </w:rPr>
        <w:t>公众意见采纳与不采纳的说明</w:t>
      </w:r>
      <w:r>
        <w:tab/>
      </w:r>
      <w:r>
        <w:fldChar w:fldCharType="begin"/>
      </w:r>
      <w:r>
        <w:instrText xml:space="preserve"> PAGEREF _Toc14199 \h </w:instrText>
      </w:r>
      <w:r>
        <w:fldChar w:fldCharType="separate"/>
      </w:r>
      <w:r>
        <w:t>- 12 -</w:t>
      </w:r>
      <w:r>
        <w:fldChar w:fldCharType="end"/>
      </w:r>
      <w:r>
        <w:rPr>
          <w:rFonts w:ascii="Times New Roman" w:hAnsi="Times New Roman"/>
          <w:color w:val="auto"/>
        </w:rPr>
        <w:fldChar w:fldCharType="end"/>
      </w:r>
    </w:p>
    <w:p>
      <w:pPr>
        <w:pStyle w:val="16"/>
        <w:tabs>
          <w:tab w:val="right" w:leader="dot" w:pos="8306"/>
          <w:tab w:val="clear" w:pos="8296"/>
        </w:tabs>
      </w:pPr>
      <w:r>
        <w:rPr>
          <w:rFonts w:ascii="Times New Roman" w:hAnsi="Times New Roman"/>
          <w:color w:val="auto"/>
        </w:rPr>
        <w:fldChar w:fldCharType="begin"/>
      </w:r>
      <w:r>
        <w:rPr>
          <w:rFonts w:ascii="Times New Roman" w:hAnsi="Times New Roman"/>
        </w:rPr>
        <w:instrText xml:space="preserve"> HYPERLINK \l _Toc14285 </w:instrText>
      </w:r>
      <w:r>
        <w:rPr>
          <w:rFonts w:ascii="Times New Roman" w:hAnsi="Times New Roman"/>
        </w:rPr>
        <w:fldChar w:fldCharType="separate"/>
      </w:r>
      <w:r>
        <w:rPr>
          <w:rFonts w:ascii="Times New Roman" w:hAnsi="Times New Roman"/>
        </w:rPr>
        <w:t>6、诚信承诺</w:t>
      </w:r>
      <w:r>
        <w:tab/>
      </w:r>
      <w:r>
        <w:fldChar w:fldCharType="begin"/>
      </w:r>
      <w:r>
        <w:instrText xml:space="preserve"> PAGEREF _Toc14285 \h </w:instrText>
      </w:r>
      <w:r>
        <w:fldChar w:fldCharType="separate"/>
      </w:r>
      <w:r>
        <w:t>- 13 -</w:t>
      </w:r>
      <w:r>
        <w:fldChar w:fldCharType="end"/>
      </w:r>
      <w:r>
        <w:rPr>
          <w:rFonts w:ascii="Times New Roman" w:hAnsi="Times New Roman"/>
          <w:color w:val="auto"/>
        </w:rPr>
        <w:fldChar w:fldCharType="end"/>
      </w:r>
    </w:p>
    <w:p>
      <w:pPr>
        <w:spacing w:before="163"/>
        <w:ind w:firstLine="0" w:firstLineChars="0"/>
        <w:rPr>
          <w:rFonts w:ascii="Times New Roman" w:hAnsi="Times New Roman"/>
          <w:color w:val="auto"/>
        </w:rPr>
      </w:pPr>
      <w:r>
        <w:rPr>
          <w:rFonts w:ascii="Times New Roman" w:hAnsi="Times New Roman"/>
          <w:color w:val="auto"/>
        </w:rPr>
        <w:fldChar w:fldCharType="end"/>
      </w:r>
    </w:p>
    <w:p>
      <w:pPr>
        <w:pStyle w:val="46"/>
        <w:spacing w:before="163" w:after="163"/>
        <w:outlineLvl w:val="0"/>
        <w:rPr>
          <w:rFonts w:ascii="Times New Roman" w:hAnsi="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397" w:footer="992" w:gutter="0"/>
          <w:pgBorders>
            <w:top w:val="none" w:sz="0" w:space="0"/>
            <w:left w:val="none" w:sz="0" w:space="0"/>
            <w:bottom w:val="none" w:sz="0" w:space="0"/>
            <w:right w:val="none" w:sz="0" w:space="0"/>
          </w:pgBorders>
          <w:pgNumType w:fmt="numberInDash" w:start="1"/>
          <w:cols w:space="720" w:num="1"/>
          <w:docGrid w:type="lines" w:linePitch="326" w:charSpace="0"/>
        </w:sectPr>
      </w:pPr>
    </w:p>
    <w:p>
      <w:pPr>
        <w:pStyle w:val="46"/>
        <w:spacing w:before="163" w:after="0" w:afterLines="0"/>
        <w:outlineLvl w:val="0"/>
        <w:rPr>
          <w:rFonts w:ascii="Times New Roman" w:hAnsi="Times New Roman"/>
          <w:color w:val="auto"/>
        </w:rPr>
      </w:pPr>
      <w:bookmarkStart w:id="1" w:name="_Toc13969"/>
      <w:r>
        <w:rPr>
          <w:rFonts w:ascii="Times New Roman" w:hAnsi="Times New Roman"/>
          <w:color w:val="auto"/>
        </w:rPr>
        <w:t>1、公众参与的由来</w:t>
      </w:r>
      <w:bookmarkEnd w:id="1"/>
    </w:p>
    <w:p>
      <w:pPr>
        <w:pStyle w:val="12"/>
        <w:adjustRightInd w:val="0"/>
        <w:snapToGrid w:val="0"/>
        <w:spacing w:before="163" w:beforeLines="50"/>
        <w:ind w:firstLine="480" w:firstLineChars="200"/>
        <w:rPr>
          <w:rFonts w:ascii="Times New Roman" w:hAnsi="Times New Roman"/>
          <w:color w:val="auto"/>
        </w:rPr>
      </w:pPr>
      <w:r>
        <w:rPr>
          <w:rFonts w:ascii="Times New Roman" w:hAnsi="Times New Roman"/>
          <w:color w:val="auto"/>
        </w:rPr>
        <w:t>生猪是韶关市农业的支柱产业之一，也是发展农村经济的主导产业，但是科技含量低，生产技术落后，生产规模偏小等因素一直制约着生猪业的发展，束缚了当地农业和农村经济跨越式的发展。</w:t>
      </w:r>
    </w:p>
    <w:p>
      <w:pPr>
        <w:pStyle w:val="12"/>
        <w:adjustRightInd w:val="0"/>
        <w:snapToGrid w:val="0"/>
        <w:spacing w:before="163" w:beforeLines="50"/>
        <w:ind w:firstLine="480" w:firstLineChars="200"/>
        <w:rPr>
          <w:rFonts w:ascii="Times New Roman" w:hAnsi="Times New Roman"/>
          <w:color w:val="auto"/>
        </w:rPr>
      </w:pPr>
      <w:r>
        <w:rPr>
          <w:rFonts w:ascii="Times New Roman" w:hAnsi="Times New Roman"/>
          <w:color w:val="auto"/>
        </w:rPr>
        <w:t>同时，猪肉是大多数城乡居民的主要副食品。抓好生猪生产，保持合理的价格水平，对稳定市场供应、满足消费需求、增加农民收入、促进经济发展具有重要意义。国家在农业发展规划中也提出：要大力发展畜牧业生产，特别是发展农区畜牧业，尤其是要稳定优质商品猪生产。近年来，“瘦肉精”事件偶有发生，猪肉安全成为各级部门重点关注的问题，预示着生猪养殖乃至运输屠宰等各方面仍存在监管漏洞，不法分子尤其是散养户受利益驱使，违规添加禁药；又如在一些中小城市，私宰肉依然存在，病死猪流入市场，一旦监管不到位，将严重影响人们的身体健康，扰乱社会秩序。随着我国经济快速发展和社会进步，人们生活水平有了很大提高，膳食结构也随之发生巨大变化，猪肉已成为大多数城乡居民的主要副食品。为抓好生猪生产，保证猪肉食品的安全、保持猪肉合理的价格水平和市场供应，今后生猪产业的重点是要全面落实对生猪生产的各项扶持政策，加强监管力度，从投入品的源头保障猪肉食品安全，加快生猪产业的可持续、健康发展。</w:t>
      </w:r>
    </w:p>
    <w:p>
      <w:pPr>
        <w:spacing w:before="163"/>
        <w:ind w:firstLine="480"/>
        <w:jc w:val="both"/>
        <w:rPr>
          <w:rFonts w:ascii="Times New Roman" w:hAnsi="Times New Roman"/>
          <w:color w:val="auto"/>
        </w:rPr>
      </w:pPr>
      <w:r>
        <w:rPr>
          <w:rFonts w:ascii="Times New Roman" w:hAnsi="Times New Roman"/>
          <w:color w:val="auto"/>
        </w:rPr>
        <w:t>《广东省生猪生产发展总体规划和区域布局（2008-2020年）》指出，争取在2020年全省标准化规模养殖比例达到90%以上，废弃物资源利用率90%以上，2012年生猪出栏达到4574万头，2020年生猪出栏达到5245万头，猪肉自给率达到85%，保障全省猪肉供应和安全。规划在建设布局中提出发展北部生猪产业带：以韶关、清远为主要发展区域，重点发展瘦肉型猪，适度饲养本地猪和土杂猪，除满足本地市场需求外，重点面向珠三角和港澳市场。北部生猪产业带规划2020年上市生猪700万头，以发展中、小型生猪养殖场为主。</w:t>
      </w:r>
    </w:p>
    <w:p>
      <w:pPr>
        <w:spacing w:before="163"/>
        <w:ind w:firstLine="480"/>
        <w:jc w:val="both"/>
        <w:rPr>
          <w:rFonts w:ascii="Times New Roman" w:hAnsi="Times New Roman"/>
          <w:color w:val="auto"/>
        </w:rPr>
      </w:pPr>
      <w:r>
        <w:rPr>
          <w:rFonts w:ascii="Times New Roman" w:hAnsi="Times New Roman"/>
          <w:color w:val="auto"/>
        </w:rPr>
        <w:t>《韶关市生猪和家禽发展规划和区域布局（2008-2020年）》提出：到2020年，全市年出栏生猪和家禽分别达到500万头和1亿只，规模养殖出栏的生猪和家禽占出栏总量的70%以上，畜牧业产值占农业总产值比重达45%以上，规模化养殖比例达到90%以上，积极推进养殖方式转变，大力推行标准化和生态养殖模式，大力推广“猪（禽）—沼—果（菜、鱼）”等生态养殖模式。曲江区将利用其生态环境及地理优势等有利条件，发展特色养猪业。</w:t>
      </w:r>
    </w:p>
    <w:p>
      <w:pPr>
        <w:spacing w:before="163"/>
        <w:ind w:firstLine="480"/>
        <w:jc w:val="both"/>
        <w:rPr>
          <w:rFonts w:ascii="Times New Roman" w:hAnsi="Times New Roman"/>
          <w:color w:val="auto"/>
        </w:rPr>
      </w:pPr>
      <w:r>
        <w:rPr>
          <w:rFonts w:ascii="Times New Roman" w:hAnsi="Times New Roman"/>
          <w:color w:val="auto"/>
        </w:rPr>
        <w:t>为建设高标准化的现代化养殖场，韶关市恒粤生态农业有限责任公司投资</w:t>
      </w:r>
      <w:r>
        <w:rPr>
          <w:rFonts w:hint="eastAsia" w:ascii="Times New Roman" w:hAnsi="Times New Roman"/>
          <w:color w:val="auto"/>
        </w:rPr>
        <w:t>1300</w:t>
      </w:r>
      <w:r>
        <w:rPr>
          <w:rFonts w:ascii="Times New Roman" w:hAnsi="Times New Roman"/>
          <w:color w:val="auto"/>
        </w:rPr>
        <w:t>万元人民币在韶关市曲江区大塘镇东岗岭村委新厅村馒头墩岭建设——“韶关市恒粤生态农业有限责任公司年出栏30000头生猪的生态养殖项目（以下简称‘本项目’）”。韶关市恒粤生态农业有限责任公司</w:t>
      </w:r>
      <w:r>
        <w:rPr>
          <w:rFonts w:hint="eastAsia" w:ascii="Times New Roman" w:hAnsi="Times New Roman"/>
          <w:color w:val="auto"/>
        </w:rPr>
        <w:t>年出栏30000头生猪的生态养殖项目</w:t>
      </w:r>
      <w:r>
        <w:rPr>
          <w:rFonts w:ascii="Times New Roman" w:hAnsi="Times New Roman"/>
          <w:color w:val="auto"/>
        </w:rPr>
        <w:t>拟规划占地面积86666.67m</w:t>
      </w:r>
      <w:r>
        <w:rPr>
          <w:rFonts w:ascii="Times New Roman" w:hAnsi="Times New Roman"/>
          <w:color w:val="auto"/>
          <w:vertAlign w:val="superscript"/>
        </w:rPr>
        <w:t>2</w:t>
      </w:r>
      <w:r>
        <w:rPr>
          <w:rFonts w:ascii="Times New Roman" w:hAnsi="Times New Roman"/>
          <w:color w:val="auto"/>
        </w:rPr>
        <w:t>（约130亩），投资额为</w:t>
      </w:r>
      <w:r>
        <w:rPr>
          <w:rFonts w:hint="eastAsia" w:ascii="Times New Roman" w:hAnsi="Times New Roman"/>
          <w:color w:val="auto"/>
        </w:rPr>
        <w:t>13</w:t>
      </w:r>
      <w:r>
        <w:rPr>
          <w:rFonts w:ascii="Times New Roman" w:hAnsi="Times New Roman"/>
          <w:color w:val="auto"/>
        </w:rPr>
        <w:t>00万元，本项目建成后，</w:t>
      </w:r>
      <w:r>
        <w:rPr>
          <w:rFonts w:hint="eastAsia" w:ascii="Times New Roman" w:hAnsi="Times New Roman"/>
          <w:color w:val="auto"/>
        </w:rPr>
        <w:t>年出栏商品肉猪4000头、仔猪约26000头；</w:t>
      </w:r>
      <w:r>
        <w:rPr>
          <w:rFonts w:ascii="Times New Roman" w:hAnsi="Times New Roman"/>
          <w:color w:val="auto"/>
        </w:rPr>
        <w:t>常年存栏</w:t>
      </w:r>
      <w:r>
        <w:rPr>
          <w:rFonts w:hint="eastAsia" w:ascii="Times New Roman" w:hAnsi="Times New Roman"/>
          <w:color w:val="auto"/>
        </w:rPr>
        <w:t>母猪1800头，保育猪1000头，育肥猪2000头。</w:t>
      </w:r>
      <w:r>
        <w:rPr>
          <w:rFonts w:ascii="Times New Roman" w:hAnsi="Times New Roman"/>
          <w:color w:val="auto"/>
        </w:rPr>
        <w:t>按3头保育猪折合为1头生猪、1头育肥猪折合为1头生猪算，折合生猪常年存栏量为</w:t>
      </w:r>
      <w:r>
        <w:rPr>
          <w:rFonts w:hint="eastAsia" w:ascii="Times New Roman" w:hAnsi="Times New Roman"/>
          <w:color w:val="auto"/>
        </w:rPr>
        <w:t>7733</w:t>
      </w:r>
      <w:r>
        <w:rPr>
          <w:rFonts w:ascii="Times New Roman" w:hAnsi="Times New Roman"/>
          <w:color w:val="auto"/>
        </w:rPr>
        <w:t>头。</w:t>
      </w:r>
    </w:p>
    <w:p>
      <w:pPr>
        <w:spacing w:before="163"/>
        <w:ind w:firstLine="480"/>
        <w:jc w:val="both"/>
        <w:rPr>
          <w:rFonts w:ascii="Times New Roman" w:hAnsi="Times New Roman"/>
          <w:color w:val="auto"/>
        </w:rPr>
      </w:pPr>
      <w:r>
        <w:rPr>
          <w:rFonts w:ascii="Times New Roman" w:hAnsi="Times New Roman"/>
          <w:color w:val="auto"/>
        </w:rPr>
        <w:t>中华人民共和国环境保护法》、《中华人民共和国环境影响评价法》、《建设项目环境保护管理条例》（2017年修订）和《建设项目环境影响评价分类管理名录》(生态环境部令 部令第1号)等有关法律法规的规定，本项目属于“畜牧业——畜禽养殖场、养殖小区”类别，年出栏生猪超过5000头，按要求应编制环境影响报告书。20</w:t>
      </w:r>
      <w:r>
        <w:rPr>
          <w:rFonts w:hint="eastAsia" w:ascii="Times New Roman" w:hAnsi="Times New Roman"/>
          <w:color w:val="auto"/>
        </w:rPr>
        <w:t>20</w:t>
      </w:r>
      <w:r>
        <w:rPr>
          <w:rFonts w:ascii="Times New Roman" w:hAnsi="Times New Roman"/>
          <w:color w:val="auto"/>
        </w:rPr>
        <w:t>年4月，受韶关市恒粤生态农业有限责任公司委托，核工业二九〇研究所承担了本项目的环境影响评价工作。评价单位在详细了解项目的内容、并对拟定场址进行现场踏勘、调查，以及在实测有关的环境质量指标的基础上，编制了《韶关市恒粤生态农业有限责任公司</w:t>
      </w:r>
      <w:r>
        <w:rPr>
          <w:rFonts w:hint="eastAsia" w:ascii="Times New Roman" w:hAnsi="Times New Roman"/>
          <w:color w:val="auto"/>
        </w:rPr>
        <w:t>年出栏30000头生猪的生态养殖项目</w:t>
      </w:r>
      <w:r>
        <w:rPr>
          <w:rFonts w:ascii="Times New Roman" w:hAnsi="Times New Roman"/>
          <w:color w:val="auto"/>
        </w:rPr>
        <w:t>环境影响报告书》，为建设项目污染防治和环境管理提供科学依据。</w:t>
      </w:r>
    </w:p>
    <w:p>
      <w:pPr>
        <w:spacing w:before="163" w:after="163" w:afterLines="50"/>
        <w:ind w:firstLine="480"/>
        <w:jc w:val="both"/>
        <w:rPr>
          <w:rFonts w:ascii="Times New Roman" w:hAnsi="Times New Roman"/>
          <w:color w:val="auto"/>
        </w:rPr>
      </w:pPr>
      <w:r>
        <w:rPr>
          <w:rFonts w:ascii="Times New Roman" w:hAnsi="Times New Roman"/>
          <w:color w:val="auto"/>
        </w:rPr>
        <w:t>在开展环境影响评价过程中，韶关市恒粤生态农业有限责任公司按照《环境影响评价公众参与办法》生态环境部令第4号（2018年7月16日）的要求，开展了公众参与工作，采取网上公示、现场公示和报纸公示的方式，征求了项目周边村民以及相关单位对本项目建设的意见，编制了本公众参与手册，作为“韶关市恒粤生态农业有限责任公司年出栏30000头生猪的生态养殖项目环境影响报告书”环境影响评价材料之一，以呈报韶关市生态环境局</w:t>
      </w:r>
      <w:r>
        <w:rPr>
          <w:rFonts w:hint="eastAsia" w:ascii="Times New Roman" w:hAnsi="Times New Roman"/>
          <w:color w:val="auto"/>
        </w:rPr>
        <w:t>曲江分局</w:t>
      </w:r>
      <w:r>
        <w:rPr>
          <w:rFonts w:ascii="Times New Roman" w:hAnsi="Times New Roman"/>
          <w:color w:val="auto"/>
        </w:rPr>
        <w:t>审批。</w:t>
      </w:r>
    </w:p>
    <w:p>
      <w:pPr>
        <w:rPr>
          <w:rFonts w:ascii="Times New Roman" w:hAnsi="Times New Roman"/>
          <w:color w:val="auto"/>
        </w:rPr>
      </w:pPr>
      <w:r>
        <w:rPr>
          <w:rFonts w:ascii="Times New Roman" w:hAnsi="Times New Roman"/>
          <w:color w:val="auto"/>
        </w:rPr>
        <w:br w:type="page"/>
      </w:r>
    </w:p>
    <w:p>
      <w:pPr>
        <w:pStyle w:val="46"/>
        <w:spacing w:before="163" w:after="163"/>
        <w:outlineLvl w:val="0"/>
        <w:rPr>
          <w:rFonts w:ascii="Times New Roman" w:hAnsi="Times New Roman"/>
          <w:color w:val="auto"/>
        </w:rPr>
      </w:pPr>
      <w:bookmarkStart w:id="2" w:name="_Toc3799"/>
      <w:r>
        <w:rPr>
          <w:rFonts w:ascii="Times New Roman" w:hAnsi="Times New Roman"/>
          <w:color w:val="auto"/>
        </w:rPr>
        <w:t>2、项目概况</w:t>
      </w:r>
      <w:bookmarkEnd w:id="2"/>
    </w:p>
    <w:p>
      <w:pPr>
        <w:pStyle w:val="48"/>
        <w:spacing w:before="163" w:after="163"/>
        <w:outlineLvl w:val="1"/>
        <w:rPr>
          <w:rFonts w:ascii="Times New Roman" w:hAnsi="Times New Roman"/>
          <w:color w:val="auto"/>
        </w:rPr>
      </w:pPr>
      <w:bookmarkStart w:id="3" w:name="_Toc5976"/>
      <w:r>
        <w:rPr>
          <w:rFonts w:ascii="Times New Roman" w:hAnsi="Times New Roman"/>
          <w:color w:val="auto"/>
        </w:rPr>
        <w:t>2.1项目基本情况</w:t>
      </w:r>
      <w:bookmarkEnd w:id="3"/>
    </w:p>
    <w:p>
      <w:pPr>
        <w:spacing w:before="0" w:beforeLines="0"/>
        <w:ind w:firstLine="480"/>
        <w:jc w:val="both"/>
        <w:rPr>
          <w:rFonts w:ascii="Times New Roman" w:hAnsi="Times New Roman"/>
          <w:color w:val="auto"/>
        </w:rPr>
      </w:pPr>
      <w:r>
        <w:rPr>
          <w:rFonts w:ascii="Times New Roman" w:hAnsi="Times New Roman"/>
          <w:color w:val="auto"/>
        </w:rPr>
        <w:t>（1）项目名称：韶关市恒粤生态农业有限责任公司年出栏30000头生猪的生态养殖项目；</w:t>
      </w:r>
    </w:p>
    <w:p>
      <w:pPr>
        <w:spacing w:before="0" w:beforeLines="0"/>
        <w:ind w:firstLine="480"/>
        <w:jc w:val="both"/>
        <w:rPr>
          <w:rFonts w:ascii="Times New Roman" w:hAnsi="Times New Roman"/>
          <w:color w:val="auto"/>
        </w:rPr>
      </w:pPr>
      <w:r>
        <w:rPr>
          <w:rFonts w:ascii="Times New Roman" w:hAnsi="Times New Roman"/>
          <w:color w:val="auto"/>
        </w:rPr>
        <w:t>（2）建设单位：韶关市恒粤生态农业有限责任公司；</w:t>
      </w:r>
    </w:p>
    <w:p>
      <w:pPr>
        <w:spacing w:before="0" w:beforeLines="0"/>
        <w:ind w:firstLine="480"/>
        <w:jc w:val="both"/>
        <w:rPr>
          <w:rFonts w:ascii="Times New Roman" w:hAnsi="Times New Roman"/>
          <w:color w:val="auto"/>
        </w:rPr>
      </w:pPr>
      <w:r>
        <w:rPr>
          <w:rFonts w:ascii="Times New Roman" w:hAnsi="Times New Roman"/>
          <w:color w:val="auto"/>
        </w:rPr>
        <w:t>（3）项目类别：A0313 猪的饲养；</w:t>
      </w:r>
    </w:p>
    <w:p>
      <w:pPr>
        <w:spacing w:before="0" w:beforeLines="0"/>
        <w:ind w:firstLine="480"/>
        <w:jc w:val="both"/>
        <w:rPr>
          <w:rFonts w:ascii="Times New Roman" w:hAnsi="Times New Roman"/>
          <w:color w:val="auto"/>
        </w:rPr>
      </w:pPr>
      <w:r>
        <w:rPr>
          <w:rFonts w:ascii="Times New Roman" w:hAnsi="Times New Roman"/>
          <w:color w:val="auto"/>
        </w:rPr>
        <w:t>（4）建设性质：</w:t>
      </w:r>
      <w:r>
        <w:rPr>
          <w:rFonts w:hint="eastAsia" w:ascii="Times New Roman" w:hAnsi="Times New Roman"/>
          <w:color w:val="auto"/>
        </w:rPr>
        <w:t>新建</w:t>
      </w:r>
      <w:r>
        <w:rPr>
          <w:rFonts w:ascii="Times New Roman" w:hAnsi="Times New Roman"/>
          <w:color w:val="auto"/>
        </w:rPr>
        <w:t>；</w:t>
      </w:r>
    </w:p>
    <w:p>
      <w:pPr>
        <w:spacing w:before="0" w:beforeLines="0"/>
        <w:ind w:firstLine="480"/>
        <w:jc w:val="both"/>
        <w:rPr>
          <w:rFonts w:ascii="Times New Roman" w:hAnsi="Times New Roman"/>
          <w:color w:val="auto"/>
        </w:rPr>
      </w:pPr>
      <w:r>
        <w:rPr>
          <w:rFonts w:ascii="Times New Roman" w:hAnsi="Times New Roman"/>
          <w:color w:val="auto"/>
        </w:rPr>
        <w:t>（5）建设地点：</w:t>
      </w:r>
      <w:r>
        <w:rPr>
          <w:rFonts w:hint="eastAsia" w:ascii="Times New Roman" w:hAnsi="Times New Roman"/>
          <w:color w:val="auto"/>
        </w:rPr>
        <w:t>韶关市曲江区大塘镇东岗岭村委新厅村馒头墩岭</w:t>
      </w:r>
      <w:r>
        <w:rPr>
          <w:rFonts w:ascii="Times New Roman" w:hAnsi="Times New Roman"/>
          <w:color w:val="auto"/>
        </w:rPr>
        <w:t>；</w:t>
      </w:r>
    </w:p>
    <w:p>
      <w:pPr>
        <w:spacing w:before="0" w:beforeLines="0"/>
        <w:ind w:firstLine="480"/>
        <w:jc w:val="both"/>
        <w:rPr>
          <w:rFonts w:ascii="Times New Roman" w:hAnsi="Times New Roman"/>
          <w:color w:val="auto"/>
        </w:rPr>
      </w:pPr>
      <w:r>
        <w:rPr>
          <w:rFonts w:ascii="Times New Roman" w:hAnsi="Times New Roman"/>
          <w:color w:val="auto"/>
        </w:rPr>
        <w:t>（6）占地面积：本项目占地约86666.67m</w:t>
      </w:r>
      <w:r>
        <w:rPr>
          <w:rFonts w:ascii="Times New Roman" w:hAnsi="Times New Roman"/>
          <w:color w:val="auto"/>
          <w:vertAlign w:val="superscript"/>
        </w:rPr>
        <w:t>2</w:t>
      </w:r>
      <w:r>
        <w:rPr>
          <w:rFonts w:ascii="Times New Roman" w:hAnsi="Times New Roman"/>
          <w:color w:val="auto"/>
        </w:rPr>
        <w:t>；</w:t>
      </w:r>
    </w:p>
    <w:p>
      <w:pPr>
        <w:spacing w:before="0" w:beforeLines="0"/>
        <w:ind w:firstLine="480"/>
        <w:jc w:val="both"/>
        <w:rPr>
          <w:rFonts w:ascii="Times New Roman" w:hAnsi="Times New Roman"/>
          <w:color w:val="auto"/>
        </w:rPr>
      </w:pPr>
      <w:r>
        <w:rPr>
          <w:rFonts w:ascii="Times New Roman" w:hAnsi="Times New Roman"/>
          <w:color w:val="auto"/>
        </w:rPr>
        <w:t>（7）项目投资：项目总投资</w:t>
      </w:r>
      <w:r>
        <w:rPr>
          <w:rFonts w:hint="eastAsia" w:ascii="Times New Roman" w:hAnsi="Times New Roman"/>
          <w:color w:val="auto"/>
        </w:rPr>
        <w:t>13</w:t>
      </w:r>
      <w:r>
        <w:rPr>
          <w:rFonts w:ascii="Times New Roman" w:hAnsi="Times New Roman"/>
          <w:color w:val="auto"/>
        </w:rPr>
        <w:t>00万元，其中环保投资</w:t>
      </w:r>
      <w:r>
        <w:rPr>
          <w:rFonts w:hint="eastAsia" w:ascii="Times New Roman" w:hAnsi="Times New Roman"/>
          <w:color w:val="auto"/>
        </w:rPr>
        <w:t>15</w:t>
      </w:r>
      <w:r>
        <w:rPr>
          <w:rFonts w:ascii="Times New Roman" w:hAnsi="Times New Roman"/>
          <w:color w:val="auto"/>
        </w:rPr>
        <w:t>0万元；</w:t>
      </w:r>
    </w:p>
    <w:p>
      <w:pPr>
        <w:spacing w:before="0" w:beforeLines="0"/>
        <w:ind w:firstLine="480"/>
        <w:jc w:val="both"/>
        <w:rPr>
          <w:rFonts w:ascii="Times New Roman" w:hAnsi="Times New Roman"/>
          <w:color w:val="auto"/>
        </w:rPr>
      </w:pPr>
      <w:r>
        <w:rPr>
          <w:rFonts w:ascii="Times New Roman" w:hAnsi="Times New Roman"/>
          <w:color w:val="auto"/>
        </w:rPr>
        <w:t>（8）职工人数及工作制度：项目劳动定员20人，均在场内食宿。年工作365日，每日</w:t>
      </w:r>
      <w:r>
        <w:rPr>
          <w:rFonts w:hint="eastAsia" w:ascii="Times New Roman" w:hAnsi="Times New Roman"/>
          <w:color w:val="auto"/>
        </w:rPr>
        <w:t>3</w:t>
      </w:r>
      <w:r>
        <w:rPr>
          <w:rFonts w:ascii="Times New Roman" w:hAnsi="Times New Roman"/>
          <w:color w:val="auto"/>
        </w:rPr>
        <w:t>班，每班</w:t>
      </w:r>
      <w:r>
        <w:rPr>
          <w:rFonts w:hint="eastAsia" w:ascii="Times New Roman" w:hAnsi="Times New Roman"/>
          <w:color w:val="auto"/>
        </w:rPr>
        <w:t>8</w:t>
      </w:r>
      <w:r>
        <w:rPr>
          <w:rFonts w:ascii="Times New Roman" w:hAnsi="Times New Roman"/>
          <w:color w:val="auto"/>
        </w:rPr>
        <w:t>小时。</w:t>
      </w:r>
    </w:p>
    <w:p>
      <w:pPr>
        <w:spacing w:before="0" w:beforeLines="0"/>
        <w:ind w:firstLine="480"/>
        <w:jc w:val="both"/>
        <w:rPr>
          <w:rFonts w:ascii="Times New Roman" w:hAnsi="Times New Roman"/>
          <w:color w:val="auto"/>
        </w:rPr>
      </w:pPr>
      <w:r>
        <w:rPr>
          <w:rFonts w:ascii="Times New Roman" w:hAnsi="Times New Roman"/>
          <w:color w:val="auto"/>
        </w:rPr>
        <w:t>（9）建设内容：</w:t>
      </w:r>
      <w:r>
        <w:rPr>
          <w:rFonts w:hint="eastAsia" w:ascii="Times New Roman" w:hAnsi="Times New Roman"/>
          <w:color w:val="auto"/>
        </w:rPr>
        <w:t>新建4500平方米母猪定位栏，4000平方米母猪产房，2000平方米幼猪保育舍，4000平方米育肥舍，1000平方米后备母猪舍，500平方米公猪舍，2491平方米粪污环保处理，500平方米仓库，1200平方米办公及生活区，道路硬化4000平方米，智能化饲喂设备、养殖废弃物资源化利用设备和养殖环境控制设备各1项。</w:t>
      </w:r>
    </w:p>
    <w:p>
      <w:pPr>
        <w:pStyle w:val="48"/>
        <w:spacing w:before="163" w:after="0" w:afterLines="0"/>
        <w:outlineLvl w:val="1"/>
        <w:rPr>
          <w:rFonts w:ascii="Times New Roman" w:hAnsi="Times New Roman"/>
          <w:color w:val="auto"/>
        </w:rPr>
      </w:pPr>
      <w:bookmarkStart w:id="4" w:name="_Toc587"/>
      <w:r>
        <w:rPr>
          <w:rFonts w:ascii="Times New Roman" w:hAnsi="Times New Roman"/>
          <w:color w:val="auto"/>
        </w:rPr>
        <w:t>2.2项目组成</w:t>
      </w:r>
      <w:bookmarkEnd w:id="4"/>
    </w:p>
    <w:p>
      <w:pPr>
        <w:spacing w:before="0" w:beforeLines="0"/>
        <w:ind w:firstLine="480"/>
        <w:jc w:val="both"/>
        <w:rPr>
          <w:rFonts w:ascii="Times New Roman" w:hAnsi="Times New Roman"/>
          <w:color w:val="auto"/>
        </w:rPr>
      </w:pPr>
      <w:r>
        <w:rPr>
          <w:rFonts w:ascii="Times New Roman" w:hAnsi="Times New Roman"/>
          <w:color w:val="auto"/>
        </w:rPr>
        <w:t>项目组成一览表见表2.2-1。</w:t>
      </w:r>
    </w:p>
    <w:p>
      <w:pPr>
        <w:spacing w:before="0" w:beforeLines="0"/>
        <w:ind w:firstLine="0" w:firstLineChars="0"/>
        <w:jc w:val="center"/>
        <w:rPr>
          <w:rFonts w:ascii="Times New Roman" w:hAnsi="Times New Roman"/>
          <w:color w:val="auto"/>
          <w:szCs w:val="24"/>
        </w:rPr>
      </w:pPr>
      <w:r>
        <w:rPr>
          <w:rFonts w:ascii="Times New Roman" w:hAnsi="Times New Roman"/>
          <w:color w:val="auto"/>
          <w:szCs w:val="24"/>
        </w:rPr>
        <w:t>表2.2-1   项目组成一览表</w:t>
      </w:r>
    </w:p>
    <w:tbl>
      <w:tblPr>
        <w:tblStyle w:val="20"/>
        <w:tblW w:w="5000" w:type="pct"/>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033"/>
        <w:gridCol w:w="1732"/>
        <w:gridCol w:w="1478"/>
        <w:gridCol w:w="286"/>
        <w:gridCol w:w="3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trPr>
        <w:tc>
          <w:tcPr>
            <w:tcW w:w="736"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sz w:val="21"/>
                <w:szCs w:val="21"/>
              </w:rPr>
              <w:t>序号</w:t>
            </w:r>
          </w:p>
        </w:tc>
        <w:tc>
          <w:tcPr>
            <w:tcW w:w="2763" w:type="dxa"/>
            <w:gridSpan w:val="2"/>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名称</w:t>
            </w:r>
          </w:p>
        </w:tc>
        <w:tc>
          <w:tcPr>
            <w:tcW w:w="161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数量（栋/套）</w:t>
            </w:r>
          </w:p>
        </w:tc>
        <w:tc>
          <w:tcPr>
            <w:tcW w:w="3410" w:type="dxa"/>
            <w:gridSpan w:val="2"/>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建筑面积（m</w:t>
            </w:r>
            <w:r>
              <w:rPr>
                <w:rFonts w:hint="default" w:ascii="Times New Roman" w:hAnsi="Times New Roman" w:eastAsia="宋体" w:cs="Times New Roman"/>
                <w:b/>
                <w:sz w:val="21"/>
                <w:szCs w:val="21"/>
                <w:vertAlign w:val="superscript"/>
              </w:rPr>
              <w:t>2</w:t>
            </w:r>
            <w:r>
              <w:rPr>
                <w:rFonts w:hint="default" w:ascii="Times New Roman" w:hAnsi="Times New Roman" w:eastAsia="宋体" w:cs="Times New Roman"/>
                <w:b/>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1031" w:type="dxa"/>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主体工程</w:t>
            </w: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配怀舍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分娩舍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保育舍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育肥舍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公猪舍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后备母猪舍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1031" w:type="dxa"/>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辅助工程</w:t>
            </w: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办公楼</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宿舍</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kern w:val="0"/>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仓库</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食堂</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饲料塔</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门卫室</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维修间</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雾化消毒大棚</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配电间</w:t>
            </w:r>
          </w:p>
        </w:tc>
        <w:tc>
          <w:tcPr>
            <w:tcW w:w="1613"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410"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1031" w:type="dxa"/>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排水系统</w:t>
            </w:r>
          </w:p>
        </w:tc>
        <w:tc>
          <w:tcPr>
            <w:tcW w:w="5023" w:type="dxa"/>
            <w:gridSpan w:val="3"/>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雨污分流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供电系统</w:t>
            </w:r>
          </w:p>
        </w:tc>
        <w:tc>
          <w:tcPr>
            <w:tcW w:w="5023" w:type="dxa"/>
            <w:gridSpan w:val="3"/>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市政电网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通风系统</w:t>
            </w:r>
          </w:p>
        </w:tc>
        <w:tc>
          <w:tcPr>
            <w:tcW w:w="5023" w:type="dxa"/>
            <w:gridSpan w:val="3"/>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设置抽风换气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32"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道路</w:t>
            </w:r>
          </w:p>
        </w:tc>
        <w:tc>
          <w:tcPr>
            <w:tcW w:w="5023" w:type="dxa"/>
            <w:gridSpan w:val="3"/>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4000m</w:t>
            </w:r>
            <w:r>
              <w:rPr>
                <w:rFonts w:hint="default" w:ascii="Times New Roman" w:hAnsi="Times New Roman" w:eastAsia="宋体"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1031" w:type="dxa"/>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环保工程</w:t>
            </w:r>
          </w:p>
        </w:tc>
        <w:tc>
          <w:tcPr>
            <w:tcW w:w="1732" w:type="dxa"/>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粪污处理系统</w:t>
            </w:r>
          </w:p>
        </w:tc>
        <w:tc>
          <w:tcPr>
            <w:tcW w:w="1763"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集污池</w:t>
            </w:r>
          </w:p>
        </w:tc>
        <w:tc>
          <w:tcPr>
            <w:tcW w:w="3260"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占地250m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，容积约1000m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color w:val="auto"/>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63" w:type="dxa"/>
            <w:gridSpan w:val="2"/>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异位发酵床</w:t>
            </w:r>
          </w:p>
        </w:tc>
        <w:tc>
          <w:tcPr>
            <w:tcW w:w="3260"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占地700m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，容积约1400m</w:t>
            </w:r>
            <w:r>
              <w:rPr>
                <w:rFonts w:hint="default" w:ascii="Times New Roman" w:hAnsi="Times New Roman" w:eastAsia="宋体" w:cs="Times New Roman"/>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63" w:type="dxa"/>
            <w:gridSpan w:val="2"/>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干粪棚</w:t>
            </w:r>
          </w:p>
        </w:tc>
        <w:tc>
          <w:tcPr>
            <w:tcW w:w="3260"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占地75m</w:t>
            </w:r>
            <w:r>
              <w:rPr>
                <w:rFonts w:hint="default" w:ascii="Times New Roman" w:hAnsi="Times New Roman" w:eastAsia="宋体"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vMerge w:val="restart"/>
            <w:tcBorders>
              <w:top w:val="nil"/>
              <w:left w:val="single" w:color="auto" w:sz="4" w:space="0"/>
              <w:bottom w:val="single" w:color="auto" w:sz="4" w:space="0"/>
              <w:right w:val="single" w:color="auto" w:sz="4" w:space="0"/>
            </w:tcBorders>
            <w:vAlign w:val="center"/>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1763" w:type="dxa"/>
            <w:gridSpan w:val="2"/>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生产废水、生活污水</w:t>
            </w:r>
          </w:p>
        </w:tc>
        <w:tc>
          <w:tcPr>
            <w:tcW w:w="3260"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黑膜沼气池占地702m</w:t>
            </w:r>
            <w:r>
              <w:rPr>
                <w:rFonts w:hint="default" w:ascii="Times New Roman" w:hAnsi="Times New Roman" w:eastAsia="宋体"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vMerge w:val="continue"/>
            <w:tcBorders>
              <w:top w:val="nil"/>
              <w:left w:val="single" w:color="auto" w:sz="4" w:space="0"/>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8433" w:type="dxa"/>
            <w:gridSpan w:val="2"/>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260"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生化系统764m</w:t>
            </w:r>
            <w:r>
              <w:rPr>
                <w:rFonts w:hint="default" w:ascii="Times New Roman" w:hAnsi="Times New Roman" w:eastAsia="宋体" w:cs="Times New Roman"/>
                <w:color w:val="auto"/>
                <w:sz w:val="21"/>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vAlign w:val="center"/>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kern w:val="0"/>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gridSpan w:val="3"/>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废气处理工程</w:t>
            </w:r>
          </w:p>
        </w:tc>
        <w:tc>
          <w:tcPr>
            <w:tcW w:w="3260"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①调整猪只饲料配方，加强场区绿化；</w:t>
            </w:r>
          </w:p>
          <w:p>
            <w:pPr>
              <w:spacing w:before="0" w:beforeLines="0"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②食堂油烟经抽油烟机收集后通过高效油烟装置处理；</w:t>
            </w:r>
          </w:p>
          <w:p>
            <w:pPr>
              <w:spacing w:before="0" w:beforeLines="0"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③加强猪舍通风，可有效降低养殖场臭气</w:t>
            </w:r>
          </w:p>
          <w:p>
            <w:pPr>
              <w:pStyle w:val="4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④沼气燃烧前采用脱硫剂脱硫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gridSpan w:val="3"/>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固废防治工程</w:t>
            </w:r>
          </w:p>
        </w:tc>
        <w:tc>
          <w:tcPr>
            <w:tcW w:w="3260"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both"/>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rPr>
              <w:t>①粪便部分采用“异位发酵床”工艺处理，制成有机肥料外售，部分和废水处理站污泥经固液分离后外售至仁化县和而友生态农业有限公司制成有机肥产品；</w:t>
            </w:r>
          </w:p>
          <w:p>
            <w:pPr>
              <w:spacing w:before="0" w:beforeLines="0"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②病死猪采用“高温生物降解处理”无害化处置；</w:t>
            </w:r>
          </w:p>
          <w:p>
            <w:pPr>
              <w:spacing w:before="0" w:beforeLines="0" w:line="240" w:lineRule="auto"/>
              <w:ind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③生活垃圾由环卫部门定期清运</w:t>
            </w:r>
          </w:p>
          <w:p>
            <w:pPr>
              <w:spacing w:before="0" w:beforeLines="0" w:line="240" w:lineRule="auto"/>
              <w:ind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④废脱硫剂由厂家更换回收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tcBorders>
              <w:top w:val="single" w:color="auto" w:sz="4" w:space="0"/>
              <w:left w:val="single" w:color="auto" w:sz="4" w:space="0"/>
              <w:bottom w:val="single" w:color="auto" w:sz="4" w:space="0"/>
              <w:right w:val="single" w:color="auto" w:sz="4" w:space="0"/>
            </w:tcBorders>
          </w:tcPr>
          <w:p>
            <w:pPr>
              <w:numPr>
                <w:ilvl w:val="0"/>
                <w:numId w:val="1"/>
              </w:numPr>
              <w:spacing w:before="0" w:beforeLines="0" w:line="240" w:lineRule="auto"/>
              <w:ind w:left="0" w:leftChars="0" w:firstLine="0" w:firstLineChars="0"/>
              <w:jc w:val="center"/>
              <w:rPr>
                <w:rFonts w:hint="default" w:ascii="Times New Roman" w:hAnsi="Times New Roman" w:eastAsia="宋体" w:cs="Times New Roman"/>
                <w:sz w:val="21"/>
                <w:szCs w:val="21"/>
              </w:rPr>
            </w:pPr>
          </w:p>
        </w:tc>
        <w:tc>
          <w:tcPr>
            <w:tcW w:w="2763"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rPr>
                <w:rFonts w:hint="default" w:ascii="Times New Roman" w:hAnsi="Times New Roman" w:eastAsia="宋体" w:cs="Times New Roman"/>
                <w:sz w:val="21"/>
                <w:szCs w:val="21"/>
              </w:rPr>
            </w:pPr>
          </w:p>
        </w:tc>
        <w:tc>
          <w:tcPr>
            <w:tcW w:w="3495" w:type="dxa"/>
            <w:gridSpan w:val="3"/>
            <w:tcBorders>
              <w:top w:val="single" w:color="auto" w:sz="4" w:space="0"/>
              <w:left w:val="nil"/>
              <w:bottom w:val="single" w:color="auto" w:sz="4" w:space="0"/>
              <w:right w:val="single" w:color="auto" w:sz="4" w:space="0"/>
            </w:tcBorders>
          </w:tcPr>
          <w:p>
            <w:pPr>
              <w:spacing w:before="0" w:beforeLines="0" w:line="240" w:lineRule="auto"/>
              <w:ind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环境风险措施</w:t>
            </w:r>
          </w:p>
        </w:tc>
        <w:tc>
          <w:tcPr>
            <w:tcW w:w="3260" w:type="dxa"/>
            <w:tcBorders>
              <w:top w:val="single" w:color="auto" w:sz="4" w:space="0"/>
              <w:left w:val="nil"/>
              <w:bottom w:val="single" w:color="auto" w:sz="4" w:space="0"/>
              <w:right w:val="single" w:color="auto" w:sz="4" w:space="0"/>
            </w:tcBorders>
          </w:tcPr>
          <w:p>
            <w:pPr>
              <w:spacing w:before="0" w:beforeLines="0" w:line="240" w:lineRule="auto"/>
              <w:ind w:firstLine="0" w:firstLineChars="0"/>
              <w:jc w:val="both"/>
              <w:rPr>
                <w:rFonts w:hint="default" w:ascii="Times New Roman" w:hAnsi="Times New Roman" w:eastAsia="宋体" w:cs="Times New Roman"/>
                <w:color w:val="auto"/>
                <w:sz w:val="21"/>
                <w:szCs w:val="21"/>
                <w:vertAlign w:val="superscript"/>
              </w:rPr>
            </w:pPr>
            <w:r>
              <w:rPr>
                <w:rFonts w:hint="default" w:ascii="Times New Roman" w:hAnsi="Times New Roman" w:eastAsia="宋体" w:cs="Times New Roman"/>
                <w:color w:val="auto"/>
                <w:sz w:val="21"/>
                <w:szCs w:val="21"/>
              </w:rPr>
              <w:t>①设置事故应急池</w:t>
            </w:r>
            <w:r>
              <w:rPr>
                <w:rFonts w:hint="eastAsia" w:ascii="Times New Roman" w:hAnsi="Times New Roman" w:cs="Times New Roman"/>
                <w:color w:val="auto"/>
                <w:sz w:val="21"/>
                <w:szCs w:val="21"/>
                <w:lang w:eastAsia="zh-CN"/>
              </w:rPr>
              <w:t>，</w:t>
            </w:r>
            <w:r>
              <w:rPr>
                <w:rFonts w:hint="default" w:ascii="Times New Roman" w:hAnsi="Times New Roman" w:eastAsia="宋体" w:cs="Times New Roman"/>
                <w:color w:val="auto"/>
                <w:sz w:val="21"/>
                <w:szCs w:val="21"/>
              </w:rPr>
              <w:t>占地100m</w:t>
            </w:r>
            <w:r>
              <w:rPr>
                <w:rFonts w:hint="default" w:ascii="Times New Roman" w:hAnsi="Times New Roman" w:eastAsia="宋体" w:cs="Times New Roman"/>
                <w:color w:val="auto"/>
                <w:sz w:val="21"/>
                <w:szCs w:val="21"/>
                <w:vertAlign w:val="superscript"/>
              </w:rPr>
              <w:t>2</w:t>
            </w:r>
            <w:r>
              <w:rPr>
                <w:rFonts w:hint="default" w:ascii="Times New Roman" w:hAnsi="Times New Roman" w:eastAsia="宋体" w:cs="Times New Roman"/>
                <w:color w:val="auto"/>
                <w:sz w:val="21"/>
                <w:szCs w:val="21"/>
              </w:rPr>
              <w:t>，容积400m</w:t>
            </w:r>
            <w:r>
              <w:rPr>
                <w:rFonts w:hint="default" w:ascii="Times New Roman" w:hAnsi="Times New Roman" w:eastAsia="宋体" w:cs="Times New Roman"/>
                <w:color w:val="auto"/>
                <w:sz w:val="21"/>
                <w:szCs w:val="21"/>
                <w:vertAlign w:val="superscript"/>
              </w:rPr>
              <w:t>3</w:t>
            </w:r>
          </w:p>
          <w:p>
            <w:pPr>
              <w:spacing w:before="0" w:beforeLines="0" w:line="240" w:lineRule="auto"/>
              <w:ind w:firstLine="0" w:firstLineChars="0"/>
              <w:jc w:val="both"/>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②落实基础防渗，设置消防沙</w:t>
            </w:r>
          </w:p>
        </w:tc>
      </w:tr>
    </w:tbl>
    <w:p>
      <w:pPr>
        <w:pStyle w:val="2"/>
        <w:spacing w:before="163"/>
        <w:ind w:left="480"/>
        <w:rPr>
          <w:rFonts w:hint="eastAsia"/>
        </w:rPr>
      </w:pPr>
    </w:p>
    <w:p>
      <w:pPr>
        <w:pStyle w:val="48"/>
        <w:spacing w:before="0" w:beforeLines="0" w:after="0" w:afterLines="0"/>
        <w:outlineLvl w:val="1"/>
        <w:rPr>
          <w:rFonts w:ascii="Times New Roman" w:hAnsi="Times New Roman"/>
          <w:color w:val="auto"/>
        </w:rPr>
      </w:pPr>
      <w:bookmarkStart w:id="5" w:name="_Toc19136"/>
      <w:r>
        <w:rPr>
          <w:rFonts w:ascii="Times New Roman" w:hAnsi="Times New Roman"/>
          <w:color w:val="auto"/>
        </w:rPr>
        <w:t>2.3环境保护目标</w:t>
      </w:r>
      <w:bookmarkEnd w:id="5"/>
    </w:p>
    <w:p>
      <w:pPr>
        <w:spacing w:before="163"/>
        <w:ind w:firstLine="0" w:firstLineChars="0"/>
        <w:jc w:val="center"/>
        <w:textAlignment w:val="baseline"/>
        <w:rPr>
          <w:rFonts w:ascii="Times New Roman" w:hAnsi="Times New Roman"/>
          <w:color w:val="auto"/>
          <w:kern w:val="0"/>
          <w:szCs w:val="24"/>
        </w:rPr>
      </w:pPr>
      <w:r>
        <w:rPr>
          <w:rFonts w:ascii="Times New Roman" w:hAnsi="Times New Roman"/>
          <w:color w:val="auto"/>
          <w:kern w:val="0"/>
          <w:szCs w:val="24"/>
        </w:rPr>
        <w:t>表2.3-1  主要环境保护敏感目标</w:t>
      </w:r>
    </w:p>
    <w:tbl>
      <w:tblPr>
        <w:tblStyle w:val="2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32"/>
        <w:gridCol w:w="1669"/>
        <w:gridCol w:w="995"/>
        <w:gridCol w:w="1133"/>
        <w:gridCol w:w="988"/>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sz w:val="21"/>
                <w:szCs w:val="21"/>
              </w:rPr>
              <w:t>序号</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村庄</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与本项目边界距离（m）</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方位</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人口规模（人）</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影响</w:t>
            </w:r>
          </w:p>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因素</w:t>
            </w:r>
          </w:p>
        </w:tc>
        <w:tc>
          <w:tcPr>
            <w:tcW w:w="1330"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保护目标及等级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bookmarkStart w:id="6" w:name="_Hlk70001313"/>
            <w:r>
              <w:rPr>
                <w:rFonts w:hint="default" w:ascii="Times New Roman" w:hAnsi="Times New Roman" w:eastAsia="宋体" w:cs="Times New Roman"/>
                <w:bCs/>
                <w:sz w:val="21"/>
                <w:szCs w:val="21"/>
              </w:rPr>
              <w:t>1</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上下岭村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2782</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restart"/>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大气环境二级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新排村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2692</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bookmarkStart w:id="7" w:name="_Hlk70001097"/>
            <w:r>
              <w:rPr>
                <w:rFonts w:hint="default" w:ascii="Times New Roman" w:hAnsi="Times New Roman" w:eastAsia="宋体" w:cs="Times New Roman"/>
                <w:bCs/>
                <w:sz w:val="21"/>
                <w:szCs w:val="21"/>
              </w:rPr>
              <w:t>3</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杨公坑村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503</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bookmarkEnd w:id="7"/>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撑仕岭村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2239</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排子村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1782</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bookmarkStart w:id="8" w:name="_Hlk70001110"/>
            <w:r>
              <w:rPr>
                <w:rFonts w:hint="default" w:ascii="Times New Roman" w:hAnsi="Times New Roman" w:eastAsia="宋体" w:cs="Times New Roman"/>
                <w:bCs/>
                <w:sz w:val="21"/>
                <w:szCs w:val="21"/>
              </w:rPr>
              <w:t>6</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亚丫丘村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756</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bookmarkEnd w:id="8"/>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西林村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2363</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左村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val="en-US" w:eastAsia="zh-CN"/>
              </w:rPr>
              <w:t>2</w:t>
            </w:r>
            <w:r>
              <w:rPr>
                <w:rFonts w:hint="default" w:ascii="Times New Roman" w:hAnsi="Times New Roman" w:eastAsia="宋体" w:cs="Times New Roman"/>
                <w:sz w:val="21"/>
                <w:szCs w:val="21"/>
              </w:rPr>
              <w:t>155</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9</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新余屋村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1400</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300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10</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左岭村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2164</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11</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lang w:val="en-US" w:eastAsia="zh-CN"/>
              </w:rPr>
              <w:t>下侯</w:t>
            </w:r>
            <w:r>
              <w:rPr>
                <w:rFonts w:hint="default" w:ascii="Times New Roman" w:hAnsi="Times New Roman" w:eastAsia="宋体" w:cs="Times New Roman"/>
                <w:sz w:val="21"/>
                <w:szCs w:val="21"/>
              </w:rPr>
              <w:t>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1184</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西南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bookmarkStart w:id="9" w:name="_Hlk70001118"/>
            <w:r>
              <w:rPr>
                <w:rFonts w:hint="default" w:ascii="Times New Roman" w:hAnsi="Times New Roman" w:eastAsia="宋体" w:cs="Times New Roman"/>
                <w:bCs/>
                <w:sz w:val="21"/>
                <w:szCs w:val="21"/>
              </w:rPr>
              <w:t>12</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东岗岭村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bookmarkStart w:id="10" w:name="OLE_LINK5"/>
            <w:r>
              <w:rPr>
                <w:rFonts w:hint="default" w:ascii="Times New Roman" w:hAnsi="Times New Roman" w:eastAsia="宋体" w:cs="Times New Roman"/>
                <w:sz w:val="21"/>
                <w:szCs w:val="21"/>
              </w:rPr>
              <w:t>580</w:t>
            </w:r>
            <w:bookmarkEnd w:id="10"/>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300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bookmarkEnd w:id="9"/>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13</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黄屋村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1157</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14</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丈古岭村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2047</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15</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范屋</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1871</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16</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石背村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2132</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17</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岩口村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1397</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18</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松树下村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1100</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19</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石峰村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1956</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200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20</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瑶头村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1533</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东南</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50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bookmarkStart w:id="11" w:name="_Hlk70001138"/>
            <w:r>
              <w:rPr>
                <w:rFonts w:hint="default" w:ascii="Times New Roman" w:hAnsi="Times New Roman" w:eastAsia="宋体" w:cs="Times New Roman"/>
                <w:bCs/>
                <w:sz w:val="21"/>
                <w:szCs w:val="21"/>
              </w:rPr>
              <w:t>21</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古子墩村</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609</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东</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sz w:val="21"/>
                <w:szCs w:val="21"/>
              </w:rPr>
              <w:t>100</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废气</w:t>
            </w:r>
          </w:p>
        </w:tc>
        <w:tc>
          <w:tcPr>
            <w:tcW w:w="1330" w:type="dxa"/>
            <w:vMerge w:val="continue"/>
            <w:tcBorders>
              <w:top w:val="nil"/>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p>
        </w:tc>
      </w:tr>
      <w:bookmarkEnd w:id="6"/>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5" w:type="dxa"/>
            <w:tcBorders>
              <w:top w:val="single" w:color="auto" w:sz="4" w:space="0"/>
              <w:left w:val="single" w:color="auto" w:sz="4" w:space="0"/>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22</w:t>
            </w:r>
          </w:p>
        </w:tc>
        <w:tc>
          <w:tcPr>
            <w:tcW w:w="1532"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红旗渠</w:t>
            </w:r>
          </w:p>
        </w:tc>
        <w:tc>
          <w:tcPr>
            <w:tcW w:w="1669"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390</w:t>
            </w:r>
          </w:p>
        </w:tc>
        <w:tc>
          <w:tcPr>
            <w:tcW w:w="995"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南面</w:t>
            </w:r>
          </w:p>
        </w:tc>
        <w:tc>
          <w:tcPr>
            <w:tcW w:w="1133"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988"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废水</w:t>
            </w:r>
          </w:p>
        </w:tc>
        <w:tc>
          <w:tcPr>
            <w:tcW w:w="1330" w:type="dxa"/>
            <w:tcBorders>
              <w:top w:val="single" w:color="auto" w:sz="4" w:space="0"/>
              <w:left w:val="nil"/>
              <w:bottom w:val="single" w:color="auto" w:sz="4" w:space="0"/>
              <w:right w:val="single" w:color="auto" w:sz="4" w:space="0"/>
            </w:tcBorders>
            <w:vAlign w:val="center"/>
          </w:tcPr>
          <w:p>
            <w:pPr>
              <w:spacing w:before="0" w:beforeLines="0" w:line="240" w:lineRule="auto"/>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地表水Ⅲ类</w:t>
            </w:r>
          </w:p>
        </w:tc>
      </w:tr>
    </w:tbl>
    <w:p>
      <w:pPr>
        <w:rPr>
          <w:rFonts w:ascii="Times New Roman" w:hAnsi="Times New Roman"/>
          <w:color w:val="auto"/>
        </w:rPr>
      </w:pPr>
      <w:r>
        <w:rPr>
          <w:rFonts w:ascii="Times New Roman" w:hAnsi="Times New Roman"/>
          <w:color w:val="auto"/>
        </w:rPr>
        <w:br w:type="page"/>
      </w:r>
    </w:p>
    <w:p>
      <w:pPr>
        <w:pStyle w:val="46"/>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outlineLvl w:val="0"/>
        <w:rPr>
          <w:rFonts w:ascii="Times New Roman" w:hAnsi="Times New Roman"/>
          <w:color w:val="auto"/>
        </w:rPr>
      </w:pPr>
      <w:bookmarkStart w:id="12" w:name="_Toc20839"/>
      <w:r>
        <w:rPr>
          <w:rFonts w:ascii="Times New Roman" w:hAnsi="Times New Roman"/>
          <w:color w:val="auto"/>
        </w:rPr>
        <w:t>3、首次环境影响评价信息公开情况</w:t>
      </w:r>
      <w:bookmarkEnd w:id="12"/>
    </w:p>
    <w:p>
      <w:pPr>
        <w:pStyle w:val="48"/>
        <w:keepNext w:val="0"/>
        <w:keepLines w:val="0"/>
        <w:pageBreakBefore w:val="0"/>
        <w:widowControl w:val="0"/>
        <w:kinsoku/>
        <w:wordWrap/>
        <w:overflowPunct/>
        <w:topLinePunct w:val="0"/>
        <w:autoSpaceDE/>
        <w:autoSpaceDN/>
        <w:bidi w:val="0"/>
        <w:adjustRightInd/>
        <w:snapToGrid/>
        <w:spacing w:before="0" w:beforeLines="0" w:after="0" w:afterLines="0" w:line="240" w:lineRule="auto"/>
        <w:textAlignment w:val="auto"/>
        <w:outlineLvl w:val="1"/>
        <w:rPr>
          <w:rFonts w:ascii="Times New Roman" w:hAnsi="Times New Roman"/>
          <w:color w:val="auto"/>
        </w:rPr>
      </w:pPr>
      <w:bookmarkStart w:id="13" w:name="_Toc27026"/>
      <w:r>
        <w:rPr>
          <w:rFonts w:ascii="Times New Roman" w:hAnsi="Times New Roman"/>
          <w:color w:val="auto"/>
        </w:rPr>
        <w:t>3.1公开内容和日期</w:t>
      </w:r>
      <w:bookmarkEnd w:id="13"/>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建设单位于2020年</w:t>
      </w:r>
      <w:r>
        <w:rPr>
          <w:rFonts w:hint="eastAsia" w:ascii="Times New Roman" w:hAnsi="Times New Roman"/>
          <w:color w:val="auto"/>
        </w:rPr>
        <w:t>4</w:t>
      </w:r>
      <w:r>
        <w:rPr>
          <w:rFonts w:ascii="Times New Roman" w:hAnsi="Times New Roman"/>
          <w:color w:val="auto"/>
        </w:rPr>
        <w:t>月</w:t>
      </w:r>
      <w:r>
        <w:rPr>
          <w:rFonts w:hint="eastAsia" w:ascii="Times New Roman" w:hAnsi="Times New Roman"/>
          <w:color w:val="auto"/>
        </w:rPr>
        <w:t>2</w:t>
      </w:r>
      <w:r>
        <w:rPr>
          <w:rFonts w:hint="eastAsia" w:ascii="Times New Roman" w:hAnsi="Times New Roman"/>
          <w:color w:val="auto"/>
          <w:lang w:val="en-US" w:eastAsia="zh-CN"/>
        </w:rPr>
        <w:t>1</w:t>
      </w:r>
      <w:r>
        <w:rPr>
          <w:rFonts w:ascii="Times New Roman" w:hAnsi="Times New Roman"/>
          <w:color w:val="auto"/>
        </w:rPr>
        <w:t>日在韶关市生态环境局公众网以通知公告的形式</w:t>
      </w:r>
      <w:r>
        <w:rPr>
          <w:rFonts w:hint="eastAsia" w:ascii="Times New Roman" w:hAnsi="Times New Roman"/>
          <w:color w:val="auto"/>
        </w:rPr>
        <w:t>公示</w:t>
      </w:r>
      <w:r>
        <w:rPr>
          <w:rFonts w:ascii="Times New Roman" w:hAnsi="Times New Roman"/>
          <w:color w:val="auto"/>
        </w:rPr>
        <w:t>了该项目的基本情况，网上向公众公告的信息包括：</w:t>
      </w:r>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1）建设项目情况概述；</w:t>
      </w:r>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2）环境影响评价工作程序和主要工作内容；</w:t>
      </w:r>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3）建设单位名称及联系方式；</w:t>
      </w:r>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4）承担环境影响评价机构名称及联系方式；</w:t>
      </w:r>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5）征求公众意见的范围和主要事项；</w:t>
      </w:r>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6）公众提出意见的主要方式。</w:t>
      </w:r>
    </w:p>
    <w:p>
      <w:pPr>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pPr>
      <w:r>
        <w:drawing>
          <wp:inline distT="0" distB="0" distL="0" distR="0">
            <wp:extent cx="5045075" cy="3319145"/>
            <wp:effectExtent l="0" t="0" r="9525" b="8255"/>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noChangeArrowheads="1"/>
                    </pic:cNvPicPr>
                  </pic:nvPicPr>
                  <pic:blipFill>
                    <a:blip r:embed="rId14" cstate="print">
                      <a:extLst>
                        <a:ext uri="{28A0092B-C50C-407E-A947-70E740481C1C}">
                          <a14:useLocalDpi xmlns:a14="http://schemas.microsoft.com/office/drawing/2010/main" val="0"/>
                        </a:ext>
                      </a:extLst>
                    </a:blip>
                    <a:srcRect t="1408" b="31620"/>
                    <a:stretch>
                      <a:fillRect/>
                    </a:stretch>
                  </pic:blipFill>
                  <pic:spPr>
                    <a:xfrm>
                      <a:off x="0" y="0"/>
                      <a:ext cx="5045075" cy="33191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line="240" w:lineRule="auto"/>
        <w:ind w:firstLine="0" w:firstLineChars="0"/>
        <w:jc w:val="center"/>
        <w:textAlignment w:val="auto"/>
        <w:rPr>
          <w:rFonts w:ascii="Times New Roman" w:hAnsi="Times New Roman"/>
          <w:color w:val="auto"/>
        </w:rPr>
      </w:pPr>
      <w:r>
        <w:rPr>
          <w:rFonts w:ascii="Times New Roman" w:hAnsi="Times New Roman"/>
          <w:color w:val="auto"/>
          <w:kern w:val="0"/>
          <w:szCs w:val="24"/>
        </w:rPr>
        <w:t>图3-1  公众参与第一次网上公示截图</w:t>
      </w:r>
    </w:p>
    <w:p>
      <w:pPr>
        <w:pStyle w:val="48"/>
        <w:spacing w:before="0" w:beforeLines="0" w:after="0" w:afterLines="0"/>
        <w:outlineLvl w:val="1"/>
        <w:rPr>
          <w:rFonts w:ascii="Times New Roman" w:hAnsi="Times New Roman"/>
          <w:color w:val="auto"/>
        </w:rPr>
      </w:pPr>
      <w:bookmarkStart w:id="14" w:name="_Toc30752"/>
      <w:r>
        <w:rPr>
          <w:rFonts w:ascii="Times New Roman" w:hAnsi="Times New Roman"/>
          <w:color w:val="auto"/>
        </w:rPr>
        <w:t>3.2公众意见情况</w:t>
      </w:r>
      <w:bookmarkEnd w:id="14"/>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建设单位及环评单位在首次环境影响评价信息公开期间未受到公众对该项目的意见反馈。</w:t>
      </w:r>
    </w:p>
    <w:p>
      <w:pPr>
        <w:rPr>
          <w:rFonts w:ascii="Times New Roman" w:hAnsi="Times New Roman"/>
          <w:color w:val="auto"/>
        </w:rPr>
      </w:pPr>
      <w:r>
        <w:rPr>
          <w:rFonts w:ascii="Times New Roman" w:hAnsi="Times New Roman"/>
          <w:color w:val="auto"/>
        </w:rPr>
        <w:br w:type="page"/>
      </w:r>
    </w:p>
    <w:p>
      <w:pPr>
        <w:pStyle w:val="46"/>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0"/>
        <w:rPr>
          <w:rFonts w:ascii="Times New Roman" w:hAnsi="Times New Roman"/>
          <w:color w:val="auto"/>
        </w:rPr>
      </w:pPr>
      <w:bookmarkStart w:id="15" w:name="_Toc29943"/>
      <w:r>
        <w:rPr>
          <w:rFonts w:ascii="Times New Roman" w:hAnsi="Times New Roman"/>
          <w:color w:val="auto"/>
        </w:rPr>
        <w:t>4、征求意见稿公示情况</w:t>
      </w:r>
      <w:bookmarkEnd w:id="15"/>
    </w:p>
    <w:p>
      <w:pPr>
        <w:pStyle w:val="48"/>
        <w:keepNext w:val="0"/>
        <w:keepLines w:val="0"/>
        <w:pageBreakBefore w:val="0"/>
        <w:widowControl w:val="0"/>
        <w:kinsoku/>
        <w:wordWrap/>
        <w:overflowPunct/>
        <w:topLinePunct w:val="0"/>
        <w:autoSpaceDE/>
        <w:autoSpaceDN/>
        <w:bidi w:val="0"/>
        <w:adjustRightInd/>
        <w:snapToGrid/>
        <w:spacing w:before="0" w:beforeLines="0" w:after="0" w:afterLines="0"/>
        <w:textAlignment w:val="auto"/>
        <w:outlineLvl w:val="1"/>
        <w:rPr>
          <w:rFonts w:ascii="Times New Roman" w:hAnsi="Times New Roman"/>
          <w:color w:val="auto"/>
        </w:rPr>
      </w:pPr>
      <w:bookmarkStart w:id="16" w:name="_Toc15326"/>
      <w:r>
        <w:rPr>
          <w:rFonts w:ascii="Times New Roman" w:hAnsi="Times New Roman"/>
          <w:color w:val="auto"/>
        </w:rPr>
        <w:t>4.1公示内容及时限</w:t>
      </w:r>
      <w:bookmarkEnd w:id="16"/>
    </w:p>
    <w:p>
      <w:pPr>
        <w:keepNext w:val="0"/>
        <w:keepLines w:val="0"/>
        <w:pageBreakBefore w:val="0"/>
        <w:widowControl w:val="0"/>
        <w:kinsoku/>
        <w:wordWrap/>
        <w:overflowPunct/>
        <w:topLinePunct w:val="0"/>
        <w:autoSpaceDE/>
        <w:autoSpaceDN/>
        <w:bidi w:val="0"/>
        <w:adjustRightInd/>
        <w:snapToGrid/>
        <w:spacing w:before="0" w:beforeLines="0"/>
        <w:ind w:firstLine="480"/>
        <w:jc w:val="both"/>
        <w:textAlignment w:val="auto"/>
        <w:rPr>
          <w:rFonts w:ascii="Times New Roman" w:hAnsi="Times New Roman"/>
          <w:color w:val="auto"/>
        </w:rPr>
      </w:pPr>
      <w:r>
        <w:rPr>
          <w:rFonts w:ascii="Times New Roman" w:hAnsi="Times New Roman"/>
          <w:color w:val="auto"/>
        </w:rPr>
        <w:t>建设单位于202</w:t>
      </w:r>
      <w:r>
        <w:rPr>
          <w:rFonts w:hint="eastAsia" w:ascii="Times New Roman" w:hAnsi="Times New Roman"/>
          <w:color w:val="auto"/>
        </w:rPr>
        <w:t>1</w:t>
      </w:r>
      <w:r>
        <w:rPr>
          <w:rFonts w:ascii="Times New Roman" w:hAnsi="Times New Roman"/>
          <w:color w:val="auto"/>
        </w:rPr>
        <w:t>年</w:t>
      </w:r>
      <w:r>
        <w:rPr>
          <w:rFonts w:hint="eastAsia" w:ascii="Times New Roman" w:hAnsi="Times New Roman"/>
          <w:color w:val="auto"/>
        </w:rPr>
        <w:t>4</w:t>
      </w:r>
      <w:r>
        <w:rPr>
          <w:rFonts w:ascii="Times New Roman" w:hAnsi="Times New Roman"/>
          <w:color w:val="auto"/>
        </w:rPr>
        <w:t>月</w:t>
      </w:r>
      <w:r>
        <w:rPr>
          <w:rFonts w:hint="eastAsia" w:ascii="Times New Roman" w:hAnsi="Times New Roman"/>
          <w:color w:val="auto"/>
        </w:rPr>
        <w:t>02</w:t>
      </w:r>
      <w:r>
        <w:rPr>
          <w:rFonts w:ascii="Times New Roman" w:hAnsi="Times New Roman"/>
          <w:color w:val="auto"/>
        </w:rPr>
        <w:t>日～202</w:t>
      </w:r>
      <w:r>
        <w:rPr>
          <w:rFonts w:hint="eastAsia" w:ascii="Times New Roman" w:hAnsi="Times New Roman"/>
          <w:color w:val="auto"/>
        </w:rPr>
        <w:t>1</w:t>
      </w:r>
      <w:r>
        <w:rPr>
          <w:rFonts w:ascii="Times New Roman" w:hAnsi="Times New Roman"/>
          <w:color w:val="auto"/>
        </w:rPr>
        <w:t>年</w:t>
      </w:r>
      <w:r>
        <w:rPr>
          <w:rFonts w:hint="eastAsia" w:ascii="Times New Roman" w:hAnsi="Times New Roman"/>
          <w:color w:val="auto"/>
        </w:rPr>
        <w:t>4</w:t>
      </w:r>
      <w:r>
        <w:rPr>
          <w:rFonts w:ascii="Times New Roman" w:hAnsi="Times New Roman"/>
          <w:color w:val="auto"/>
        </w:rPr>
        <w:t>月</w:t>
      </w:r>
      <w:r>
        <w:rPr>
          <w:rFonts w:hint="eastAsia" w:ascii="Times New Roman" w:hAnsi="Times New Roman"/>
          <w:color w:val="auto"/>
        </w:rPr>
        <w:t>15</w:t>
      </w:r>
      <w:r>
        <w:rPr>
          <w:rFonts w:ascii="Times New Roman" w:hAnsi="Times New Roman"/>
          <w:color w:val="auto"/>
        </w:rPr>
        <w:t>日（共十个工作日）在核工业二九〇研究所微信公众号</w:t>
      </w:r>
      <w:r>
        <w:rPr>
          <w:rFonts w:hint="eastAsia" w:ascii="Times New Roman" w:hAnsi="Times New Roman"/>
          <w:color w:val="auto"/>
          <w:lang w:val="en-US" w:eastAsia="zh-CN"/>
        </w:rPr>
        <w:t>发布公示</w:t>
      </w:r>
      <w:r>
        <w:rPr>
          <w:rFonts w:ascii="Times New Roman" w:hAnsi="Times New Roman"/>
          <w:color w:val="auto"/>
        </w:rPr>
        <w:t>及项目周边区域</w:t>
      </w:r>
      <w:r>
        <w:rPr>
          <w:rFonts w:ascii="Times New Roman" w:hAnsi="Times New Roman"/>
          <w:color w:val="auto"/>
          <w:highlight w:val="none"/>
        </w:rPr>
        <w:t>（</w:t>
      </w:r>
      <w:r>
        <w:rPr>
          <w:rFonts w:hint="eastAsia" w:ascii="Times New Roman" w:hAnsi="Times New Roman"/>
          <w:color w:val="auto"/>
          <w:highlight w:val="none"/>
          <w:lang w:val="en-US" w:eastAsia="zh-CN"/>
        </w:rPr>
        <w:t>东岗岭村、杨公坑村、古子墩村、亚丫丘村、松树下村、黄屋村、左岭村、下侯村</w:t>
      </w:r>
      <w:r>
        <w:rPr>
          <w:rFonts w:ascii="Times New Roman" w:hAnsi="Times New Roman"/>
          <w:color w:val="auto"/>
          <w:highlight w:val="none"/>
        </w:rPr>
        <w:t>等处）</w:t>
      </w:r>
      <w:r>
        <w:rPr>
          <w:rFonts w:ascii="Times New Roman" w:hAnsi="Times New Roman"/>
          <w:color w:val="auto"/>
        </w:rPr>
        <w:t>现场贴告示，分别在202</w:t>
      </w:r>
      <w:r>
        <w:rPr>
          <w:rFonts w:hint="eastAsia" w:ascii="Times New Roman" w:hAnsi="Times New Roman"/>
          <w:color w:val="auto"/>
          <w:lang w:val="en-US" w:eastAsia="zh-CN"/>
        </w:rPr>
        <w:t>1</w:t>
      </w:r>
      <w:r>
        <w:rPr>
          <w:rFonts w:ascii="Times New Roman" w:hAnsi="Times New Roman"/>
          <w:color w:val="auto"/>
        </w:rPr>
        <w:t>年</w:t>
      </w:r>
      <w:r>
        <w:rPr>
          <w:rFonts w:hint="eastAsia" w:ascii="Times New Roman" w:hAnsi="Times New Roman"/>
          <w:color w:val="auto"/>
          <w:lang w:val="en-US" w:eastAsia="zh-CN"/>
        </w:rPr>
        <w:t>4</w:t>
      </w:r>
      <w:r>
        <w:rPr>
          <w:rFonts w:ascii="Times New Roman" w:hAnsi="Times New Roman"/>
          <w:color w:val="auto"/>
        </w:rPr>
        <w:t>月0</w:t>
      </w:r>
      <w:r>
        <w:rPr>
          <w:rFonts w:hint="eastAsia" w:ascii="Times New Roman" w:hAnsi="Times New Roman"/>
          <w:color w:val="auto"/>
          <w:lang w:val="en-US" w:eastAsia="zh-CN"/>
        </w:rPr>
        <w:t>8</w:t>
      </w:r>
      <w:r>
        <w:rPr>
          <w:rFonts w:ascii="Times New Roman" w:hAnsi="Times New Roman"/>
          <w:color w:val="auto"/>
        </w:rPr>
        <w:t>日和</w:t>
      </w:r>
      <w:r>
        <w:rPr>
          <w:rFonts w:hint="eastAsia" w:ascii="Times New Roman" w:hAnsi="Times New Roman"/>
          <w:color w:val="auto"/>
          <w:lang w:val="en-US" w:eastAsia="zh-CN"/>
        </w:rPr>
        <w:t>4</w:t>
      </w:r>
      <w:r>
        <w:rPr>
          <w:rFonts w:ascii="Times New Roman" w:hAnsi="Times New Roman"/>
          <w:color w:val="auto"/>
        </w:rPr>
        <w:t>月</w:t>
      </w:r>
      <w:r>
        <w:rPr>
          <w:rFonts w:hint="eastAsia" w:ascii="Times New Roman" w:hAnsi="Times New Roman"/>
          <w:color w:val="auto"/>
          <w:lang w:val="en-US" w:eastAsia="zh-CN"/>
        </w:rPr>
        <w:t>09</w:t>
      </w:r>
      <w:r>
        <w:rPr>
          <w:rFonts w:ascii="Times New Roman" w:hAnsi="Times New Roman"/>
          <w:color w:val="auto"/>
        </w:rPr>
        <w:t>日在韶关日报上进行了两次登报公示。向公众公告的信息包括:环境影响报告书征求意见稿全文电子版及纸质版报告的获取方式和途径、征求意见的公众范围、环评报告书简本和公众意见表的网络链接、公众提出意见的方式和途径、公众提出意见的起止时间。公示主要内容及时限符合《环境影响评价公众参与办法》生态环境部令第4号（2018年7月16日）的要求。</w:t>
      </w:r>
    </w:p>
    <w:p>
      <w:pPr>
        <w:rPr>
          <w:rFonts w:ascii="Times New Roman" w:hAnsi="Times New Roman"/>
          <w:color w:val="auto"/>
        </w:rPr>
      </w:pPr>
      <w:r>
        <w:rPr>
          <w:rFonts w:ascii="Times New Roman" w:hAnsi="Times New Roman"/>
          <w:color w:val="auto"/>
        </w:rPr>
        <w:br w:type="page"/>
      </w:r>
    </w:p>
    <w:tbl>
      <w:tblPr>
        <w:tblStyle w:val="21"/>
        <w:tblW w:w="0" w:type="auto"/>
        <w:tblInd w:w="0" w:type="dxa"/>
        <w:tblBorders>
          <w:top w:val="none" w:color="auto" w:sz="0" w:space="0"/>
          <w:left w:val="none" w:color="auto" w:sz="0" w:space="0"/>
          <w:bottom w:val="none" w:color="auto" w:sz="0" w:space="0"/>
          <w:right w:val="none" w:color="auto" w:sz="0" w:space="0"/>
          <w:insideH w:val="dashSmallGap" w:color="auto" w:sz="4" w:space="0"/>
          <w:insideV w:val="dashSmallGap" w:color="auto" w:sz="4" w:space="0"/>
        </w:tblBorders>
        <w:tblLayout w:type="autofit"/>
        <w:tblCellMar>
          <w:top w:w="0" w:type="dxa"/>
          <w:left w:w="0" w:type="dxa"/>
          <w:bottom w:w="0" w:type="dxa"/>
          <w:right w:w="0" w:type="dxa"/>
        </w:tblCellMar>
      </w:tblPr>
      <w:tblGrid>
        <w:gridCol w:w="4152"/>
        <w:gridCol w:w="4159"/>
      </w:tblGrid>
      <w:tr>
        <w:tblPrEx>
          <w:tblBorders>
            <w:top w:val="none" w:color="auto" w:sz="0" w:space="0"/>
            <w:left w:val="none" w:color="auto" w:sz="0" w:space="0"/>
            <w:bottom w:val="none" w:color="auto" w:sz="0" w:space="0"/>
            <w:right w:val="none" w:color="auto" w:sz="0" w:space="0"/>
            <w:insideH w:val="dashSmallGap" w:color="auto" w:sz="4" w:space="0"/>
            <w:insideV w:val="dashSmallGap" w:color="auto" w:sz="4" w:space="0"/>
          </w:tblBorders>
          <w:tblCellMar>
            <w:top w:w="0" w:type="dxa"/>
            <w:left w:w="0" w:type="dxa"/>
            <w:bottom w:w="0" w:type="dxa"/>
            <w:right w:w="0"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0" w:beforeLines="0" w:line="240" w:lineRule="auto"/>
              <w:jc w:val="both"/>
              <w:textAlignment w:val="auto"/>
              <w:rPr>
                <w:rFonts w:ascii="Times New Roman" w:hAnsi="Times New Roman"/>
                <w:color w:val="auto"/>
                <w:vertAlign w:val="baseline"/>
              </w:rPr>
            </w:pPr>
            <w:r>
              <w:rPr>
                <w:rFonts w:ascii="Times New Roman" w:hAnsi="Times New Roman"/>
                <w:color w:val="auto"/>
              </w:rPr>
              <w:drawing>
                <wp:inline distT="0" distB="0" distL="0" distR="0">
                  <wp:extent cx="2055495" cy="4291330"/>
                  <wp:effectExtent l="0" t="0" r="190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t="6074"/>
                          <a:stretch>
                            <a:fillRect/>
                          </a:stretch>
                        </pic:blipFill>
                        <pic:spPr>
                          <a:xfrm>
                            <a:off x="0" y="0"/>
                            <a:ext cx="2055495" cy="4291330"/>
                          </a:xfrm>
                          <a:prstGeom prst="rect">
                            <a:avLst/>
                          </a:prstGeom>
                          <a:noFill/>
                          <a:ln>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0" w:beforeLines="0" w:line="240" w:lineRule="auto"/>
              <w:jc w:val="both"/>
              <w:textAlignment w:val="auto"/>
              <w:rPr>
                <w:rFonts w:ascii="Times New Roman" w:hAnsi="Times New Roman"/>
                <w:color w:val="auto"/>
                <w:vertAlign w:val="baseline"/>
              </w:rPr>
            </w:pPr>
            <w:r>
              <w:rPr>
                <w:rFonts w:ascii="Times New Roman" w:hAnsi="Times New Roman"/>
                <w:color w:val="auto"/>
              </w:rPr>
              <w:drawing>
                <wp:inline distT="0" distB="0" distL="0" distR="0">
                  <wp:extent cx="2064385" cy="4314190"/>
                  <wp:effectExtent l="0" t="0" r="12065"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cstate="print">
                            <a:extLst>
                              <a:ext uri="{28A0092B-C50C-407E-A947-70E740481C1C}">
                                <a14:useLocalDpi xmlns:a14="http://schemas.microsoft.com/office/drawing/2010/main" val="0"/>
                              </a:ext>
                            </a:extLst>
                          </a:blip>
                          <a:srcRect t="5966"/>
                          <a:stretch>
                            <a:fillRect/>
                          </a:stretch>
                        </pic:blipFill>
                        <pic:spPr>
                          <a:xfrm>
                            <a:off x="0" y="0"/>
                            <a:ext cx="2064385" cy="43141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dashSmallGap" w:color="auto" w:sz="4" w:space="0"/>
            <w:insideV w:val="dashSmallGap" w:color="auto" w:sz="4" w:space="0"/>
          </w:tblBorders>
          <w:tblCellMar>
            <w:top w:w="0" w:type="dxa"/>
            <w:left w:w="0" w:type="dxa"/>
            <w:bottom w:w="0" w:type="dxa"/>
            <w:right w:w="0" w:type="dxa"/>
          </w:tblCellMar>
        </w:tblPrEx>
        <w:tc>
          <w:tcPr>
            <w:tcW w:w="426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0" w:beforeLines="0" w:line="240" w:lineRule="auto"/>
              <w:jc w:val="both"/>
              <w:textAlignment w:val="auto"/>
              <w:rPr>
                <w:rFonts w:ascii="Times New Roman" w:hAnsi="Times New Roman"/>
                <w:color w:val="auto"/>
                <w:vertAlign w:val="baseline"/>
              </w:rPr>
            </w:pPr>
            <w:r>
              <w:drawing>
                <wp:inline distT="0" distB="0" distL="0" distR="0">
                  <wp:extent cx="1912620" cy="4027805"/>
                  <wp:effectExtent l="0" t="0" r="1143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7" cstate="print">
                            <a:extLst>
                              <a:ext uri="{28A0092B-C50C-407E-A947-70E740481C1C}">
                                <a14:useLocalDpi xmlns:a14="http://schemas.microsoft.com/office/drawing/2010/main" val="0"/>
                              </a:ext>
                            </a:extLst>
                          </a:blip>
                          <a:srcRect t="5264"/>
                          <a:stretch>
                            <a:fillRect/>
                          </a:stretch>
                        </pic:blipFill>
                        <pic:spPr>
                          <a:xfrm>
                            <a:off x="0" y="0"/>
                            <a:ext cx="1912620" cy="4027805"/>
                          </a:xfrm>
                          <a:prstGeom prst="rect">
                            <a:avLst/>
                          </a:prstGeom>
                          <a:noFill/>
                          <a:ln>
                            <a:noFill/>
                          </a:ln>
                        </pic:spPr>
                      </pic:pic>
                    </a:graphicData>
                  </a:graphic>
                </wp:inline>
              </w:drawing>
            </w:r>
          </w:p>
        </w:tc>
        <w:tc>
          <w:tcPr>
            <w:tcW w:w="4261"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snapToGrid/>
              <w:spacing w:before="0" w:beforeLines="0" w:line="240" w:lineRule="auto"/>
              <w:jc w:val="both"/>
              <w:textAlignment w:val="auto"/>
              <w:rPr>
                <w:rFonts w:ascii="Times New Roman" w:hAnsi="Times New Roman"/>
                <w:color w:val="auto"/>
                <w:vertAlign w:val="baseline"/>
              </w:rPr>
            </w:pPr>
            <w:r>
              <w:drawing>
                <wp:inline distT="0" distB="0" distL="0" distR="0">
                  <wp:extent cx="1926590" cy="4074160"/>
                  <wp:effectExtent l="0" t="0" r="1651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8" cstate="print">
                            <a:extLst>
                              <a:ext uri="{28A0092B-C50C-407E-A947-70E740481C1C}">
                                <a14:useLocalDpi xmlns:a14="http://schemas.microsoft.com/office/drawing/2010/main" val="0"/>
                              </a:ext>
                            </a:extLst>
                          </a:blip>
                          <a:srcRect t="4841"/>
                          <a:stretch>
                            <a:fillRect/>
                          </a:stretch>
                        </pic:blipFill>
                        <pic:spPr>
                          <a:xfrm>
                            <a:off x="0" y="0"/>
                            <a:ext cx="1926590" cy="4074160"/>
                          </a:xfrm>
                          <a:prstGeom prst="rect">
                            <a:avLst/>
                          </a:prstGeom>
                          <a:noFill/>
                          <a:ln>
                            <a:noFill/>
                          </a:ln>
                        </pic:spPr>
                      </pic:pic>
                    </a:graphicData>
                  </a:graphic>
                </wp:inline>
              </w:drawing>
            </w:r>
          </w:p>
        </w:tc>
      </w:tr>
    </w:tbl>
    <w:p>
      <w:pPr>
        <w:widowControl/>
        <w:spacing w:before="0" w:beforeLines="0" w:line="240" w:lineRule="auto"/>
        <w:ind w:firstLine="0" w:firstLineChars="0"/>
        <w:jc w:val="center"/>
        <w:rPr>
          <w:rFonts w:ascii="Times New Roman" w:hAnsi="Times New Roman"/>
          <w:color w:val="auto"/>
        </w:rPr>
      </w:pPr>
      <w:r>
        <w:rPr>
          <w:rFonts w:ascii="Times New Roman" w:hAnsi="Times New Roman"/>
          <w:color w:val="auto"/>
        </w:rPr>
        <w:t>图4-1   征求意见稿网上公示</w:t>
      </w:r>
      <w:r>
        <w:rPr>
          <w:rFonts w:hint="eastAsia" w:ascii="Times New Roman" w:hAnsi="Times New Roman"/>
          <w:color w:val="auto"/>
          <w:lang w:val="en-US" w:eastAsia="zh-CN"/>
        </w:rPr>
        <w:t>部分</w:t>
      </w:r>
      <w:r>
        <w:rPr>
          <w:rFonts w:ascii="Times New Roman" w:hAnsi="Times New Roman"/>
          <w:color w:val="auto"/>
        </w:rPr>
        <w:t>截图</w:t>
      </w:r>
    </w:p>
    <w:tbl>
      <w:tblPr>
        <w:tblStyle w:val="2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2"/>
        <w:gridCol w:w="4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single" w:color="auto" w:sz="4" w:space="0"/>
              <w:left w:val="single" w:color="auto" w:sz="4" w:space="0"/>
              <w:bottom w:val="nil"/>
              <w:right w:val="single" w:color="auto" w:sz="4" w:space="0"/>
            </w:tcBorders>
          </w:tcPr>
          <w:p>
            <w:pPr>
              <w:widowControl/>
              <w:spacing w:before="0" w:beforeLines="0" w:line="240" w:lineRule="auto"/>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507615" cy="1882140"/>
                  <wp:effectExtent l="0" t="0" r="6985" b="3810"/>
                  <wp:docPr id="2" name="图片 2" descr="东岗岭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东岗岭村"/>
                          <pic:cNvPicPr>
                            <a:picLocks noChangeAspect="1"/>
                          </pic:cNvPicPr>
                        </pic:nvPicPr>
                        <pic:blipFill>
                          <a:blip r:embed="rId19"/>
                          <a:stretch>
                            <a:fillRect/>
                          </a:stretch>
                        </pic:blipFill>
                        <pic:spPr>
                          <a:xfrm>
                            <a:off x="0" y="0"/>
                            <a:ext cx="2507615" cy="1882140"/>
                          </a:xfrm>
                          <a:prstGeom prst="rect">
                            <a:avLst/>
                          </a:prstGeom>
                        </pic:spPr>
                      </pic:pic>
                    </a:graphicData>
                  </a:graphic>
                </wp:inline>
              </w:drawing>
            </w:r>
          </w:p>
        </w:tc>
        <w:tc>
          <w:tcPr>
            <w:tcW w:w="2743" w:type="pct"/>
            <w:tcBorders>
              <w:top w:val="single" w:color="auto" w:sz="4" w:space="0"/>
              <w:left w:val="single" w:color="auto" w:sz="4" w:space="0"/>
              <w:bottom w:val="nil"/>
              <w:right w:val="single" w:color="auto" w:sz="4" w:space="0"/>
            </w:tcBorders>
          </w:tcPr>
          <w:p>
            <w:pPr>
              <w:widowControl/>
              <w:spacing w:before="0" w:beforeLines="0" w:line="240" w:lineRule="auto"/>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654300" cy="1990725"/>
                  <wp:effectExtent l="0" t="0" r="12700" b="9525"/>
                  <wp:docPr id="8" name="图片 8" descr="杨公坑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杨公坑村"/>
                          <pic:cNvPicPr>
                            <a:picLocks noChangeAspect="1"/>
                          </pic:cNvPicPr>
                        </pic:nvPicPr>
                        <pic:blipFill>
                          <a:blip r:embed="rId20"/>
                          <a:stretch>
                            <a:fillRect/>
                          </a:stretch>
                        </pic:blipFill>
                        <pic:spPr>
                          <a:xfrm>
                            <a:off x="0" y="0"/>
                            <a:ext cx="2654300" cy="19907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nil"/>
              <w:left w:val="single" w:color="auto" w:sz="4" w:space="0"/>
              <w:bottom w:val="single" w:color="auto" w:sz="4" w:space="0"/>
              <w:right w:val="single" w:color="auto" w:sz="4" w:space="0"/>
            </w:tcBorders>
          </w:tcPr>
          <w:p>
            <w:pPr>
              <w:widowControl/>
              <w:spacing w:before="0" w:beforeLines="0" w:line="240" w:lineRule="auto"/>
              <w:ind w:firstLine="0" w:firstLineChars="0"/>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东岗岭</w:t>
            </w:r>
          </w:p>
        </w:tc>
        <w:tc>
          <w:tcPr>
            <w:tcW w:w="2743" w:type="pct"/>
            <w:tcBorders>
              <w:top w:val="nil"/>
              <w:left w:val="single" w:color="auto" w:sz="4" w:space="0"/>
              <w:bottom w:val="single" w:color="auto" w:sz="4" w:space="0"/>
              <w:right w:val="single" w:color="auto" w:sz="4" w:space="0"/>
            </w:tcBorders>
          </w:tcPr>
          <w:p>
            <w:pPr>
              <w:widowControl/>
              <w:spacing w:before="0" w:beforeLines="0" w:line="240" w:lineRule="auto"/>
              <w:ind w:firstLine="0" w:firstLineChars="0"/>
              <w:jc w:val="center"/>
              <w:rPr>
                <w:rFonts w:ascii="Times New Roman" w:hAnsi="Times New Roman"/>
                <w:color w:val="auto"/>
              </w:rPr>
            </w:pPr>
            <w:r>
              <w:rPr>
                <w:rFonts w:hint="eastAsia" w:ascii="Times New Roman" w:hAnsi="Times New Roman"/>
                <w:color w:val="auto"/>
                <w:highlight w:val="none"/>
                <w:lang w:val="en-US" w:eastAsia="zh-CN"/>
              </w:rPr>
              <w:t>杨公坑村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single" w:color="auto" w:sz="4" w:space="0"/>
              <w:left w:val="single" w:color="auto" w:sz="4" w:space="0"/>
              <w:bottom w:val="nil"/>
              <w:right w:val="single" w:color="auto" w:sz="4" w:space="0"/>
            </w:tcBorders>
          </w:tcPr>
          <w:p>
            <w:pPr>
              <w:widowControl/>
              <w:spacing w:before="0" w:beforeLines="0" w:line="240" w:lineRule="auto"/>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480945" cy="1861185"/>
                  <wp:effectExtent l="0" t="0" r="14605" b="5715"/>
                  <wp:docPr id="7" name="图片 7" descr="亚丫丘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亚丫丘村"/>
                          <pic:cNvPicPr>
                            <a:picLocks noChangeAspect="1"/>
                          </pic:cNvPicPr>
                        </pic:nvPicPr>
                        <pic:blipFill>
                          <a:blip r:embed="rId21"/>
                          <a:stretch>
                            <a:fillRect/>
                          </a:stretch>
                        </pic:blipFill>
                        <pic:spPr>
                          <a:xfrm>
                            <a:off x="0" y="0"/>
                            <a:ext cx="2480945" cy="1861185"/>
                          </a:xfrm>
                          <a:prstGeom prst="rect">
                            <a:avLst/>
                          </a:prstGeom>
                        </pic:spPr>
                      </pic:pic>
                    </a:graphicData>
                  </a:graphic>
                </wp:inline>
              </w:drawing>
            </w:r>
          </w:p>
        </w:tc>
        <w:tc>
          <w:tcPr>
            <w:tcW w:w="2743" w:type="pct"/>
            <w:tcBorders>
              <w:top w:val="single" w:color="auto" w:sz="4" w:space="0"/>
              <w:left w:val="single" w:color="auto" w:sz="4" w:space="0"/>
              <w:bottom w:val="nil"/>
              <w:right w:val="single" w:color="auto" w:sz="4" w:space="0"/>
            </w:tcBorders>
          </w:tcPr>
          <w:p>
            <w:pPr>
              <w:widowControl/>
              <w:spacing w:before="0" w:beforeLines="0" w:line="240" w:lineRule="auto"/>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498090" cy="1873885"/>
                  <wp:effectExtent l="0" t="0" r="16510" b="12065"/>
                  <wp:docPr id="6" name="图片 6" descr="松树下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松树下村"/>
                          <pic:cNvPicPr>
                            <a:picLocks noChangeAspect="1"/>
                          </pic:cNvPicPr>
                        </pic:nvPicPr>
                        <pic:blipFill>
                          <a:blip r:embed="rId22"/>
                          <a:stretch>
                            <a:fillRect/>
                          </a:stretch>
                        </pic:blipFill>
                        <pic:spPr>
                          <a:xfrm>
                            <a:off x="0" y="0"/>
                            <a:ext cx="2498090" cy="18738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nil"/>
              <w:left w:val="single" w:color="auto" w:sz="4" w:space="0"/>
              <w:bottom w:val="single" w:color="auto" w:sz="4" w:space="0"/>
              <w:right w:val="single" w:color="auto" w:sz="4" w:space="0"/>
            </w:tcBorders>
          </w:tcPr>
          <w:p>
            <w:pPr>
              <w:widowControl/>
              <w:spacing w:before="0" w:beforeLines="0" w:line="240" w:lineRule="auto"/>
              <w:ind w:firstLine="0" w:firstLineChars="0"/>
              <w:jc w:val="center"/>
              <w:rPr>
                <w:rFonts w:ascii="Times New Roman" w:hAnsi="Times New Roman"/>
                <w:color w:val="auto"/>
              </w:rPr>
            </w:pPr>
            <w:r>
              <w:rPr>
                <w:rFonts w:hint="eastAsia" w:ascii="Times New Roman" w:hAnsi="Times New Roman"/>
                <w:color w:val="auto"/>
                <w:highlight w:val="none"/>
                <w:lang w:val="en-US" w:eastAsia="zh-CN"/>
              </w:rPr>
              <w:t>亚丫丘村</w:t>
            </w:r>
          </w:p>
        </w:tc>
        <w:tc>
          <w:tcPr>
            <w:tcW w:w="2743" w:type="pct"/>
            <w:tcBorders>
              <w:top w:val="nil"/>
              <w:left w:val="single" w:color="auto" w:sz="4" w:space="0"/>
              <w:bottom w:val="single" w:color="auto" w:sz="4" w:space="0"/>
              <w:right w:val="single" w:color="auto" w:sz="4" w:space="0"/>
            </w:tcBorders>
          </w:tcPr>
          <w:p>
            <w:pPr>
              <w:widowControl/>
              <w:spacing w:before="0" w:beforeLines="0" w:line="240" w:lineRule="auto"/>
              <w:ind w:firstLine="0" w:firstLineChars="0"/>
              <w:jc w:val="center"/>
              <w:rPr>
                <w:rFonts w:ascii="Times New Roman" w:hAnsi="Times New Roman"/>
                <w:color w:val="auto"/>
              </w:rPr>
            </w:pPr>
            <w:r>
              <w:rPr>
                <w:rFonts w:hint="eastAsia" w:ascii="Times New Roman" w:hAnsi="Times New Roman"/>
                <w:color w:val="auto"/>
                <w:highlight w:val="none"/>
                <w:lang w:val="en-US" w:eastAsia="zh-CN"/>
              </w:rPr>
              <w:t>松树下村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single" w:color="auto" w:sz="4" w:space="0"/>
              <w:bottom w:val="nil"/>
              <w:right w:val="single" w:color="auto" w:sz="4" w:space="0"/>
            </w:tcBorders>
          </w:tcPr>
          <w:p>
            <w:pPr>
              <w:widowControl/>
              <w:spacing w:before="0" w:beforeLines="0" w:line="240" w:lineRule="auto"/>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380615" cy="1786890"/>
                  <wp:effectExtent l="0" t="0" r="635" b="3810"/>
                  <wp:docPr id="9" name="图片 9" descr="左岭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左岭村"/>
                          <pic:cNvPicPr>
                            <a:picLocks noChangeAspect="1"/>
                          </pic:cNvPicPr>
                        </pic:nvPicPr>
                        <pic:blipFill>
                          <a:blip r:embed="rId23"/>
                          <a:stretch>
                            <a:fillRect/>
                          </a:stretch>
                        </pic:blipFill>
                        <pic:spPr>
                          <a:xfrm>
                            <a:off x="0" y="0"/>
                            <a:ext cx="2380615" cy="1786890"/>
                          </a:xfrm>
                          <a:prstGeom prst="rect">
                            <a:avLst/>
                          </a:prstGeom>
                        </pic:spPr>
                      </pic:pic>
                    </a:graphicData>
                  </a:graphic>
                </wp:inline>
              </w:drawing>
            </w:r>
          </w:p>
        </w:tc>
        <w:tc>
          <w:tcPr>
            <w:tcW w:w="2743" w:type="pct"/>
            <w:tcBorders>
              <w:top w:val="single" w:color="auto" w:sz="4" w:space="0"/>
              <w:left w:val="single" w:color="auto" w:sz="4" w:space="0"/>
              <w:bottom w:val="nil"/>
            </w:tcBorders>
          </w:tcPr>
          <w:p>
            <w:pPr>
              <w:widowControl/>
              <w:spacing w:before="0" w:beforeLines="0" w:line="240" w:lineRule="auto"/>
              <w:ind w:firstLine="0" w:firstLineChars="0"/>
              <w:jc w:val="center"/>
              <w:rPr>
                <w:rFonts w:hint="eastAsia" w:ascii="Times New Roman" w:hAnsi="Times New Roman" w:eastAsia="宋体"/>
                <w:color w:val="auto"/>
                <w:lang w:eastAsia="zh-CN"/>
              </w:rPr>
            </w:pPr>
            <w:r>
              <w:rPr>
                <w:rFonts w:hint="eastAsia" w:ascii="Times New Roman" w:hAnsi="Times New Roman" w:eastAsia="宋体"/>
                <w:color w:val="auto"/>
                <w:lang w:eastAsia="zh-CN"/>
              </w:rPr>
              <w:drawing>
                <wp:inline distT="0" distB="0" distL="114300" distR="114300">
                  <wp:extent cx="2387600" cy="1790700"/>
                  <wp:effectExtent l="0" t="0" r="12700" b="0"/>
                  <wp:docPr id="4" name="图片 4" descr="侯屋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侯屋村"/>
                          <pic:cNvPicPr>
                            <a:picLocks noChangeAspect="1"/>
                          </pic:cNvPicPr>
                        </pic:nvPicPr>
                        <pic:blipFill>
                          <a:blip r:embed="rId24"/>
                          <a:stretch>
                            <a:fillRect/>
                          </a:stretch>
                        </pic:blipFill>
                        <pic:spPr>
                          <a:xfrm>
                            <a:off x="0" y="0"/>
                            <a:ext cx="2387600" cy="17907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nil"/>
              <w:right w:val="single" w:color="auto" w:sz="4" w:space="0"/>
            </w:tcBorders>
          </w:tcPr>
          <w:p>
            <w:pPr>
              <w:widowControl/>
              <w:spacing w:before="0" w:beforeLines="0" w:line="240" w:lineRule="auto"/>
              <w:ind w:firstLine="0" w:firstLineChars="0"/>
              <w:jc w:val="center"/>
              <w:rPr>
                <w:rFonts w:ascii="Times New Roman" w:hAnsi="Times New Roman"/>
                <w:color w:val="auto"/>
              </w:rPr>
            </w:pPr>
            <w:r>
              <w:rPr>
                <w:rFonts w:hint="eastAsia" w:ascii="Times New Roman" w:hAnsi="Times New Roman"/>
                <w:color w:val="auto"/>
                <w:highlight w:val="none"/>
                <w:lang w:val="en-US" w:eastAsia="zh-CN"/>
              </w:rPr>
              <w:t>左岭村</w:t>
            </w:r>
          </w:p>
        </w:tc>
        <w:tc>
          <w:tcPr>
            <w:tcW w:w="2743" w:type="pct"/>
            <w:tcBorders>
              <w:top w:val="nil"/>
              <w:left w:val="single" w:color="auto" w:sz="4" w:space="0"/>
            </w:tcBorders>
          </w:tcPr>
          <w:p>
            <w:pPr>
              <w:widowControl/>
              <w:spacing w:before="0" w:beforeLines="0" w:line="240" w:lineRule="auto"/>
              <w:ind w:firstLine="0" w:firstLineChars="0"/>
              <w:jc w:val="center"/>
              <w:rPr>
                <w:rFonts w:ascii="Times New Roman" w:hAnsi="Times New Roman"/>
                <w:color w:val="auto"/>
              </w:rPr>
            </w:pPr>
            <w:r>
              <w:rPr>
                <w:rFonts w:hint="eastAsia" w:ascii="Times New Roman" w:hAnsi="Times New Roman"/>
                <w:color w:val="auto"/>
                <w:highlight w:val="none"/>
                <w:lang w:val="en-US" w:eastAsia="zh-CN"/>
              </w:rPr>
              <w:t>下侯村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bottom w:val="nil"/>
              <w:right w:val="single" w:color="auto" w:sz="4" w:space="0"/>
            </w:tcBorders>
          </w:tcPr>
          <w:p>
            <w:pPr>
              <w:widowControl/>
              <w:spacing w:before="0" w:beforeLines="0" w:line="240" w:lineRule="auto"/>
              <w:ind w:firstLine="0" w:firstLineChars="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drawing>
                <wp:inline distT="0" distB="0" distL="114300" distR="114300">
                  <wp:extent cx="2118995" cy="1590040"/>
                  <wp:effectExtent l="0" t="0" r="14605" b="10160"/>
                  <wp:docPr id="3" name="图片 3" descr="古子墩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古子墩村"/>
                          <pic:cNvPicPr>
                            <a:picLocks noChangeAspect="1"/>
                          </pic:cNvPicPr>
                        </pic:nvPicPr>
                        <pic:blipFill>
                          <a:blip r:embed="rId25"/>
                          <a:stretch>
                            <a:fillRect/>
                          </a:stretch>
                        </pic:blipFill>
                        <pic:spPr>
                          <a:xfrm>
                            <a:off x="0" y="0"/>
                            <a:ext cx="2118995" cy="1590040"/>
                          </a:xfrm>
                          <a:prstGeom prst="rect">
                            <a:avLst/>
                          </a:prstGeom>
                        </pic:spPr>
                      </pic:pic>
                    </a:graphicData>
                  </a:graphic>
                </wp:inline>
              </w:drawing>
            </w:r>
          </w:p>
        </w:tc>
        <w:tc>
          <w:tcPr>
            <w:tcW w:w="2743" w:type="pct"/>
            <w:tcBorders>
              <w:left w:val="single" w:color="auto" w:sz="4" w:space="0"/>
              <w:bottom w:val="nil"/>
            </w:tcBorders>
          </w:tcPr>
          <w:p>
            <w:pPr>
              <w:widowControl/>
              <w:spacing w:before="0" w:beforeLines="0" w:line="240" w:lineRule="auto"/>
              <w:ind w:firstLine="0" w:firstLineChars="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drawing>
                <wp:inline distT="0" distB="0" distL="114300" distR="114300">
                  <wp:extent cx="2115820" cy="1586865"/>
                  <wp:effectExtent l="0" t="0" r="17780" b="13335"/>
                  <wp:docPr id="5" name="图片 5" descr="黄屋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黄屋村"/>
                          <pic:cNvPicPr>
                            <a:picLocks noChangeAspect="1"/>
                          </pic:cNvPicPr>
                        </pic:nvPicPr>
                        <pic:blipFill>
                          <a:blip r:embed="rId26"/>
                          <a:stretch>
                            <a:fillRect/>
                          </a:stretch>
                        </pic:blipFill>
                        <pic:spPr>
                          <a:xfrm>
                            <a:off x="0" y="0"/>
                            <a:ext cx="2115820" cy="1586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56" w:type="pct"/>
            <w:tcBorders>
              <w:top w:val="nil"/>
              <w:right w:val="single" w:color="auto" w:sz="4" w:space="0"/>
            </w:tcBorders>
          </w:tcPr>
          <w:p>
            <w:pPr>
              <w:widowControl/>
              <w:spacing w:before="0" w:beforeLines="0" w:line="240" w:lineRule="auto"/>
              <w:ind w:firstLine="0" w:firstLineChars="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古子墩村</w:t>
            </w:r>
          </w:p>
        </w:tc>
        <w:tc>
          <w:tcPr>
            <w:tcW w:w="2743" w:type="pct"/>
            <w:tcBorders>
              <w:top w:val="nil"/>
              <w:left w:val="single" w:color="auto" w:sz="4" w:space="0"/>
            </w:tcBorders>
          </w:tcPr>
          <w:p>
            <w:pPr>
              <w:widowControl/>
              <w:spacing w:before="0" w:beforeLines="0" w:line="240" w:lineRule="auto"/>
              <w:ind w:firstLine="0" w:firstLineChars="0"/>
              <w:jc w:val="center"/>
              <w:rPr>
                <w:rFonts w:hint="eastAsia" w:ascii="Times New Roman" w:hAnsi="Times New Roman"/>
                <w:color w:val="auto"/>
                <w:highlight w:val="none"/>
                <w:lang w:val="en-US" w:eastAsia="zh-CN"/>
              </w:rPr>
            </w:pPr>
            <w:r>
              <w:rPr>
                <w:rFonts w:hint="eastAsia" w:ascii="Times New Roman" w:hAnsi="Times New Roman"/>
                <w:color w:val="auto"/>
                <w:highlight w:val="none"/>
                <w:lang w:val="en-US" w:eastAsia="zh-CN"/>
              </w:rPr>
              <w:t>黄屋村</w:t>
            </w:r>
          </w:p>
        </w:tc>
      </w:tr>
    </w:tbl>
    <w:p>
      <w:pPr>
        <w:spacing w:before="0" w:beforeLines="0"/>
        <w:ind w:firstLine="0" w:firstLineChars="0"/>
        <w:jc w:val="center"/>
        <w:rPr>
          <w:rFonts w:ascii="Times New Roman" w:hAnsi="Times New Roman"/>
          <w:color w:val="auto"/>
          <w:highlight w:val="none"/>
        </w:rPr>
      </w:pPr>
      <w:r>
        <w:rPr>
          <w:rFonts w:ascii="Times New Roman" w:hAnsi="Times New Roman"/>
          <w:color w:val="auto"/>
          <w:highlight w:val="none"/>
        </w:rPr>
        <w:t>图4-2   征求意见稿现场公示图片</w:t>
      </w:r>
    </w:p>
    <w:p>
      <w:pPr>
        <w:widowControl/>
        <w:spacing w:before="0" w:beforeLines="0" w:line="240" w:lineRule="auto"/>
        <w:ind w:firstLine="0" w:firstLineChars="0"/>
        <w:jc w:val="center"/>
        <w:rPr>
          <w:rFonts w:ascii="Times New Roman" w:hAnsi="Times New Roman"/>
          <w:b/>
          <w:color w:val="auto"/>
        </w:rPr>
      </w:pPr>
      <w:r>
        <w:drawing>
          <wp:inline distT="0" distB="0" distL="0" distR="0">
            <wp:extent cx="5274310" cy="4065905"/>
            <wp:effectExtent l="0" t="0" r="2540" b="1079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7"/>
                    <a:srcRect t="2128" b="15804"/>
                    <a:stretch>
                      <a:fillRect/>
                    </a:stretch>
                  </pic:blipFill>
                  <pic:spPr>
                    <a:xfrm>
                      <a:off x="0" y="0"/>
                      <a:ext cx="5274310" cy="40659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ascii="Times New Roman" w:hAnsi="Times New Roman"/>
          <w:color w:val="auto"/>
        </w:rPr>
      </w:pPr>
      <w:r>
        <w:rPr>
          <w:rFonts w:ascii="Times New Roman" w:hAnsi="Times New Roman"/>
          <w:color w:val="auto"/>
        </w:rPr>
        <w:t>图4-3  征求意见稿报纸第一次公示图片</w:t>
      </w:r>
    </w:p>
    <w:p>
      <w:pPr>
        <w:spacing w:before="163"/>
        <w:ind w:firstLine="0" w:firstLineChars="0"/>
        <w:jc w:val="center"/>
        <w:rPr>
          <w:rFonts w:ascii="Times New Roman" w:hAnsi="Times New Roman"/>
          <w:color w:val="auto"/>
        </w:rPr>
      </w:pPr>
      <w:r>
        <w:drawing>
          <wp:inline distT="0" distB="0" distL="0" distR="0">
            <wp:extent cx="5274310" cy="3917950"/>
            <wp:effectExtent l="0" t="0" r="254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rcRect t="1546" b="16220"/>
                    <a:stretch>
                      <a:fillRect/>
                    </a:stretch>
                  </pic:blipFill>
                  <pic:spPr>
                    <a:xfrm>
                      <a:off x="0" y="0"/>
                      <a:ext cx="5274310" cy="391795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0" w:beforeLines="0"/>
        <w:ind w:firstLine="0" w:firstLineChars="0"/>
        <w:jc w:val="center"/>
        <w:textAlignment w:val="auto"/>
        <w:rPr>
          <w:rFonts w:ascii="Times New Roman" w:hAnsi="Times New Roman"/>
          <w:color w:val="auto"/>
        </w:rPr>
      </w:pPr>
      <w:r>
        <w:rPr>
          <w:rFonts w:ascii="Times New Roman" w:hAnsi="Times New Roman"/>
          <w:color w:val="auto"/>
        </w:rPr>
        <w:t>图4-4  征求意见稿报纸第二次公示图片</w:t>
      </w:r>
    </w:p>
    <w:p>
      <w:pPr>
        <w:pStyle w:val="48"/>
        <w:spacing w:before="0" w:beforeLines="0" w:after="0" w:afterLines="0"/>
        <w:outlineLvl w:val="1"/>
        <w:rPr>
          <w:rFonts w:ascii="Times New Roman" w:hAnsi="Times New Roman"/>
          <w:color w:val="auto"/>
        </w:rPr>
      </w:pPr>
      <w:bookmarkStart w:id="17" w:name="_Toc18963"/>
      <w:r>
        <w:rPr>
          <w:rFonts w:ascii="Times New Roman" w:hAnsi="Times New Roman"/>
          <w:color w:val="auto"/>
        </w:rPr>
        <w:t>4.2查阅情况</w:t>
      </w:r>
      <w:bookmarkEnd w:id="17"/>
    </w:p>
    <w:p>
      <w:pPr>
        <w:spacing w:before="163"/>
        <w:ind w:firstLine="480"/>
        <w:rPr>
          <w:rFonts w:ascii="Times New Roman" w:hAnsi="Times New Roman"/>
          <w:color w:val="auto"/>
        </w:rPr>
      </w:pPr>
      <w:r>
        <w:rPr>
          <w:rFonts w:ascii="Times New Roman" w:hAnsi="Times New Roman"/>
          <w:color w:val="auto"/>
        </w:rPr>
        <w:t>建设单位在厂区办公室内设立了环评报告书查阅区，供公众查阅。公示期间，无人来厂区查阅环评报告书。</w:t>
      </w:r>
    </w:p>
    <w:p>
      <w:pPr>
        <w:pStyle w:val="48"/>
        <w:spacing w:before="0" w:beforeLines="0" w:after="0" w:afterLines="0"/>
        <w:outlineLvl w:val="1"/>
        <w:rPr>
          <w:rFonts w:ascii="Times New Roman" w:hAnsi="Times New Roman"/>
          <w:color w:val="auto"/>
        </w:rPr>
      </w:pPr>
      <w:bookmarkStart w:id="18" w:name="_Toc25897"/>
      <w:r>
        <w:rPr>
          <w:rFonts w:ascii="Times New Roman" w:hAnsi="Times New Roman"/>
          <w:color w:val="auto"/>
        </w:rPr>
        <w:t>4.3公众提出意见情况</w:t>
      </w:r>
      <w:bookmarkEnd w:id="18"/>
    </w:p>
    <w:p>
      <w:pPr>
        <w:spacing w:before="163"/>
        <w:ind w:firstLine="480"/>
        <w:rPr>
          <w:rFonts w:ascii="Times New Roman" w:hAnsi="Times New Roman"/>
          <w:color w:val="auto"/>
        </w:rPr>
      </w:pPr>
      <w:r>
        <w:rPr>
          <w:rFonts w:ascii="Times New Roman" w:hAnsi="Times New Roman"/>
          <w:color w:val="auto"/>
        </w:rPr>
        <w:t>我司及环评单位在环评报告书征求意见稿公示期间均未收到公众对该项目的意见反馈。</w:t>
      </w:r>
    </w:p>
    <w:p>
      <w:pPr>
        <w:rPr>
          <w:rFonts w:ascii="Times New Roman" w:hAnsi="Times New Roman"/>
          <w:color w:val="auto"/>
        </w:rPr>
      </w:pPr>
      <w:r>
        <w:rPr>
          <w:rFonts w:ascii="Times New Roman" w:hAnsi="Times New Roman"/>
          <w:color w:val="auto"/>
        </w:rPr>
        <w:br w:type="page"/>
      </w:r>
    </w:p>
    <w:p>
      <w:pPr>
        <w:pStyle w:val="46"/>
        <w:spacing w:before="163" w:after="0" w:afterLines="0"/>
        <w:outlineLvl w:val="0"/>
        <w:rPr>
          <w:rFonts w:ascii="Times New Roman" w:hAnsi="Times New Roman"/>
          <w:color w:val="auto"/>
        </w:rPr>
      </w:pPr>
      <w:bookmarkStart w:id="19" w:name="_Toc14199"/>
      <w:r>
        <w:rPr>
          <w:rFonts w:ascii="Times New Roman" w:hAnsi="Times New Roman"/>
          <w:color w:val="auto"/>
        </w:rPr>
        <w:t>5、</w:t>
      </w:r>
      <w:r>
        <w:rPr>
          <w:rFonts w:hint="eastAsia" w:ascii="Times New Roman" w:hAnsi="Times New Roman"/>
          <w:color w:val="auto"/>
        </w:rPr>
        <w:t>公众意见采纳与不采纳的说明</w:t>
      </w:r>
      <w:bookmarkEnd w:id="19"/>
    </w:p>
    <w:p>
      <w:pPr>
        <w:spacing w:before="163"/>
        <w:ind w:firstLine="480"/>
        <w:rPr>
          <w:rFonts w:ascii="Times New Roman" w:hAnsi="Times New Roman"/>
          <w:color w:val="auto"/>
          <w:lang w:val="en-GB"/>
        </w:rPr>
      </w:pPr>
      <w:r>
        <w:rPr>
          <w:rFonts w:hint="eastAsia" w:ascii="Times New Roman" w:hAnsi="Times New Roman"/>
          <w:color w:val="auto"/>
          <w:lang w:val="en-GB"/>
        </w:rPr>
        <w:t>项目在“韶关市生态环境局网站”首次公开环境影响评价信息期间未收到公众的反馈意见。本项目征求意见稿公示期间，同时通过</w:t>
      </w:r>
      <w:r>
        <w:rPr>
          <w:rFonts w:hint="eastAsia" w:ascii="Times New Roman" w:hAnsi="Times New Roman"/>
          <w:color w:val="auto"/>
        </w:rPr>
        <w:t>网络</w:t>
      </w:r>
      <w:r>
        <w:rPr>
          <w:rFonts w:hint="eastAsia" w:ascii="Times New Roman" w:hAnsi="Times New Roman"/>
          <w:color w:val="auto"/>
          <w:lang w:val="en-GB"/>
        </w:rPr>
        <w:t>、报纸和现场张贴的方式征求公众意见，公示期间未收到公众关于本项目的反馈意见。</w:t>
      </w:r>
    </w:p>
    <w:p>
      <w:pPr>
        <w:spacing w:before="163"/>
        <w:ind w:firstLine="480"/>
        <w:rPr>
          <w:rFonts w:ascii="Times New Roman" w:hAnsi="Times New Roman"/>
          <w:color w:val="auto"/>
        </w:rPr>
      </w:pPr>
      <w:r>
        <w:rPr>
          <w:rFonts w:ascii="Times New Roman" w:hAnsi="Times New Roman"/>
          <w:color w:val="auto"/>
        </w:rPr>
        <w:t>本项目虽未收到公众意见，但我司会加强自律，确保本工程环境保护设施“三同时”在日常运营中多与周围公众进行沟通，及时解决出现的环境问题，以实际行动取得周围公众的支持，取得经济效益和社会效益双丰收，施工单位表示，将密切配合建设单位，按环评报告的具体要求落实施工期污染防治措施，减少施工过程对周围环境的影响。</w:t>
      </w:r>
    </w:p>
    <w:p>
      <w:pPr>
        <w:rPr>
          <w:rFonts w:ascii="Times New Roman" w:hAnsi="Times New Roman"/>
          <w:color w:val="auto"/>
        </w:rPr>
      </w:pPr>
      <w:r>
        <w:rPr>
          <w:rFonts w:ascii="Times New Roman" w:hAnsi="Times New Roman"/>
          <w:color w:val="auto"/>
        </w:rPr>
        <w:br w:type="page"/>
      </w:r>
    </w:p>
    <w:p>
      <w:pPr>
        <w:pStyle w:val="46"/>
        <w:spacing w:before="163" w:after="0" w:afterLines="0"/>
        <w:outlineLvl w:val="0"/>
        <w:rPr>
          <w:rFonts w:ascii="Times New Roman" w:hAnsi="Times New Roman"/>
          <w:color w:val="auto"/>
        </w:rPr>
      </w:pPr>
      <w:bookmarkStart w:id="20" w:name="_Toc14285"/>
      <w:r>
        <w:rPr>
          <w:rFonts w:ascii="Times New Roman" w:hAnsi="Times New Roman"/>
          <w:color w:val="auto"/>
        </w:rPr>
        <w:t>6、诚信承诺</w:t>
      </w:r>
      <w:bookmarkEnd w:id="20"/>
    </w:p>
    <w:p>
      <w:pPr>
        <w:spacing w:before="163"/>
        <w:ind w:firstLine="480"/>
        <w:rPr>
          <w:rFonts w:ascii="Times New Roman" w:hAnsi="Times New Roman"/>
          <w:color w:val="auto"/>
        </w:rPr>
      </w:pPr>
      <w:r>
        <w:rPr>
          <w:rFonts w:ascii="Times New Roman" w:hAnsi="Times New Roman"/>
          <w:color w:val="auto"/>
        </w:rPr>
        <w:t>我司已按照《环境影响评价公众参与办法》生态环境部令第4号（2018年7月16日）的要求，在韶关市恒粤生态农业有限责任公司年出栏30000头生猪的生态养殖项目环境影响评价报告书编制阶段开展了公众参与工作，在环境影响评价报告书中充分采纳了公众提出的与环境影响相关的合理意见，对未采纳的意见按要求进行了说明，并按照要求编制了公众参与说明。</w:t>
      </w:r>
    </w:p>
    <w:p>
      <w:pPr>
        <w:spacing w:before="163"/>
        <w:ind w:firstLine="480"/>
        <w:rPr>
          <w:rFonts w:ascii="Times New Roman" w:hAnsi="Times New Roman"/>
          <w:color w:val="auto"/>
        </w:rPr>
      </w:pPr>
      <w:r>
        <w:rPr>
          <w:rFonts w:ascii="Times New Roman" w:hAnsi="Times New Roman"/>
          <w:color w:val="auto"/>
        </w:rPr>
        <w:t>我司承诺，本次提交的《韶关市恒粤生态农业有限责任公司年出栏30000头生猪的生态养殖项目环境影响评价公众参与说明》内容客观、真实，未包含依法不得公开的国家机密、商业机密、个人隐私。如存在弄虚作假、隐瞒欺骗等情况及由此导致的一切后果由韶关市恒粤生态农业有限责任公司承担全部责任。</w:t>
      </w:r>
    </w:p>
    <w:p>
      <w:pPr>
        <w:spacing w:before="163"/>
        <w:ind w:firstLine="0" w:firstLineChars="0"/>
        <w:rPr>
          <w:rFonts w:ascii="Times New Roman" w:hAnsi="Times New Roman"/>
          <w:color w:val="auto"/>
        </w:rPr>
      </w:pPr>
    </w:p>
    <w:p>
      <w:pPr>
        <w:spacing w:before="163"/>
        <w:ind w:firstLine="0" w:firstLineChars="0"/>
        <w:rPr>
          <w:rFonts w:ascii="Times New Roman" w:hAnsi="Times New Roman"/>
          <w:color w:val="auto"/>
        </w:rPr>
      </w:pPr>
    </w:p>
    <w:p>
      <w:pPr>
        <w:spacing w:before="163"/>
        <w:ind w:firstLine="0" w:firstLineChars="0"/>
        <w:jc w:val="right"/>
        <w:rPr>
          <w:rFonts w:ascii="Times New Roman" w:hAnsi="Times New Roman"/>
          <w:color w:val="auto"/>
        </w:rPr>
      </w:pPr>
      <w:r>
        <w:rPr>
          <w:rFonts w:ascii="Times New Roman" w:hAnsi="Times New Roman"/>
          <w:color w:val="auto"/>
        </w:rPr>
        <w:t>承诺单位：韶关市恒粤生态农业有限责任公司</w:t>
      </w:r>
    </w:p>
    <w:p>
      <w:pPr>
        <w:spacing w:before="163"/>
        <w:ind w:left="3542" w:leftChars="1476" w:firstLine="0" w:firstLineChars="0"/>
        <w:rPr>
          <w:rFonts w:ascii="Times New Roman" w:hAnsi="Times New Roman"/>
          <w:color w:val="auto"/>
        </w:rPr>
      </w:pPr>
      <w:r>
        <w:rPr>
          <w:rFonts w:ascii="Times New Roman" w:hAnsi="Times New Roman"/>
          <w:color w:val="auto"/>
        </w:rPr>
        <w:t>承诺时间：202</w:t>
      </w:r>
      <w:r>
        <w:rPr>
          <w:rFonts w:hint="eastAsia" w:ascii="Times New Roman" w:hAnsi="Times New Roman"/>
          <w:color w:val="auto"/>
        </w:rPr>
        <w:t>1</w:t>
      </w:r>
      <w:r>
        <w:rPr>
          <w:rFonts w:ascii="Times New Roman" w:hAnsi="Times New Roman"/>
          <w:color w:val="auto"/>
        </w:rPr>
        <w:t>年</w:t>
      </w:r>
      <w:r>
        <w:rPr>
          <w:rFonts w:hint="eastAsia" w:ascii="Times New Roman" w:hAnsi="Times New Roman"/>
          <w:color w:val="auto"/>
          <w:lang w:val="en-US" w:eastAsia="zh-CN"/>
        </w:rPr>
        <w:t>6</w:t>
      </w:r>
      <w:r>
        <w:rPr>
          <w:rFonts w:ascii="Times New Roman" w:hAnsi="Times New Roman"/>
          <w:color w:val="auto"/>
        </w:rPr>
        <w:t>月</w:t>
      </w:r>
      <w:r>
        <w:rPr>
          <w:rFonts w:hint="eastAsia" w:ascii="Times New Roman" w:hAnsi="Times New Roman"/>
          <w:color w:val="auto"/>
          <w:lang w:val="en-US" w:eastAsia="zh-CN"/>
        </w:rPr>
        <w:t>2</w:t>
      </w:r>
      <w:bookmarkStart w:id="21" w:name="_GoBack"/>
      <w:bookmarkEnd w:id="21"/>
      <w:r>
        <w:rPr>
          <w:rFonts w:ascii="Times New Roman" w:hAnsi="Times New Roman"/>
          <w:color w:val="auto"/>
        </w:rPr>
        <w:t>日</w:t>
      </w:r>
    </w:p>
    <w:sectPr>
      <w:headerReference r:id="rId11" w:type="default"/>
      <w:footerReference r:id="rId12" w:type="default"/>
      <w:pgSz w:w="11906" w:h="16838"/>
      <w:pgMar w:top="1440" w:right="1800" w:bottom="1440" w:left="1800" w:header="737" w:footer="1134" w:gutter="0"/>
      <w:pgBorders>
        <w:top w:val="none" w:sz="0" w:space="0"/>
        <w:left w:val="none" w:sz="0" w:space="0"/>
        <w:bottom w:val="none" w:sz="0" w:space="0"/>
        <w:right w:val="none" w:sz="0" w:space="0"/>
      </w:pgBorders>
      <w:pgNumType w:fmt="numberInDash" w:start="1"/>
      <w:cols w:space="72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before="120"/>
      <w:ind w:firstLine="360"/>
      <w:jc w:val="center"/>
    </w:pPr>
    <w:r>
      <w:fldChar w:fldCharType="begin"/>
    </w:r>
    <w:r>
      <w:instrText xml:space="preserve">PAGE   \* MERGEFORMAT</w:instrText>
    </w:r>
    <w:r>
      <w:fldChar w:fldCharType="separate"/>
    </w:r>
    <w:r>
      <w:rPr>
        <w:lang w:val="zh-CN"/>
      </w:rPr>
      <w:t>-</w:t>
    </w:r>
    <w:r>
      <w:t xml:space="preserve"> 13 -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ind w:firstLine="480"/>
      </w:pPr>
      <w:r>
        <w:separator/>
      </w:r>
    </w:p>
  </w:footnote>
  <w:footnote w:type="continuationSeparator" w:id="1">
    <w:p>
      <w:pPr>
        <w:spacing w:before="0" w:after="0"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20"/>
      <w:ind w:firstLine="0" w:firstLineChars="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spacing w:before="120"/>
      <w:ind w:firstLine="0" w:firstLineChars="0"/>
    </w:pPr>
    <w:r>
      <w:rPr>
        <w:rFonts w:hint="eastAsia"/>
      </w:rPr>
      <w:t>韶关市恒粤生态农业有限责任公司</w:t>
    </w:r>
    <w:r>
      <w:rPr>
        <w:rFonts w:hint="eastAsia"/>
        <w:lang w:val="en-US" w:eastAsia="zh-CN"/>
      </w:rPr>
      <w:t>年出栏30000头生猪的生态养殖项目</w:t>
    </w:r>
    <w:r>
      <w:rPr>
        <w:rFonts w:hint="eastAsia"/>
      </w:rPr>
      <w:t>公众参与专册</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FA4ED8"/>
    <w:multiLevelType w:val="multilevel"/>
    <w:tmpl w:val="22FA4ED8"/>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158"/>
    <w:rsid w:val="00000A49"/>
    <w:rsid w:val="00004EFB"/>
    <w:rsid w:val="00013478"/>
    <w:rsid w:val="000160C8"/>
    <w:rsid w:val="00022386"/>
    <w:rsid w:val="00026B1E"/>
    <w:rsid w:val="0003177E"/>
    <w:rsid w:val="00033D63"/>
    <w:rsid w:val="0005282C"/>
    <w:rsid w:val="0005762B"/>
    <w:rsid w:val="00061DA7"/>
    <w:rsid w:val="00063EDF"/>
    <w:rsid w:val="0008109A"/>
    <w:rsid w:val="0008756E"/>
    <w:rsid w:val="000907CD"/>
    <w:rsid w:val="000947D4"/>
    <w:rsid w:val="00096AF7"/>
    <w:rsid w:val="000A5931"/>
    <w:rsid w:val="000C32E6"/>
    <w:rsid w:val="000D6FA8"/>
    <w:rsid w:val="000E018B"/>
    <w:rsid w:val="000E3253"/>
    <w:rsid w:val="00100340"/>
    <w:rsid w:val="00105552"/>
    <w:rsid w:val="00111D19"/>
    <w:rsid w:val="00112731"/>
    <w:rsid w:val="00127DFF"/>
    <w:rsid w:val="00142A9D"/>
    <w:rsid w:val="00142FF9"/>
    <w:rsid w:val="00143C6B"/>
    <w:rsid w:val="00152C05"/>
    <w:rsid w:val="00186BFA"/>
    <w:rsid w:val="00192D33"/>
    <w:rsid w:val="001A77D9"/>
    <w:rsid w:val="001B1844"/>
    <w:rsid w:val="001B315C"/>
    <w:rsid w:val="001C02B7"/>
    <w:rsid w:val="001C140D"/>
    <w:rsid w:val="001D639B"/>
    <w:rsid w:val="001D69E1"/>
    <w:rsid w:val="001E0FDE"/>
    <w:rsid w:val="001F0F4F"/>
    <w:rsid w:val="00200951"/>
    <w:rsid w:val="00200D26"/>
    <w:rsid w:val="00201015"/>
    <w:rsid w:val="002041A6"/>
    <w:rsid w:val="00206908"/>
    <w:rsid w:val="00212BA8"/>
    <w:rsid w:val="00214604"/>
    <w:rsid w:val="002175C7"/>
    <w:rsid w:val="00226FEC"/>
    <w:rsid w:val="00230749"/>
    <w:rsid w:val="002330B9"/>
    <w:rsid w:val="0023442F"/>
    <w:rsid w:val="0026530C"/>
    <w:rsid w:val="00266CD8"/>
    <w:rsid w:val="00267DCC"/>
    <w:rsid w:val="00270D90"/>
    <w:rsid w:val="0027235D"/>
    <w:rsid w:val="0027312A"/>
    <w:rsid w:val="002765E7"/>
    <w:rsid w:val="002A3028"/>
    <w:rsid w:val="002A5476"/>
    <w:rsid w:val="002A5D20"/>
    <w:rsid w:val="002B28C7"/>
    <w:rsid w:val="002C4DDB"/>
    <w:rsid w:val="002D5845"/>
    <w:rsid w:val="002F6D29"/>
    <w:rsid w:val="00302F93"/>
    <w:rsid w:val="00323AB1"/>
    <w:rsid w:val="00331F4F"/>
    <w:rsid w:val="00341264"/>
    <w:rsid w:val="003529E7"/>
    <w:rsid w:val="00361B2E"/>
    <w:rsid w:val="003646C1"/>
    <w:rsid w:val="00365863"/>
    <w:rsid w:val="0036768F"/>
    <w:rsid w:val="00374763"/>
    <w:rsid w:val="00375F3D"/>
    <w:rsid w:val="003816AB"/>
    <w:rsid w:val="00384D15"/>
    <w:rsid w:val="00391E61"/>
    <w:rsid w:val="003951ED"/>
    <w:rsid w:val="003A279D"/>
    <w:rsid w:val="003B1E9F"/>
    <w:rsid w:val="003B57F6"/>
    <w:rsid w:val="003C2C89"/>
    <w:rsid w:val="003F317F"/>
    <w:rsid w:val="003F3928"/>
    <w:rsid w:val="003F556D"/>
    <w:rsid w:val="0040301C"/>
    <w:rsid w:val="00410A5B"/>
    <w:rsid w:val="00410F3B"/>
    <w:rsid w:val="004225AE"/>
    <w:rsid w:val="00431CD9"/>
    <w:rsid w:val="00442291"/>
    <w:rsid w:val="00446484"/>
    <w:rsid w:val="0045085F"/>
    <w:rsid w:val="00452687"/>
    <w:rsid w:val="00453D66"/>
    <w:rsid w:val="00462169"/>
    <w:rsid w:val="00464A19"/>
    <w:rsid w:val="00467DB4"/>
    <w:rsid w:val="00467EFB"/>
    <w:rsid w:val="0047376E"/>
    <w:rsid w:val="004749B9"/>
    <w:rsid w:val="00477349"/>
    <w:rsid w:val="004850F5"/>
    <w:rsid w:val="00490DFE"/>
    <w:rsid w:val="004A0EF0"/>
    <w:rsid w:val="004A461B"/>
    <w:rsid w:val="004B12AE"/>
    <w:rsid w:val="004B36ED"/>
    <w:rsid w:val="004C2BA6"/>
    <w:rsid w:val="004C5D28"/>
    <w:rsid w:val="004D0043"/>
    <w:rsid w:val="004D04B8"/>
    <w:rsid w:val="004D059D"/>
    <w:rsid w:val="004D105F"/>
    <w:rsid w:val="004D2421"/>
    <w:rsid w:val="004D25B8"/>
    <w:rsid w:val="004F1981"/>
    <w:rsid w:val="004F4CE8"/>
    <w:rsid w:val="00503F6E"/>
    <w:rsid w:val="005141BF"/>
    <w:rsid w:val="005166ED"/>
    <w:rsid w:val="00527078"/>
    <w:rsid w:val="00527483"/>
    <w:rsid w:val="005545AE"/>
    <w:rsid w:val="0058279F"/>
    <w:rsid w:val="00586AD4"/>
    <w:rsid w:val="005946F6"/>
    <w:rsid w:val="005971B7"/>
    <w:rsid w:val="005A5B50"/>
    <w:rsid w:val="005A73D4"/>
    <w:rsid w:val="005B2E98"/>
    <w:rsid w:val="005B525E"/>
    <w:rsid w:val="005D32E1"/>
    <w:rsid w:val="005D7973"/>
    <w:rsid w:val="005E280E"/>
    <w:rsid w:val="005F050C"/>
    <w:rsid w:val="00623A42"/>
    <w:rsid w:val="00627DE2"/>
    <w:rsid w:val="00636E32"/>
    <w:rsid w:val="006401F4"/>
    <w:rsid w:val="0064799A"/>
    <w:rsid w:val="00675ED9"/>
    <w:rsid w:val="00686218"/>
    <w:rsid w:val="006945F6"/>
    <w:rsid w:val="006A0989"/>
    <w:rsid w:val="006A1548"/>
    <w:rsid w:val="006A3A8D"/>
    <w:rsid w:val="006A4D14"/>
    <w:rsid w:val="006B5747"/>
    <w:rsid w:val="006C19AC"/>
    <w:rsid w:val="006D3E11"/>
    <w:rsid w:val="006F2572"/>
    <w:rsid w:val="00700725"/>
    <w:rsid w:val="007060B1"/>
    <w:rsid w:val="00706C2D"/>
    <w:rsid w:val="007206F7"/>
    <w:rsid w:val="0073060A"/>
    <w:rsid w:val="007355C1"/>
    <w:rsid w:val="0073573B"/>
    <w:rsid w:val="00764BEB"/>
    <w:rsid w:val="007918D6"/>
    <w:rsid w:val="007A26B4"/>
    <w:rsid w:val="007A554F"/>
    <w:rsid w:val="007A7005"/>
    <w:rsid w:val="007B1D9C"/>
    <w:rsid w:val="007C1CD1"/>
    <w:rsid w:val="007C39C1"/>
    <w:rsid w:val="007E416E"/>
    <w:rsid w:val="007E449A"/>
    <w:rsid w:val="007F4362"/>
    <w:rsid w:val="00826A36"/>
    <w:rsid w:val="0083197D"/>
    <w:rsid w:val="00834D03"/>
    <w:rsid w:val="00836CF6"/>
    <w:rsid w:val="00850BC6"/>
    <w:rsid w:val="0086288D"/>
    <w:rsid w:val="00865759"/>
    <w:rsid w:val="00865D94"/>
    <w:rsid w:val="00871047"/>
    <w:rsid w:val="00871333"/>
    <w:rsid w:val="008736FF"/>
    <w:rsid w:val="00881F43"/>
    <w:rsid w:val="0089107E"/>
    <w:rsid w:val="00895326"/>
    <w:rsid w:val="008961C7"/>
    <w:rsid w:val="00896B6B"/>
    <w:rsid w:val="008A0F0E"/>
    <w:rsid w:val="008C391C"/>
    <w:rsid w:val="008C67DC"/>
    <w:rsid w:val="008D53CC"/>
    <w:rsid w:val="008D5428"/>
    <w:rsid w:val="008D7630"/>
    <w:rsid w:val="008E3805"/>
    <w:rsid w:val="008F2017"/>
    <w:rsid w:val="0091128C"/>
    <w:rsid w:val="00931697"/>
    <w:rsid w:val="00942343"/>
    <w:rsid w:val="009463C6"/>
    <w:rsid w:val="009470C7"/>
    <w:rsid w:val="00964AF6"/>
    <w:rsid w:val="00964CFB"/>
    <w:rsid w:val="009671AF"/>
    <w:rsid w:val="009732BC"/>
    <w:rsid w:val="00975AFC"/>
    <w:rsid w:val="00990595"/>
    <w:rsid w:val="009A42A0"/>
    <w:rsid w:val="009B74D4"/>
    <w:rsid w:val="009C0BF3"/>
    <w:rsid w:val="009C26CE"/>
    <w:rsid w:val="009C39B1"/>
    <w:rsid w:val="009C5479"/>
    <w:rsid w:val="009D4B6A"/>
    <w:rsid w:val="009D56B4"/>
    <w:rsid w:val="009D5CB9"/>
    <w:rsid w:val="009F594F"/>
    <w:rsid w:val="00A02A20"/>
    <w:rsid w:val="00A0541B"/>
    <w:rsid w:val="00A2191F"/>
    <w:rsid w:val="00A229AC"/>
    <w:rsid w:val="00A23098"/>
    <w:rsid w:val="00A35B02"/>
    <w:rsid w:val="00A363FD"/>
    <w:rsid w:val="00A36C08"/>
    <w:rsid w:val="00A36DCA"/>
    <w:rsid w:val="00A37D01"/>
    <w:rsid w:val="00A54349"/>
    <w:rsid w:val="00A6199A"/>
    <w:rsid w:val="00A62368"/>
    <w:rsid w:val="00A64830"/>
    <w:rsid w:val="00A663F5"/>
    <w:rsid w:val="00A664E4"/>
    <w:rsid w:val="00A66542"/>
    <w:rsid w:val="00A66FC6"/>
    <w:rsid w:val="00A70007"/>
    <w:rsid w:val="00A712A5"/>
    <w:rsid w:val="00A74DEB"/>
    <w:rsid w:val="00A75324"/>
    <w:rsid w:val="00A763A9"/>
    <w:rsid w:val="00A80784"/>
    <w:rsid w:val="00A90612"/>
    <w:rsid w:val="00AA26C9"/>
    <w:rsid w:val="00AA63C5"/>
    <w:rsid w:val="00AB1E79"/>
    <w:rsid w:val="00AB2AD5"/>
    <w:rsid w:val="00AB3726"/>
    <w:rsid w:val="00AC7E2D"/>
    <w:rsid w:val="00AD0CB5"/>
    <w:rsid w:val="00AD2A46"/>
    <w:rsid w:val="00AD47FE"/>
    <w:rsid w:val="00AE291B"/>
    <w:rsid w:val="00AE4E62"/>
    <w:rsid w:val="00AE6DE7"/>
    <w:rsid w:val="00AF46A3"/>
    <w:rsid w:val="00B11C6A"/>
    <w:rsid w:val="00B12F8D"/>
    <w:rsid w:val="00B21E6B"/>
    <w:rsid w:val="00B302B1"/>
    <w:rsid w:val="00B34585"/>
    <w:rsid w:val="00B3757B"/>
    <w:rsid w:val="00B40F79"/>
    <w:rsid w:val="00B45003"/>
    <w:rsid w:val="00B54E4E"/>
    <w:rsid w:val="00B55B9D"/>
    <w:rsid w:val="00B60C92"/>
    <w:rsid w:val="00B61AF8"/>
    <w:rsid w:val="00B7482E"/>
    <w:rsid w:val="00B759BE"/>
    <w:rsid w:val="00B80C0F"/>
    <w:rsid w:val="00B948FE"/>
    <w:rsid w:val="00B96A6F"/>
    <w:rsid w:val="00BB2A33"/>
    <w:rsid w:val="00BC2F7B"/>
    <w:rsid w:val="00BC3725"/>
    <w:rsid w:val="00BD5235"/>
    <w:rsid w:val="00BE4286"/>
    <w:rsid w:val="00BE62A4"/>
    <w:rsid w:val="00BE715B"/>
    <w:rsid w:val="00C12CEA"/>
    <w:rsid w:val="00C202D6"/>
    <w:rsid w:val="00C20731"/>
    <w:rsid w:val="00C36799"/>
    <w:rsid w:val="00C57E61"/>
    <w:rsid w:val="00C659F6"/>
    <w:rsid w:val="00C66757"/>
    <w:rsid w:val="00C66C3E"/>
    <w:rsid w:val="00C67158"/>
    <w:rsid w:val="00C85B83"/>
    <w:rsid w:val="00CA0C81"/>
    <w:rsid w:val="00CB2608"/>
    <w:rsid w:val="00CB69DD"/>
    <w:rsid w:val="00CC27B9"/>
    <w:rsid w:val="00CD665C"/>
    <w:rsid w:val="00CE3F01"/>
    <w:rsid w:val="00D02015"/>
    <w:rsid w:val="00D021FE"/>
    <w:rsid w:val="00D056CA"/>
    <w:rsid w:val="00D101DF"/>
    <w:rsid w:val="00D16061"/>
    <w:rsid w:val="00D2231E"/>
    <w:rsid w:val="00D30235"/>
    <w:rsid w:val="00D35551"/>
    <w:rsid w:val="00D52133"/>
    <w:rsid w:val="00D61CE8"/>
    <w:rsid w:val="00D64C39"/>
    <w:rsid w:val="00D661F4"/>
    <w:rsid w:val="00D70567"/>
    <w:rsid w:val="00D8580E"/>
    <w:rsid w:val="00D922BF"/>
    <w:rsid w:val="00DA10DB"/>
    <w:rsid w:val="00DB2201"/>
    <w:rsid w:val="00DC245E"/>
    <w:rsid w:val="00DD66A3"/>
    <w:rsid w:val="00DE4494"/>
    <w:rsid w:val="00DE73A1"/>
    <w:rsid w:val="00DF5B25"/>
    <w:rsid w:val="00DF6CE6"/>
    <w:rsid w:val="00DF77A4"/>
    <w:rsid w:val="00E03F03"/>
    <w:rsid w:val="00E04C9D"/>
    <w:rsid w:val="00E0623E"/>
    <w:rsid w:val="00E068EF"/>
    <w:rsid w:val="00E114C7"/>
    <w:rsid w:val="00E143E5"/>
    <w:rsid w:val="00E17539"/>
    <w:rsid w:val="00E2319F"/>
    <w:rsid w:val="00E24E13"/>
    <w:rsid w:val="00E35207"/>
    <w:rsid w:val="00E373A8"/>
    <w:rsid w:val="00E60F82"/>
    <w:rsid w:val="00E6319C"/>
    <w:rsid w:val="00E92677"/>
    <w:rsid w:val="00E92C09"/>
    <w:rsid w:val="00E9303A"/>
    <w:rsid w:val="00E94900"/>
    <w:rsid w:val="00EA3787"/>
    <w:rsid w:val="00EC3B95"/>
    <w:rsid w:val="00ED45E8"/>
    <w:rsid w:val="00ED4F59"/>
    <w:rsid w:val="00EE4DE7"/>
    <w:rsid w:val="00F03851"/>
    <w:rsid w:val="00F11885"/>
    <w:rsid w:val="00F2185A"/>
    <w:rsid w:val="00F24FB7"/>
    <w:rsid w:val="00F25560"/>
    <w:rsid w:val="00F27F3F"/>
    <w:rsid w:val="00F36DDF"/>
    <w:rsid w:val="00F40ECB"/>
    <w:rsid w:val="00F51DED"/>
    <w:rsid w:val="00F533E1"/>
    <w:rsid w:val="00F5737E"/>
    <w:rsid w:val="00F62BC7"/>
    <w:rsid w:val="00F62EDB"/>
    <w:rsid w:val="00F7020D"/>
    <w:rsid w:val="00F816D4"/>
    <w:rsid w:val="00F8247B"/>
    <w:rsid w:val="00F91DF9"/>
    <w:rsid w:val="00F92B23"/>
    <w:rsid w:val="00F93031"/>
    <w:rsid w:val="00F96437"/>
    <w:rsid w:val="00FA644D"/>
    <w:rsid w:val="00FA6A10"/>
    <w:rsid w:val="00FB66CE"/>
    <w:rsid w:val="00FC1549"/>
    <w:rsid w:val="00FD12A0"/>
    <w:rsid w:val="00FD1CC5"/>
    <w:rsid w:val="00FE2BF2"/>
    <w:rsid w:val="00FE7A12"/>
    <w:rsid w:val="00FF61F5"/>
    <w:rsid w:val="02FD1013"/>
    <w:rsid w:val="0C0E2303"/>
    <w:rsid w:val="0EFD3FD6"/>
    <w:rsid w:val="0F2D1F9B"/>
    <w:rsid w:val="0F407F8A"/>
    <w:rsid w:val="11605FEF"/>
    <w:rsid w:val="133116C2"/>
    <w:rsid w:val="150B3016"/>
    <w:rsid w:val="15F271C1"/>
    <w:rsid w:val="1683764B"/>
    <w:rsid w:val="16AD0904"/>
    <w:rsid w:val="172E76C0"/>
    <w:rsid w:val="1B01652A"/>
    <w:rsid w:val="20512996"/>
    <w:rsid w:val="22471B42"/>
    <w:rsid w:val="249B75C6"/>
    <w:rsid w:val="254F4EEF"/>
    <w:rsid w:val="2797597D"/>
    <w:rsid w:val="2D727A81"/>
    <w:rsid w:val="2F7E3DD8"/>
    <w:rsid w:val="3130702F"/>
    <w:rsid w:val="336D0EBB"/>
    <w:rsid w:val="36D164B5"/>
    <w:rsid w:val="36DA7549"/>
    <w:rsid w:val="397E4C9C"/>
    <w:rsid w:val="39D34629"/>
    <w:rsid w:val="3BA745F9"/>
    <w:rsid w:val="3D194B1A"/>
    <w:rsid w:val="3D67539B"/>
    <w:rsid w:val="3F900C19"/>
    <w:rsid w:val="405F16B5"/>
    <w:rsid w:val="40777483"/>
    <w:rsid w:val="41954E8E"/>
    <w:rsid w:val="43432D4B"/>
    <w:rsid w:val="466C1A38"/>
    <w:rsid w:val="47DD0398"/>
    <w:rsid w:val="48CB4E5C"/>
    <w:rsid w:val="4A58223A"/>
    <w:rsid w:val="4F0A0EB2"/>
    <w:rsid w:val="53326391"/>
    <w:rsid w:val="553E23B1"/>
    <w:rsid w:val="584D0928"/>
    <w:rsid w:val="59774E26"/>
    <w:rsid w:val="5D1507B2"/>
    <w:rsid w:val="5D8D1113"/>
    <w:rsid w:val="5D964401"/>
    <w:rsid w:val="607B0EDF"/>
    <w:rsid w:val="60B449FE"/>
    <w:rsid w:val="63DA75F1"/>
    <w:rsid w:val="6AF5083A"/>
    <w:rsid w:val="6D542416"/>
    <w:rsid w:val="735240A4"/>
    <w:rsid w:val="7C282BB3"/>
    <w:rsid w:val="7D02536D"/>
    <w:rsid w:val="7D4100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qFormat="1" w:unhideWhenUsed="0" w:uiPriority="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50" w:beforeLines="50" w:line="360" w:lineRule="auto"/>
      <w:ind w:firstLine="200" w:firstLineChars="200"/>
    </w:pPr>
    <w:rPr>
      <w:rFonts w:ascii="Calibri" w:hAnsi="Calibri" w:eastAsia="宋体" w:cs="Times New Roman"/>
      <w:color w:val="000000"/>
      <w:kern w:val="2"/>
      <w:sz w:val="24"/>
      <w:szCs w:val="22"/>
      <w:lang w:val="en-US" w:eastAsia="zh-CN" w:bidi="ar-SA"/>
    </w:rPr>
  </w:style>
  <w:style w:type="paragraph" w:styleId="4">
    <w:name w:val="heading 1"/>
    <w:basedOn w:val="1"/>
    <w:next w:val="1"/>
    <w:link w:val="38"/>
    <w:qFormat/>
    <w:uiPriority w:val="9"/>
    <w:pPr>
      <w:keepNext/>
      <w:keepLines/>
      <w:spacing w:before="340" w:after="330" w:line="578" w:lineRule="auto"/>
      <w:outlineLvl w:val="0"/>
    </w:pPr>
    <w:rPr>
      <w:b/>
      <w:bCs/>
      <w:kern w:val="44"/>
      <w:sz w:val="44"/>
      <w:szCs w:val="44"/>
    </w:rPr>
  </w:style>
  <w:style w:type="paragraph" w:styleId="5">
    <w:name w:val="heading 2"/>
    <w:basedOn w:val="1"/>
    <w:next w:val="1"/>
    <w:link w:val="36"/>
    <w:qFormat/>
    <w:uiPriority w:val="9"/>
    <w:pPr>
      <w:keepNext/>
      <w:keepLines/>
      <w:spacing w:before="260" w:after="260" w:line="416" w:lineRule="auto"/>
      <w:outlineLvl w:val="1"/>
    </w:pPr>
    <w:rPr>
      <w:rFonts w:ascii="Cambria" w:hAnsi="Cambria"/>
      <w:b/>
      <w:bCs/>
      <w:sz w:val="32"/>
      <w:szCs w:val="32"/>
    </w:rPr>
  </w:style>
  <w:style w:type="paragraph" w:styleId="6">
    <w:name w:val="heading 3"/>
    <w:basedOn w:val="1"/>
    <w:next w:val="1"/>
    <w:link w:val="29"/>
    <w:qFormat/>
    <w:uiPriority w:val="9"/>
    <w:pPr>
      <w:keepNext/>
      <w:keepLines/>
      <w:spacing w:before="260" w:after="260" w:line="416" w:lineRule="auto"/>
      <w:outlineLvl w:val="2"/>
    </w:pPr>
    <w:rPr>
      <w:b/>
      <w:bCs/>
      <w:sz w:val="32"/>
      <w:szCs w:val="32"/>
    </w:rPr>
  </w:style>
  <w:style w:type="character" w:default="1" w:styleId="22">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2">
    <w:name w:val="Body Text First Indent 2"/>
    <w:basedOn w:val="3"/>
    <w:semiHidden/>
    <w:qFormat/>
    <w:uiPriority w:val="0"/>
    <w:pPr>
      <w:ind w:firstLine="420"/>
    </w:pPr>
  </w:style>
  <w:style w:type="paragraph" w:styleId="3">
    <w:name w:val="Body Text Indent"/>
    <w:basedOn w:val="1"/>
    <w:unhideWhenUsed/>
    <w:qFormat/>
    <w:uiPriority w:val="99"/>
    <w:pPr>
      <w:spacing w:after="120"/>
      <w:ind w:left="420" w:leftChars="200"/>
      <w:jc w:val="both"/>
    </w:pPr>
    <w:rPr>
      <w:sz w:val="21"/>
    </w:rPr>
  </w:style>
  <w:style w:type="paragraph" w:styleId="7">
    <w:name w:val="Normal Indent"/>
    <w:basedOn w:val="1"/>
    <w:link w:val="33"/>
    <w:qFormat/>
    <w:uiPriority w:val="0"/>
    <w:pPr>
      <w:adjustRightInd w:val="0"/>
      <w:spacing w:before="0" w:beforeLines="0" w:line="312" w:lineRule="atLeast"/>
      <w:ind w:firstLine="420" w:firstLineChars="0"/>
      <w:jc w:val="both"/>
      <w:textAlignment w:val="baseline"/>
    </w:pPr>
    <w:rPr>
      <w:color w:val="auto"/>
      <w:sz w:val="28"/>
    </w:rPr>
  </w:style>
  <w:style w:type="paragraph" w:styleId="8">
    <w:name w:val="caption"/>
    <w:basedOn w:val="1"/>
    <w:next w:val="1"/>
    <w:qFormat/>
    <w:uiPriority w:val="35"/>
    <w:pPr>
      <w:jc w:val="both"/>
    </w:pPr>
    <w:rPr>
      <w:rFonts w:ascii="Calibri Light" w:hAnsi="Calibri Light" w:eastAsia="黑体"/>
      <w:sz w:val="20"/>
      <w:szCs w:val="20"/>
    </w:rPr>
  </w:style>
  <w:style w:type="paragraph" w:styleId="9">
    <w:name w:val="annotation text"/>
    <w:basedOn w:val="1"/>
    <w:link w:val="31"/>
    <w:unhideWhenUsed/>
    <w:qFormat/>
    <w:uiPriority w:val="99"/>
  </w:style>
  <w:style w:type="paragraph" w:styleId="10">
    <w:name w:val="toc 3"/>
    <w:basedOn w:val="1"/>
    <w:next w:val="1"/>
    <w:unhideWhenUsed/>
    <w:qFormat/>
    <w:uiPriority w:val="39"/>
    <w:pPr>
      <w:ind w:left="840" w:leftChars="400"/>
    </w:pPr>
  </w:style>
  <w:style w:type="paragraph" w:styleId="11">
    <w:name w:val="Date"/>
    <w:basedOn w:val="1"/>
    <w:next w:val="1"/>
    <w:link w:val="30"/>
    <w:unhideWhenUsed/>
    <w:qFormat/>
    <w:uiPriority w:val="99"/>
    <w:pPr>
      <w:ind w:left="100" w:leftChars="2500"/>
    </w:pPr>
  </w:style>
  <w:style w:type="paragraph" w:styleId="12">
    <w:name w:val="Body Text Indent 2"/>
    <w:basedOn w:val="1"/>
    <w:link w:val="40"/>
    <w:unhideWhenUsed/>
    <w:qFormat/>
    <w:uiPriority w:val="99"/>
    <w:pPr>
      <w:spacing w:before="0" w:beforeLines="0"/>
      <w:ind w:firstLine="482" w:firstLineChars="0"/>
      <w:jc w:val="both"/>
    </w:pPr>
    <w:rPr>
      <w:szCs w:val="24"/>
    </w:rPr>
  </w:style>
  <w:style w:type="paragraph" w:styleId="13">
    <w:name w:val="Balloon Text"/>
    <w:basedOn w:val="1"/>
    <w:link w:val="28"/>
    <w:unhideWhenUsed/>
    <w:qFormat/>
    <w:uiPriority w:val="99"/>
    <w:pPr>
      <w:spacing w:before="0" w:line="240" w:lineRule="auto"/>
    </w:pPr>
    <w:rPr>
      <w:sz w:val="18"/>
      <w:szCs w:val="18"/>
    </w:rPr>
  </w:style>
  <w:style w:type="paragraph" w:styleId="14">
    <w:name w:val="footer"/>
    <w:basedOn w:val="1"/>
    <w:link w:val="39"/>
    <w:unhideWhenUsed/>
    <w:qFormat/>
    <w:uiPriority w:val="99"/>
    <w:pPr>
      <w:tabs>
        <w:tab w:val="center" w:pos="4153"/>
        <w:tab w:val="right" w:pos="8306"/>
      </w:tabs>
      <w:snapToGrid w:val="0"/>
      <w:spacing w:line="240" w:lineRule="auto"/>
    </w:pPr>
    <w:rPr>
      <w:sz w:val="18"/>
      <w:szCs w:val="18"/>
    </w:rPr>
  </w:style>
  <w:style w:type="paragraph" w:styleId="15">
    <w:name w:val="header"/>
    <w:basedOn w:val="1"/>
    <w:link w:val="3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6">
    <w:name w:val="toc 1"/>
    <w:basedOn w:val="1"/>
    <w:next w:val="1"/>
    <w:unhideWhenUsed/>
    <w:qFormat/>
    <w:uiPriority w:val="39"/>
    <w:pPr>
      <w:tabs>
        <w:tab w:val="right" w:leader="dot" w:pos="8296"/>
      </w:tabs>
      <w:spacing w:before="163"/>
      <w:ind w:firstLine="0" w:firstLineChars="0"/>
      <w:jc w:val="center"/>
    </w:pPr>
    <w:rPr>
      <w:b/>
      <w:sz w:val="28"/>
    </w:rPr>
  </w:style>
  <w:style w:type="paragraph" w:styleId="17">
    <w:name w:val="toc 2"/>
    <w:basedOn w:val="1"/>
    <w:next w:val="1"/>
    <w:unhideWhenUsed/>
    <w:qFormat/>
    <w:uiPriority w:val="39"/>
    <w:pPr>
      <w:ind w:left="420" w:leftChars="200"/>
    </w:pPr>
  </w:style>
  <w:style w:type="paragraph" w:styleId="18">
    <w:name w:val="Normal (Web)"/>
    <w:basedOn w:val="1"/>
    <w:unhideWhenUsed/>
    <w:qFormat/>
    <w:uiPriority w:val="99"/>
  </w:style>
  <w:style w:type="paragraph" w:styleId="19">
    <w:name w:val="annotation subject"/>
    <w:basedOn w:val="9"/>
    <w:next w:val="9"/>
    <w:link w:val="37"/>
    <w:unhideWhenUsed/>
    <w:qFormat/>
    <w:uiPriority w:val="99"/>
    <w:rPr>
      <w:b/>
      <w:bCs/>
    </w:r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FollowedHyperlink"/>
    <w:basedOn w:val="22"/>
    <w:unhideWhenUsed/>
    <w:qFormat/>
    <w:uiPriority w:val="99"/>
    <w:rPr>
      <w:color w:val="800080"/>
      <w:u w:val="single"/>
    </w:rPr>
  </w:style>
  <w:style w:type="character" w:styleId="24">
    <w:name w:val="Hyperlink"/>
    <w:basedOn w:val="22"/>
    <w:unhideWhenUsed/>
    <w:qFormat/>
    <w:uiPriority w:val="99"/>
    <w:rPr>
      <w:color w:val="0000FF"/>
      <w:u w:val="single"/>
    </w:rPr>
  </w:style>
  <w:style w:type="character" w:styleId="25">
    <w:name w:val="annotation reference"/>
    <w:basedOn w:val="22"/>
    <w:unhideWhenUsed/>
    <w:qFormat/>
    <w:uiPriority w:val="99"/>
    <w:rPr>
      <w:sz w:val="21"/>
      <w:szCs w:val="21"/>
    </w:rPr>
  </w:style>
  <w:style w:type="character" w:customStyle="1" w:styleId="26">
    <w:name w:val="0-sghks Char"/>
    <w:link w:val="27"/>
    <w:qFormat/>
    <w:uiPriority w:val="0"/>
    <w:rPr>
      <w:rFonts w:ascii="Times New Roman" w:hAnsi="Times New Roman" w:eastAsia="宋体" w:cs="楷体_GB2312"/>
      <w:color w:val="000000"/>
      <w:sz w:val="24"/>
      <w:szCs w:val="24"/>
    </w:rPr>
  </w:style>
  <w:style w:type="paragraph" w:customStyle="1" w:styleId="27">
    <w:name w:val="0-sghks"/>
    <w:basedOn w:val="1"/>
    <w:next w:val="1"/>
    <w:link w:val="26"/>
    <w:qFormat/>
    <w:uiPriority w:val="0"/>
    <w:pPr>
      <w:spacing w:before="0" w:beforeLines="0"/>
      <w:jc w:val="both"/>
    </w:pPr>
    <w:rPr>
      <w:rFonts w:ascii="Times New Roman" w:hAnsi="Times New Roman" w:cs="楷体_GB2312"/>
      <w:szCs w:val="24"/>
    </w:rPr>
  </w:style>
  <w:style w:type="character" w:customStyle="1" w:styleId="28">
    <w:name w:val="批注框文本 字符"/>
    <w:basedOn w:val="22"/>
    <w:link w:val="13"/>
    <w:semiHidden/>
    <w:qFormat/>
    <w:uiPriority w:val="99"/>
    <w:rPr>
      <w:color w:val="000000"/>
      <w:sz w:val="18"/>
      <w:szCs w:val="18"/>
    </w:rPr>
  </w:style>
  <w:style w:type="character" w:customStyle="1" w:styleId="29">
    <w:name w:val="标题 3 字符"/>
    <w:basedOn w:val="22"/>
    <w:link w:val="6"/>
    <w:semiHidden/>
    <w:qFormat/>
    <w:uiPriority w:val="9"/>
    <w:rPr>
      <w:b/>
      <w:bCs/>
      <w:color w:val="000000"/>
      <w:sz w:val="32"/>
      <w:szCs w:val="32"/>
    </w:rPr>
  </w:style>
  <w:style w:type="character" w:customStyle="1" w:styleId="30">
    <w:name w:val="日期 字符"/>
    <w:basedOn w:val="22"/>
    <w:link w:val="11"/>
    <w:semiHidden/>
    <w:qFormat/>
    <w:uiPriority w:val="99"/>
    <w:rPr>
      <w:color w:val="000000"/>
      <w:sz w:val="24"/>
    </w:rPr>
  </w:style>
  <w:style w:type="character" w:customStyle="1" w:styleId="31">
    <w:name w:val="批注文字 字符"/>
    <w:basedOn w:val="22"/>
    <w:link w:val="9"/>
    <w:semiHidden/>
    <w:qFormat/>
    <w:uiPriority w:val="99"/>
    <w:rPr>
      <w:color w:val="000000"/>
      <w:sz w:val="24"/>
    </w:rPr>
  </w:style>
  <w:style w:type="character" w:customStyle="1" w:styleId="32">
    <w:name w:val="页眉 字符"/>
    <w:basedOn w:val="22"/>
    <w:link w:val="15"/>
    <w:qFormat/>
    <w:uiPriority w:val="99"/>
    <w:rPr>
      <w:color w:val="000000"/>
      <w:sz w:val="18"/>
      <w:szCs w:val="18"/>
    </w:rPr>
  </w:style>
  <w:style w:type="character" w:customStyle="1" w:styleId="33">
    <w:name w:val="正文缩进 字符"/>
    <w:link w:val="7"/>
    <w:qFormat/>
    <w:uiPriority w:val="0"/>
    <w:rPr>
      <w:sz w:val="28"/>
    </w:rPr>
  </w:style>
  <w:style w:type="character" w:customStyle="1" w:styleId="34">
    <w:name w:val="0-Meng Char"/>
    <w:link w:val="35"/>
    <w:qFormat/>
    <w:uiPriority w:val="0"/>
    <w:rPr>
      <w:color w:val="000000"/>
      <w:spacing w:val="8"/>
    </w:rPr>
  </w:style>
  <w:style w:type="paragraph" w:customStyle="1" w:styleId="35">
    <w:name w:val="0-Meng"/>
    <w:basedOn w:val="1"/>
    <w:next w:val="1"/>
    <w:link w:val="34"/>
    <w:qFormat/>
    <w:uiPriority w:val="0"/>
    <w:pPr>
      <w:spacing w:before="0" w:beforeLines="0"/>
      <w:jc w:val="both"/>
    </w:pPr>
    <w:rPr>
      <w:spacing w:val="8"/>
      <w:sz w:val="21"/>
    </w:rPr>
  </w:style>
  <w:style w:type="character" w:customStyle="1" w:styleId="36">
    <w:name w:val="标题 2 字符"/>
    <w:basedOn w:val="22"/>
    <w:link w:val="5"/>
    <w:semiHidden/>
    <w:qFormat/>
    <w:uiPriority w:val="9"/>
    <w:rPr>
      <w:rFonts w:ascii="Cambria" w:hAnsi="Cambria" w:eastAsia="宋体" w:cs="Times New Roman"/>
      <w:b/>
      <w:bCs/>
      <w:color w:val="000000"/>
      <w:sz w:val="32"/>
      <w:szCs w:val="32"/>
    </w:rPr>
  </w:style>
  <w:style w:type="character" w:customStyle="1" w:styleId="37">
    <w:name w:val="批注主题 字符"/>
    <w:basedOn w:val="31"/>
    <w:link w:val="19"/>
    <w:semiHidden/>
    <w:qFormat/>
    <w:uiPriority w:val="99"/>
    <w:rPr>
      <w:b/>
      <w:bCs/>
      <w:color w:val="000000"/>
      <w:sz w:val="24"/>
    </w:rPr>
  </w:style>
  <w:style w:type="character" w:customStyle="1" w:styleId="38">
    <w:name w:val="标题 1 字符"/>
    <w:basedOn w:val="22"/>
    <w:link w:val="4"/>
    <w:qFormat/>
    <w:uiPriority w:val="9"/>
    <w:rPr>
      <w:b/>
      <w:bCs/>
      <w:color w:val="000000"/>
      <w:kern w:val="44"/>
      <w:sz w:val="44"/>
      <w:szCs w:val="44"/>
    </w:rPr>
  </w:style>
  <w:style w:type="character" w:customStyle="1" w:styleId="39">
    <w:name w:val="页脚 字符"/>
    <w:basedOn w:val="22"/>
    <w:link w:val="14"/>
    <w:qFormat/>
    <w:uiPriority w:val="99"/>
    <w:rPr>
      <w:color w:val="000000"/>
      <w:sz w:val="18"/>
      <w:szCs w:val="18"/>
    </w:rPr>
  </w:style>
  <w:style w:type="character" w:customStyle="1" w:styleId="40">
    <w:name w:val="正文文本缩进 2 字符"/>
    <w:basedOn w:val="22"/>
    <w:link w:val="12"/>
    <w:qFormat/>
    <w:uiPriority w:val="99"/>
    <w:rPr>
      <w:rFonts w:ascii="Calibri" w:hAnsi="Calibri"/>
      <w:color w:val="000000"/>
      <w:kern w:val="2"/>
      <w:sz w:val="24"/>
      <w:szCs w:val="24"/>
    </w:rPr>
  </w:style>
  <w:style w:type="paragraph" w:customStyle="1" w:styleId="41">
    <w:name w:val="修订1"/>
    <w:semiHidden/>
    <w:qFormat/>
    <w:uiPriority w:val="99"/>
    <w:rPr>
      <w:rFonts w:ascii="Calibri" w:hAnsi="Calibri" w:eastAsia="宋体" w:cs="Times New Roman"/>
      <w:color w:val="000000"/>
      <w:kern w:val="2"/>
      <w:sz w:val="24"/>
      <w:szCs w:val="22"/>
      <w:lang w:val="en-US" w:eastAsia="zh-CN" w:bidi="ar-SA"/>
    </w:rPr>
  </w:style>
  <w:style w:type="paragraph" w:customStyle="1" w:styleId="42">
    <w:name w:val="目录"/>
    <w:basedOn w:val="1"/>
    <w:qFormat/>
    <w:uiPriority w:val="0"/>
    <w:pPr>
      <w:spacing w:before="0" w:beforeLines="0"/>
      <w:ind w:firstLine="0" w:firstLineChars="0"/>
      <w:jc w:val="center"/>
    </w:pPr>
    <w:rPr>
      <w:b/>
    </w:rPr>
  </w:style>
  <w:style w:type="paragraph" w:customStyle="1" w:styleId="43">
    <w:name w:val="font5"/>
    <w:basedOn w:val="1"/>
    <w:qFormat/>
    <w:uiPriority w:val="0"/>
    <w:pPr>
      <w:widowControl/>
      <w:spacing w:before="100" w:beforeLines="0" w:beforeAutospacing="1" w:after="100" w:afterAutospacing="1" w:line="240" w:lineRule="auto"/>
      <w:ind w:firstLine="0" w:firstLineChars="0"/>
    </w:pPr>
    <w:rPr>
      <w:rFonts w:ascii="宋体" w:hAnsi="宋体" w:cs="宋体"/>
      <w:color w:val="auto"/>
      <w:kern w:val="0"/>
      <w:sz w:val="18"/>
      <w:szCs w:val="18"/>
    </w:rPr>
  </w:style>
  <w:style w:type="paragraph" w:customStyle="1" w:styleId="44">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5">
    <w:name w:val="00正文"/>
    <w:qFormat/>
    <w:uiPriority w:val="0"/>
    <w:pPr>
      <w:spacing w:line="360" w:lineRule="auto"/>
      <w:ind w:firstLine="200" w:firstLineChars="200"/>
    </w:pPr>
    <w:rPr>
      <w:rFonts w:ascii="Calibri" w:hAnsi="Calibri" w:eastAsia="宋体" w:cs="Times New Roman"/>
      <w:bCs/>
      <w:kern w:val="44"/>
      <w:sz w:val="24"/>
      <w:szCs w:val="44"/>
      <w:lang w:val="en-US" w:eastAsia="zh-CN" w:bidi="ar-SA"/>
    </w:rPr>
  </w:style>
  <w:style w:type="paragraph" w:customStyle="1" w:styleId="46">
    <w:name w:val="一级标题"/>
    <w:basedOn w:val="1"/>
    <w:qFormat/>
    <w:uiPriority w:val="0"/>
    <w:pPr>
      <w:spacing w:after="50" w:afterLines="50"/>
      <w:ind w:firstLine="0" w:firstLineChars="0"/>
    </w:pPr>
    <w:rPr>
      <w:b/>
      <w:sz w:val="32"/>
    </w:rPr>
  </w:style>
  <w:style w:type="paragraph" w:customStyle="1" w:styleId="47">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Lines="0" w:beforeAutospacing="1" w:after="100" w:afterAutospacing="1" w:line="240" w:lineRule="auto"/>
      <w:ind w:firstLine="0" w:firstLineChars="0"/>
      <w:jc w:val="center"/>
    </w:pPr>
    <w:rPr>
      <w:rFonts w:ascii="宋体" w:hAnsi="宋体" w:cs="宋体"/>
      <w:color w:val="auto"/>
      <w:kern w:val="0"/>
      <w:szCs w:val="24"/>
    </w:rPr>
  </w:style>
  <w:style w:type="paragraph" w:customStyle="1" w:styleId="48">
    <w:name w:val="二级标题"/>
    <w:basedOn w:val="1"/>
    <w:qFormat/>
    <w:uiPriority w:val="0"/>
    <w:pPr>
      <w:spacing w:after="50" w:afterLines="50"/>
      <w:ind w:firstLine="0" w:firstLineChars="0"/>
    </w:pPr>
    <w:rPr>
      <w:b/>
      <w:sz w:val="30"/>
    </w:rPr>
  </w:style>
  <w:style w:type="paragraph" w:customStyle="1" w:styleId="49">
    <w:name w:val="p0"/>
    <w:basedOn w:val="1"/>
    <w:qFormat/>
    <w:uiPriority w:val="0"/>
    <w:pPr>
      <w:widowControl/>
      <w:spacing w:before="100" w:beforeLines="0" w:beforeAutospacing="1" w:after="100" w:afterAutospacing="1" w:line="240" w:lineRule="auto"/>
      <w:ind w:firstLine="0" w:firstLineChars="0"/>
    </w:pPr>
    <w:rPr>
      <w:rFonts w:ascii="宋体" w:hAnsi="宋体" w:cs="宋体"/>
      <w:color w:val="auto"/>
      <w:kern w:val="0"/>
      <w:szCs w:val="24"/>
    </w:rPr>
  </w:style>
  <w:style w:type="paragraph" w:customStyle="1" w:styleId="50">
    <w:name w:val="表格"/>
    <w:basedOn w:val="1"/>
    <w:qFormat/>
    <w:uiPriority w:val="0"/>
    <w:pPr>
      <w:spacing w:before="0" w:beforeLines="0" w:line="240" w:lineRule="auto"/>
      <w:ind w:firstLine="0" w:firstLineChars="0"/>
    </w:pPr>
    <w:rPr>
      <w:rFonts w:ascii="仿宋" w:hAnsi="仿宋"/>
      <w:sz w:val="21"/>
      <w:szCs w:val="21"/>
    </w:rPr>
  </w:style>
  <w:style w:type="paragraph" w:customStyle="1" w:styleId="51">
    <w:name w:val="三级标题"/>
    <w:basedOn w:val="1"/>
    <w:qFormat/>
    <w:uiPriority w:val="0"/>
    <w:pPr>
      <w:spacing w:after="50" w:afterLines="50"/>
      <w:ind w:firstLine="0" w:firstLineChars="0"/>
    </w:pPr>
    <w:rPr>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15</Pages>
  <Words>951</Words>
  <Characters>5421</Characters>
  <Lines>45</Lines>
  <Paragraphs>12</Paragraphs>
  <TotalTime>45</TotalTime>
  <ScaleCrop>false</ScaleCrop>
  <LinksUpToDate>false</LinksUpToDate>
  <CharactersWithSpaces>6360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2021-04-22T08:11:00Z</dcterms:created>
  <dc:creator>Windows 用户</dc:creator>
  <cp:lastModifiedBy>enzo</cp:lastModifiedBy>
  <cp:lastPrinted>2019-09-18T04:43:00Z</cp:lastPrinted>
  <dcterms:modified xsi:type="dcterms:W3CDTF">2021-06-02T01:58:04Z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CD2D9EE81BB544E7921991AEC2B0794F</vt:lpwstr>
  </property>
</Properties>
</file>