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广东省专家组到浈江区农村电商</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仿宋_GB2312" w:hAnsi="仿宋_GB2312" w:eastAsia="仿宋_GB2312" w:cs="仿宋_GB2312"/>
          <w:b w:val="0"/>
          <w:bCs w:val="0"/>
          <w:sz w:val="32"/>
          <w:szCs w:val="32"/>
          <w:lang w:eastAsia="zh-CN"/>
        </w:rPr>
      </w:pPr>
      <w:r>
        <w:rPr>
          <w:rFonts w:hint="eastAsia" w:ascii="方正小标宋简体" w:hAnsi="方正小标宋简体" w:eastAsia="方正小标宋简体" w:cs="方正小标宋简体"/>
          <w:b w:val="0"/>
          <w:bCs w:val="0"/>
          <w:sz w:val="44"/>
          <w:szCs w:val="44"/>
          <w:lang w:val="en-US" w:eastAsia="zh-CN"/>
        </w:rPr>
        <w:t>基层示范站进行核查核验工作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为做好我区农村电商培训和创业就业基地、农村电商产业园及农村电商基层示范站等三类省级重点项目的规范管理，近日，省人社厅派出核查核验工作组前来我区</w:t>
      </w:r>
      <w:r>
        <w:rPr>
          <w:rFonts w:hint="eastAsia" w:ascii="仿宋_GB2312" w:hAnsi="仿宋_GB2312" w:eastAsia="仿宋_GB2312" w:cs="仿宋_GB2312"/>
          <w:sz w:val="32"/>
          <w:szCs w:val="32"/>
          <w:lang w:eastAsia="zh-CN"/>
        </w:rPr>
        <w:t>十里亭镇湾头村农村电商基层示范站及犁市镇大村村农村电商基层示范站开展核查核验工作，韶关市人社局、浈江区人社局、浈江区农业农村局、浈江区电商公共服务中心有关人员陪同核查。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检查中，专家组从场地、设备、网店、团队、业绩及服务等方面对浈江区两个农村电商基层示范站进行了核验，并且在现场查阅了相关台账资料及后台销售数据。检查结束后，专家组对浈江区农村电商基层示范站的建设工作给予了高度评价，同时也提出了要明确产品品牌名称及修改主营范围类别的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下一步，浈江区人社局将继续加大</w:t>
      </w:r>
      <w:r>
        <w:rPr>
          <w:rFonts w:hint="default" w:ascii="仿宋_GB2312" w:hAnsi="仿宋_GB2312" w:eastAsia="仿宋_GB2312" w:cs="仿宋_GB2312"/>
          <w:sz w:val="32"/>
          <w:szCs w:val="32"/>
          <w:lang w:val="en-US" w:eastAsia="zh-CN"/>
        </w:rPr>
        <w:t>农村电商基层示范站建设</w:t>
      </w:r>
      <w:r>
        <w:rPr>
          <w:rFonts w:hint="eastAsia" w:ascii="仿宋_GB2312" w:hAnsi="仿宋_GB2312" w:eastAsia="仿宋_GB2312" w:cs="仿宋_GB2312"/>
          <w:sz w:val="32"/>
          <w:szCs w:val="32"/>
          <w:lang w:val="en-US" w:eastAsia="zh-CN"/>
        </w:rPr>
        <w:t>力度</w:t>
      </w:r>
      <w:r>
        <w:rPr>
          <w:rFonts w:hint="default" w:ascii="仿宋_GB2312" w:hAnsi="仿宋_GB2312" w:eastAsia="仿宋_GB2312" w:cs="仿宋_GB2312"/>
          <w:sz w:val="32"/>
          <w:szCs w:val="32"/>
          <w:lang w:val="en-US" w:eastAsia="zh-CN"/>
        </w:rPr>
        <w:t>，充分发挥典型示范作用，加强</w:t>
      </w:r>
      <w:r>
        <w:rPr>
          <w:rFonts w:hint="eastAsia" w:ascii="仿宋_GB2312" w:hAnsi="仿宋_GB2312" w:eastAsia="仿宋_GB2312" w:cs="仿宋_GB2312"/>
          <w:sz w:val="32"/>
          <w:szCs w:val="32"/>
          <w:lang w:val="en-US" w:eastAsia="zh-CN"/>
        </w:rPr>
        <w:t>农村</w:t>
      </w:r>
      <w:r>
        <w:rPr>
          <w:rFonts w:hint="default" w:ascii="仿宋_GB2312" w:hAnsi="仿宋_GB2312" w:eastAsia="仿宋_GB2312" w:cs="仿宋_GB2312"/>
          <w:sz w:val="32"/>
          <w:szCs w:val="32"/>
          <w:lang w:val="en-US" w:eastAsia="zh-CN"/>
        </w:rPr>
        <w:t>电商</w:t>
      </w:r>
      <w:r>
        <w:rPr>
          <w:rFonts w:hint="eastAsia" w:ascii="仿宋_GB2312" w:hAnsi="仿宋_GB2312" w:eastAsia="仿宋_GB2312" w:cs="仿宋_GB2312"/>
          <w:sz w:val="32"/>
          <w:szCs w:val="32"/>
          <w:lang w:val="en-US" w:eastAsia="zh-CN"/>
        </w:rPr>
        <w:t>基层示范站建设</w:t>
      </w:r>
      <w:r>
        <w:rPr>
          <w:rFonts w:hint="default" w:ascii="仿宋_GB2312" w:hAnsi="仿宋_GB2312" w:eastAsia="仿宋_GB2312" w:cs="仿宋_GB2312"/>
          <w:sz w:val="32"/>
          <w:szCs w:val="32"/>
          <w:lang w:val="en-US" w:eastAsia="zh-CN"/>
        </w:rPr>
        <w:t>政策宣传和成功案例的经验推广</w:t>
      </w:r>
      <w:r>
        <w:rPr>
          <w:rFonts w:hint="eastAsia" w:ascii="仿宋_GB2312" w:hAnsi="仿宋_GB2312" w:eastAsia="仿宋_GB2312" w:cs="仿宋_GB2312"/>
          <w:sz w:val="32"/>
          <w:szCs w:val="32"/>
          <w:lang w:val="en-US" w:eastAsia="zh-CN"/>
        </w:rPr>
        <w:t>，推动“农村电商”工程，助力乡村振兴。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5273040" cy="3958590"/>
            <wp:effectExtent l="0" t="0" r="381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3040" cy="39585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sz w:val="32"/>
          <w:szCs w:val="32"/>
          <w:lang w:val="en-US" w:eastAsia="zh-CN"/>
        </w:rPr>
      </w:pPr>
      <w:r>
        <w:drawing>
          <wp:inline distT="0" distB="0" distL="114300" distR="114300">
            <wp:extent cx="5274310" cy="3913505"/>
            <wp:effectExtent l="0" t="0" r="254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39135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sz w:val="32"/>
          <w:szCs w:val="32"/>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2A1664"/>
    <w:rsid w:val="055855BD"/>
    <w:rsid w:val="1C9917B0"/>
    <w:rsid w:val="2C2A1664"/>
    <w:rsid w:val="31E06A75"/>
    <w:rsid w:val="329E48C9"/>
    <w:rsid w:val="3810525B"/>
    <w:rsid w:val="5E341D11"/>
    <w:rsid w:val="6B643800"/>
    <w:rsid w:val="6F060FE9"/>
    <w:rsid w:val="72D65269"/>
    <w:rsid w:val="73060417"/>
    <w:rsid w:val="7F3108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26</TotalTime>
  <ScaleCrop>false</ScaleCrop>
  <LinksUpToDate>false</LinksUpToDate>
  <CharactersWithSpaces>0</CharactersWithSpaces>
  <Application>WPS Office_10.8.2.7119_F1E327BC-269C-435d-A152-05C5408002CA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2021-04-22T01:16:00Z</dcterms:created>
  <dc:creator>Manfy-</dc:creator>
  <cp:lastModifiedBy>杨会朝</cp:lastModifiedBy>
  <dcterms:modified xsi:type="dcterms:W3CDTF">2021-04-27T10:52:05Z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y fmtid="{D5CDD505-2E9C-101B-9397-08002B2CF9AE}" pid="3" name="ICV">
    <vt:lpwstr>A396DD3832684F55AD203D0ABB5AAE7E</vt:lpwstr>
  </property>
  <property fmtid="{D5CDD505-2E9C-101B-9397-08002B2CF9AE}" pid="4" name="ribbonExt">
    <vt:lpwstr>{"WPSExtOfficeTab":{"OnGetEnabled":false,"OnGetVisible":false}}</vt:lpwstr>
  </property>
</Properties>
</file>