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adjustRightInd w:val="0"/>
        <w:snapToGrid w:val="0"/>
        <w:spacing w:beforeLines="0" w:afterLines="0" w:line="580" w:lineRule="exact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1</w:t>
      </w:r>
    </w:p>
    <w:p>
      <w:pPr>
        <w:numPr>
          <w:ilvl w:val="0"/>
          <w:numId w:val="0"/>
        </w:numPr>
        <w:adjustRightInd w:val="0"/>
        <w:snapToGrid w:val="0"/>
        <w:spacing w:beforeLines="0" w:afterLines="0" w:line="580" w:lineRule="exact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widowControl/>
        <w:numPr>
          <w:ilvl w:val="0"/>
          <w:numId w:val="0"/>
        </w:numPr>
        <w:adjustRightInd w:val="0"/>
        <w:snapToGrid w:val="0"/>
        <w:spacing w:beforeLines="0" w:afterLines="0" w:line="5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投保短期出口信用保险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险种</w:t>
      </w:r>
    </w:p>
    <w:p>
      <w:pPr>
        <w:widowControl/>
        <w:numPr>
          <w:ilvl w:val="0"/>
          <w:numId w:val="0"/>
        </w:numPr>
        <w:adjustRightInd w:val="0"/>
        <w:snapToGrid w:val="0"/>
        <w:spacing w:beforeLines="0" w:afterLines="0" w:line="5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企业分类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的定义</w:t>
      </w:r>
    </w:p>
    <w:p>
      <w:pPr>
        <w:snapToGrid w:val="0"/>
        <w:spacing w:line="360" w:lineRule="auto"/>
        <w:jc w:val="center"/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</w:pPr>
    </w:p>
    <w:p>
      <w:pPr>
        <w:ind w:firstLine="640" w:firstLineChars="200"/>
        <w:rPr>
          <w:rFonts w:hint="eastAsia" w:eastAsia="仿宋_GB2312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“一般企业类”包括中国信保“短期出口信用保险综合保险”、“中小企业综合保险”、“特定合同保险”、“买方违约保险”,中国人保“短期出口贸易信用保险”、“中小企业短期出口贸易信用保险”、“短期出口特定合同信用保险”,太平洋保险的“出口贸易信用保险（短期）”、平安产险的“出口贸易短期信用保险”、大地保险“短期出口贸易信用保险”等产品。</w:t>
      </w:r>
      <w:r>
        <w:rPr>
          <w:rFonts w:hint="eastAsia" w:eastAsia="仿宋_GB2312"/>
          <w:color w:val="auto"/>
          <w:sz w:val="32"/>
          <w:szCs w:val="32"/>
        </w:rPr>
        <w:t>保险公司应在该通知印发后的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10</w:t>
      </w:r>
      <w:r>
        <w:rPr>
          <w:rFonts w:hint="eastAsia" w:eastAsia="仿宋_GB2312"/>
          <w:color w:val="auto"/>
          <w:sz w:val="32"/>
          <w:szCs w:val="32"/>
        </w:rPr>
        <w:t>个工作日内，将“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一般企业类”保险产品介绍</w:t>
      </w:r>
      <w:r>
        <w:rPr>
          <w:rFonts w:hint="eastAsia" w:eastAsia="仿宋_GB2312"/>
          <w:color w:val="auto"/>
          <w:sz w:val="32"/>
          <w:szCs w:val="32"/>
        </w:rPr>
        <w:t>报广东省商务厅</w:t>
      </w:r>
      <w:r>
        <w:rPr>
          <w:rFonts w:hint="eastAsia" w:eastAsia="仿宋_GB2312"/>
          <w:color w:val="auto"/>
          <w:sz w:val="32"/>
          <w:szCs w:val="32"/>
          <w:lang w:eastAsia="zh-CN"/>
        </w:rPr>
        <w:t>、韶关市商务局</w:t>
      </w:r>
      <w:r>
        <w:rPr>
          <w:rFonts w:hint="eastAsia" w:eastAsia="仿宋_GB2312"/>
          <w:color w:val="auto"/>
          <w:sz w:val="32"/>
          <w:szCs w:val="32"/>
        </w:rPr>
        <w:t>备案。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 xml:space="preserve"> </w:t>
      </w:r>
    </w:p>
    <w:p>
      <w:pPr>
        <w:ind w:firstLine="640" w:firstLineChars="200"/>
      </w:pPr>
      <w:r>
        <w:rPr>
          <w:rFonts w:hint="eastAsia" w:eastAsia="仿宋_GB2312"/>
          <w:color w:val="auto"/>
          <w:sz w:val="32"/>
          <w:szCs w:val="32"/>
        </w:rPr>
        <w:t>“小微企业类”是指保险公司采用平台类保险产品承保2019年度出口额在300万美元以下（含300万美元）的小微企业业务，包括中国信保“小微企业信保易”、中国人保“小微企业短期出口贸易信用保险”、太平洋保险“小微企业出口信用保险”、平安产险的“小微企业出口贸易短期信用保险”等产品。 保险公司应在该通知印发后的10个工作日内，将“小微企业类”保险方案报广东省商务厅、韶关市商务局备案。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A616CF"/>
    <w:rsid w:val="35A6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2021-01-20T08:08:00Z</dcterms:created>
  <dc:creator>Administrator</dc:creator>
  <cp:lastModifiedBy>Administrator</cp:lastModifiedBy>
  <dcterms:modified xsi:type="dcterms:W3CDTF">2021-01-20T08:10:53Z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ribbonExt">
    <vt:lpwstr>{"WPSExtOfficeTab":{"OnGetEnabled":false,"OnGetVisible":false}}</vt:lpwstr>
  </property>
</Properties>
</file>