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ind w:left="0" w:leftChars="0" w:firstLine="0"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napToGrid/>
        <w:ind w:firstLine="0" w:firstLineChars="0"/>
        <w:jc w:val="center"/>
        <w:rPr>
          <w:rFonts w:ascii="Times New Roman" w:hAnsi="Times New Roman" w:eastAsia="方正小标宋简体" w:cs="Times New Roman"/>
          <w:color w:val="000000" w:themeColor="text1"/>
          <w:sz w:val="52"/>
          <w:szCs w:val="52"/>
          <w14:textFill>
            <w14:solidFill>
              <w14:schemeClr w14:val="tx1"/>
            </w14:solidFill>
          </w14:textFill>
        </w:rPr>
      </w:pPr>
    </w:p>
    <w:p>
      <w:pPr>
        <w:snapToGrid/>
        <w:ind w:firstLine="0" w:firstLineChars="0"/>
        <w:jc w:val="center"/>
        <w:rPr>
          <w:rFonts w:ascii="Times New Roman" w:hAnsi="Times New Roman" w:eastAsia="方正小标宋简体" w:cs="Times New Roman"/>
          <w:color w:val="000000" w:themeColor="text1"/>
          <w:sz w:val="52"/>
          <w:szCs w:val="52"/>
          <w14:textFill>
            <w14:solidFill>
              <w14:schemeClr w14:val="tx1"/>
            </w14:solidFill>
          </w14:textFill>
        </w:rPr>
      </w:pPr>
    </w:p>
    <w:p>
      <w:pPr>
        <w:snapToGrid/>
        <w:ind w:firstLine="0" w:firstLineChars="0"/>
        <w:jc w:val="center"/>
        <w:rPr>
          <w:rFonts w:ascii="Times New Roman" w:hAnsi="Times New Roman" w:eastAsia="方正小标宋简体" w:cs="Times New Roman"/>
          <w:color w:val="000000" w:themeColor="text1"/>
          <w:sz w:val="52"/>
          <w:szCs w:val="52"/>
          <w14:textFill>
            <w14:solidFill>
              <w14:schemeClr w14:val="tx1"/>
            </w14:solidFill>
          </w14:textFill>
        </w:rPr>
      </w:pPr>
    </w:p>
    <w:p>
      <w:pPr>
        <w:snapToGrid/>
        <w:ind w:firstLine="0" w:firstLineChars="0"/>
        <w:jc w:val="center"/>
        <w:rPr>
          <w:rFonts w:ascii="Times New Roman" w:hAnsi="Times New Roman" w:eastAsia="方正小标宋简体" w:cs="Times New Roman"/>
          <w:color w:val="000000" w:themeColor="text1"/>
          <w:sz w:val="52"/>
          <w:szCs w:val="52"/>
          <w14:textFill>
            <w14:solidFill>
              <w14:schemeClr w14:val="tx1"/>
            </w14:solidFill>
          </w14:textFill>
        </w:rPr>
      </w:pPr>
    </w:p>
    <w:p>
      <w:pPr>
        <w:snapToGrid/>
        <w:ind w:firstLine="0" w:firstLineChars="0"/>
        <w:jc w:val="center"/>
        <w:rPr>
          <w:rFonts w:hint="eastAsia" w:ascii="宋体" w:hAnsi="宋体" w:eastAsia="宋体" w:cs="宋体"/>
          <w:b/>
          <w:color w:val="000000" w:themeColor="text1"/>
          <w:sz w:val="52"/>
          <w:szCs w:val="52"/>
          <w14:textFill>
            <w14:solidFill>
              <w14:schemeClr w14:val="tx1"/>
            </w14:solidFill>
          </w14:textFill>
        </w:rPr>
      </w:pPr>
      <w:bookmarkStart w:id="0" w:name="_Hlk19625411"/>
      <w:r>
        <w:rPr>
          <w:rFonts w:hint="eastAsia" w:ascii="宋体" w:hAnsi="宋体" w:eastAsia="宋体" w:cs="宋体"/>
          <w:b/>
          <w:color w:val="000000" w:themeColor="text1"/>
          <w:sz w:val="52"/>
          <w:szCs w:val="52"/>
          <w14:textFill>
            <w14:solidFill>
              <w14:schemeClr w14:val="tx1"/>
            </w14:solidFill>
          </w14:textFill>
        </w:rPr>
        <w:t>韶关市2019年度企业关闭破产补助</w:t>
      </w:r>
    </w:p>
    <w:p>
      <w:pPr>
        <w:snapToGrid/>
        <w:ind w:firstLine="0" w:firstLineChars="0"/>
        <w:jc w:val="center"/>
        <w:rPr>
          <w:rFonts w:hint="eastAsia" w:ascii="宋体" w:hAnsi="宋体" w:eastAsia="宋体" w:cs="宋体"/>
          <w:b/>
          <w:color w:val="000000" w:themeColor="text1"/>
          <w:sz w:val="52"/>
          <w:szCs w:val="52"/>
          <w14:textFill>
            <w14:solidFill>
              <w14:schemeClr w14:val="tx1"/>
            </w14:solidFill>
          </w14:textFill>
        </w:rPr>
      </w:pPr>
    </w:p>
    <w:p>
      <w:pPr>
        <w:snapToGrid/>
        <w:ind w:firstLine="0" w:firstLineChars="0"/>
        <w:jc w:val="center"/>
        <w:rPr>
          <w:rFonts w:hint="eastAsia" w:ascii="宋体" w:hAnsi="宋体" w:eastAsia="宋体" w:cs="宋体"/>
          <w:b/>
          <w:color w:val="000000" w:themeColor="text1"/>
          <w:sz w:val="52"/>
          <w:szCs w:val="52"/>
          <w14:textFill>
            <w14:solidFill>
              <w14:schemeClr w14:val="tx1"/>
            </w14:solidFill>
          </w14:textFill>
        </w:rPr>
      </w:pPr>
      <w:r>
        <w:rPr>
          <w:rFonts w:hint="eastAsia" w:ascii="宋体" w:hAnsi="宋体" w:eastAsia="宋体" w:cs="宋体"/>
          <w:b/>
          <w:color w:val="000000" w:themeColor="text1"/>
          <w:sz w:val="52"/>
          <w:szCs w:val="52"/>
          <w14:textFill>
            <w14:solidFill>
              <w14:schemeClr w14:val="tx1"/>
            </w14:solidFill>
          </w14:textFill>
        </w:rPr>
        <w:t>项目绩效评价报告</w:t>
      </w:r>
      <w:bookmarkEnd w:id="0"/>
    </w:p>
    <w:p>
      <w:pPr>
        <w:ind w:firstLine="643"/>
        <w:rPr>
          <w:rFonts w:ascii="Times New Roman" w:hAnsi="Times New Roman"/>
          <w:b/>
          <w:color w:val="000000" w:themeColor="text1"/>
          <w:szCs w:val="32"/>
          <w14:textFill>
            <w14:solidFill>
              <w14:schemeClr w14:val="tx1"/>
            </w14:solidFill>
          </w14:textFill>
        </w:rPr>
      </w:pPr>
    </w:p>
    <w:p>
      <w:pPr>
        <w:ind w:firstLine="643"/>
        <w:rPr>
          <w:rFonts w:ascii="Times New Roman" w:hAnsi="Times New Roman"/>
          <w:b/>
          <w:color w:val="000000" w:themeColor="text1"/>
          <w:szCs w:val="32"/>
          <w14:textFill>
            <w14:solidFill>
              <w14:schemeClr w14:val="tx1"/>
            </w14:solidFill>
          </w14:textFill>
        </w:rPr>
      </w:pPr>
    </w:p>
    <w:p>
      <w:pPr>
        <w:ind w:firstLine="643"/>
        <w:rPr>
          <w:rFonts w:ascii="Times New Roman" w:hAnsi="Times New Roman"/>
          <w:b/>
          <w:color w:val="000000" w:themeColor="text1"/>
          <w:szCs w:val="32"/>
          <w14:textFill>
            <w14:solidFill>
              <w14:schemeClr w14:val="tx1"/>
            </w14:solidFill>
          </w14:textFill>
        </w:rPr>
      </w:pPr>
    </w:p>
    <w:p>
      <w:pPr>
        <w:ind w:firstLine="643"/>
        <w:rPr>
          <w:rFonts w:ascii="Times New Roman" w:hAnsi="Times New Roman"/>
          <w:b/>
          <w:color w:val="000000" w:themeColor="text1"/>
          <w:szCs w:val="32"/>
          <w14:textFill>
            <w14:solidFill>
              <w14:schemeClr w14:val="tx1"/>
            </w14:solidFill>
          </w14:textFill>
        </w:rPr>
      </w:pPr>
    </w:p>
    <w:p>
      <w:pPr>
        <w:ind w:firstLine="643"/>
        <w:rPr>
          <w:rFonts w:ascii="Times New Roman" w:hAnsi="Times New Roman"/>
          <w:b/>
          <w:color w:val="000000" w:themeColor="text1"/>
          <w:szCs w:val="32"/>
          <w14:textFill>
            <w14:solidFill>
              <w14:schemeClr w14:val="tx1"/>
            </w14:solidFill>
          </w14:textFill>
        </w:rPr>
      </w:pPr>
    </w:p>
    <w:p>
      <w:pPr>
        <w:tabs>
          <w:tab w:val="left" w:pos="3330"/>
        </w:tabs>
        <w:adjustRightInd/>
        <w:snapToGrid/>
        <w:ind w:firstLine="1132" w:firstLineChars="354"/>
        <w:jc w:val="left"/>
        <w:rPr>
          <w:rFonts w:ascii="Times New Roman" w:hAnsi="Times New Roman"/>
          <w:color w:val="000000" w:themeColor="text1"/>
          <w14:textFill>
            <w14:solidFill>
              <w14:schemeClr w14:val="tx1"/>
            </w14:solidFill>
          </w14:textFill>
        </w:rPr>
      </w:pPr>
    </w:p>
    <w:p>
      <w:pPr>
        <w:tabs>
          <w:tab w:val="left" w:pos="3330"/>
        </w:tabs>
        <w:adjustRightInd/>
        <w:snapToGrid/>
        <w:ind w:firstLine="1132" w:firstLineChars="354"/>
        <w:jc w:val="left"/>
        <w:rPr>
          <w:rFonts w:ascii="Times New Roman" w:hAnsi="Times New Roman"/>
          <w:color w:val="000000" w:themeColor="text1"/>
          <w14:textFill>
            <w14:solidFill>
              <w14:schemeClr w14:val="tx1"/>
            </w14:solidFill>
          </w14:textFill>
        </w:rPr>
      </w:pPr>
    </w:p>
    <w:p>
      <w:pPr>
        <w:tabs>
          <w:tab w:val="left" w:pos="3330"/>
        </w:tabs>
        <w:adjustRightInd/>
        <w:snapToGrid/>
        <w:ind w:firstLine="1132" w:firstLineChars="354"/>
        <w:jc w:val="left"/>
        <w:rPr>
          <w:rFonts w:ascii="Times New Roman" w:hAnsi="Times New Roman"/>
          <w:color w:val="000000" w:themeColor="text1"/>
          <w14:textFill>
            <w14:solidFill>
              <w14:schemeClr w14:val="tx1"/>
            </w14:solidFill>
          </w14:textFill>
        </w:rPr>
      </w:pPr>
    </w:p>
    <w:p>
      <w:pPr>
        <w:tabs>
          <w:tab w:val="left" w:pos="3330"/>
        </w:tabs>
        <w:adjustRightInd/>
        <w:snapToGrid/>
        <w:ind w:firstLine="1132" w:firstLineChars="354"/>
        <w:jc w:val="left"/>
        <w:rPr>
          <w:rFonts w:ascii="Times New Roman" w:hAnsi="Times New Roman"/>
          <w:color w:val="000000" w:themeColor="text1"/>
          <w14:textFill>
            <w14:solidFill>
              <w14:schemeClr w14:val="tx1"/>
            </w14:solidFill>
          </w14:textFill>
        </w:rPr>
      </w:pPr>
    </w:p>
    <w:p>
      <w:pPr>
        <w:widowControl/>
        <w:adjustRightInd/>
        <w:snapToGrid/>
        <w:ind w:firstLine="0" w:firstLineChars="0"/>
        <w:jc w:val="left"/>
        <w:rPr>
          <w:rFonts w:ascii="Times New Roman" w:hAnsi="Times New Roman"/>
          <w:b/>
          <w:color w:val="000000" w:themeColor="text1"/>
          <w:szCs w:val="32"/>
          <w14:textFill>
            <w14:solidFill>
              <w14:schemeClr w14:val="tx1"/>
            </w14:solidFill>
          </w14:textFill>
        </w:rPr>
        <w:sectPr>
          <w:headerReference r:id="rId6" w:type="first"/>
          <w:footerReference r:id="rId9" w:type="first"/>
          <w:headerReference r:id="rId4" w:type="default"/>
          <w:footerReference r:id="rId7" w:type="default"/>
          <w:headerReference r:id="rId5" w:type="even"/>
          <w:footerReference r:id="rId8" w:type="even"/>
          <w:footnotePr>
            <w:numRestart w:val="eachPage"/>
          </w:footnotePr>
          <w:pgSz w:w="11906" w:h="16838"/>
          <w:pgMar w:top="1440" w:right="1800" w:bottom="1440" w:left="1418" w:header="851" w:footer="992" w:gutter="0"/>
          <w:pgNumType w:fmt="numberInDash" w:start="1"/>
          <w:cols w:space="425" w:num="1"/>
          <w:docGrid w:type="lines" w:linePitch="312" w:charSpace="0"/>
        </w:sectPr>
      </w:pPr>
    </w:p>
    <w:sdt>
      <w:sdtPr>
        <w:rPr>
          <w:rFonts w:hint="eastAsia" w:ascii="Times New Roman" w:hAnsi="Times New Roman" w:eastAsia="黑体" w:cs="Times New Roman"/>
          <w:color w:val="000000" w:themeColor="text1"/>
          <w:sz w:val="24"/>
          <w:szCs w:val="32"/>
          <w:lang w:val="zh-CN"/>
          <w14:textFill>
            <w14:solidFill>
              <w14:schemeClr w14:val="tx1"/>
            </w14:solidFill>
          </w14:textFill>
        </w:rPr>
        <w:id w:val="-1733147341"/>
        <w:docPartObj>
          <w:docPartGallery w:val="Table of Contents"/>
          <w:docPartUnique/>
        </w:docPartObj>
      </w:sdtPr>
      <w:sdtEndPr>
        <w:rPr>
          <w:rFonts w:hint="eastAsia" w:cs="Times New Roman" w:asciiTheme="minorEastAsia" w:hAnsiTheme="minorEastAsia" w:eastAsiaTheme="minorEastAsia"/>
          <w:bCs/>
          <w:color w:val="000000" w:themeColor="text1"/>
          <w:sz w:val="28"/>
          <w:szCs w:val="28"/>
          <w:lang w:val="zh-CN"/>
          <w14:textFill>
            <w14:solidFill>
              <w14:schemeClr w14:val="tx1"/>
            </w14:solidFill>
          </w14:textFill>
        </w:rPr>
      </w:sdtEndPr>
      <w:sdtContent>
        <w:p>
          <w:pPr>
            <w:widowControl/>
            <w:ind w:firstLine="0" w:firstLineChars="0"/>
            <w:jc w:val="center"/>
            <w:rPr>
              <w:rFonts w:eastAsia="黑体"/>
              <w:b/>
              <w:bCs/>
              <w:kern w:val="44"/>
              <w:szCs w:val="32"/>
            </w:rPr>
          </w:pPr>
          <w:r>
            <w:rPr>
              <w:rFonts w:hint="eastAsia" w:eastAsia="黑体"/>
              <w:b/>
              <w:bCs/>
              <w:kern w:val="44"/>
              <w:szCs w:val="32"/>
            </w:rPr>
            <w:t xml:space="preserve">目 </w:t>
          </w:r>
          <w:r>
            <w:rPr>
              <w:rFonts w:eastAsia="黑体"/>
              <w:b/>
              <w:bCs/>
              <w:kern w:val="44"/>
              <w:szCs w:val="32"/>
            </w:rPr>
            <w:t xml:space="preserve"> </w:t>
          </w:r>
          <w:r>
            <w:rPr>
              <w:rFonts w:hint="eastAsia" w:eastAsia="黑体"/>
              <w:b/>
              <w:bCs/>
              <w:kern w:val="44"/>
              <w:szCs w:val="32"/>
            </w:rPr>
            <w:t>录</w:t>
          </w:r>
        </w:p>
        <w:p>
          <w:pPr>
            <w:pStyle w:val="22"/>
            <w:spacing w:line="360" w:lineRule="auto"/>
            <w:ind w:firstLine="0" w:firstLineChars="0"/>
            <w:rPr>
              <w:rFonts w:asciiTheme="minorEastAsia" w:hAnsiTheme="minorEastAsia" w:eastAsiaTheme="minorEastAsia" w:cstheme="minorBidi"/>
              <w:b/>
              <w:bCs/>
              <w:sz w:val="28"/>
            </w:rPr>
          </w:pPr>
          <w:r>
            <w:rPr>
              <w:rFonts w:hint="eastAsia" w:cs="宋体" w:asciiTheme="minorEastAsia" w:hAnsiTheme="minorEastAsia" w:eastAsiaTheme="minorEastAsia"/>
              <w:color w:val="000000" w:themeColor="text1"/>
              <w:sz w:val="28"/>
              <w14:textFill>
                <w14:solidFill>
                  <w14:schemeClr w14:val="tx1"/>
                </w14:solidFill>
              </w14:textFill>
            </w:rPr>
            <w:fldChar w:fldCharType="begin"/>
          </w:r>
          <w:r>
            <w:rPr>
              <w:rFonts w:cs="宋体" w:asciiTheme="minorEastAsia" w:hAnsiTheme="minorEastAsia" w:eastAsiaTheme="minorEastAsia"/>
              <w:color w:val="000000" w:themeColor="text1"/>
              <w:sz w:val="28"/>
              <w14:textFill>
                <w14:solidFill>
                  <w14:schemeClr w14:val="tx1"/>
                </w14:solidFill>
              </w14:textFill>
            </w:rPr>
            <w:instrText xml:space="preserve"> TOC \o "1-2" \h \z \u </w:instrText>
          </w:r>
          <w:r>
            <w:rPr>
              <w:rFonts w:hint="eastAsia" w:cs="宋体" w:asciiTheme="minorEastAsia" w:hAnsiTheme="minorEastAsia" w:eastAsiaTheme="minorEastAsia"/>
              <w:color w:val="000000" w:themeColor="text1"/>
              <w:sz w:val="28"/>
              <w14:textFill>
                <w14:solidFill>
                  <w14:schemeClr w14:val="tx1"/>
                </w14:solidFill>
              </w14:textFill>
            </w:rPr>
            <w:fldChar w:fldCharType="separate"/>
          </w:r>
          <w:r>
            <w:rPr>
              <w:b/>
              <w:bCs/>
            </w:rPr>
            <w:fldChar w:fldCharType="begin"/>
          </w:r>
          <w:r>
            <w:rPr>
              <w:b/>
              <w:bCs/>
            </w:rPr>
            <w:instrText xml:space="preserve"> HYPERLINK \l "_Toc54077302" </w:instrText>
          </w:r>
          <w:r>
            <w:rPr>
              <w:b/>
              <w:bCs/>
            </w:rPr>
            <w:fldChar w:fldCharType="separate"/>
          </w:r>
          <w:r>
            <w:rPr>
              <w:rStyle w:val="38"/>
              <w:rFonts w:cs="宋体" w:asciiTheme="minorEastAsia" w:hAnsiTheme="minorEastAsia" w:eastAsiaTheme="minorEastAsia"/>
              <w:b/>
              <w:bCs/>
              <w:sz w:val="28"/>
            </w:rPr>
            <w:t>摘  要</w:t>
          </w:r>
          <w:r>
            <w:rPr>
              <w:rFonts w:asciiTheme="minorEastAsia" w:hAnsiTheme="minorEastAsia" w:eastAsiaTheme="minorEastAsia"/>
              <w:b/>
              <w:bCs/>
              <w:sz w:val="28"/>
            </w:rPr>
            <w:tab/>
          </w:r>
          <w:r>
            <w:rPr>
              <w:rFonts w:asciiTheme="minorEastAsia" w:hAnsiTheme="minorEastAsia" w:eastAsiaTheme="minorEastAsia"/>
              <w:b/>
              <w:bCs/>
              <w:sz w:val="28"/>
            </w:rPr>
            <w:fldChar w:fldCharType="begin"/>
          </w:r>
          <w:r>
            <w:rPr>
              <w:rFonts w:asciiTheme="minorEastAsia" w:hAnsiTheme="minorEastAsia" w:eastAsiaTheme="minorEastAsia"/>
              <w:b/>
              <w:bCs/>
              <w:sz w:val="28"/>
            </w:rPr>
            <w:instrText xml:space="preserve"> PAGEREF _Toc54077302 \h </w:instrText>
          </w:r>
          <w:r>
            <w:rPr>
              <w:rFonts w:asciiTheme="minorEastAsia" w:hAnsiTheme="minorEastAsia" w:eastAsiaTheme="minorEastAsia"/>
              <w:b/>
              <w:bCs/>
              <w:sz w:val="28"/>
            </w:rPr>
            <w:fldChar w:fldCharType="separate"/>
          </w:r>
          <w:r>
            <w:rPr>
              <w:rFonts w:asciiTheme="minorEastAsia" w:hAnsiTheme="minorEastAsia" w:eastAsiaTheme="minorEastAsia"/>
              <w:b/>
              <w:bCs/>
              <w:sz w:val="28"/>
            </w:rPr>
            <w:t>- 1 -</w:t>
          </w:r>
          <w:r>
            <w:rPr>
              <w:rFonts w:asciiTheme="minorEastAsia" w:hAnsiTheme="minorEastAsia" w:eastAsiaTheme="minorEastAsia"/>
              <w:b/>
              <w:bCs/>
              <w:sz w:val="28"/>
            </w:rPr>
            <w:fldChar w:fldCharType="end"/>
          </w:r>
          <w:r>
            <w:rPr>
              <w:rFonts w:asciiTheme="minorEastAsia" w:hAnsiTheme="minorEastAsia" w:eastAsiaTheme="minorEastAsia"/>
              <w:b/>
              <w:bCs/>
              <w:sz w:val="28"/>
            </w:rPr>
            <w:fldChar w:fldCharType="end"/>
          </w:r>
        </w:p>
        <w:p>
          <w:pPr>
            <w:pStyle w:val="22"/>
            <w:spacing w:line="360" w:lineRule="auto"/>
            <w:ind w:firstLine="0" w:firstLineChars="0"/>
            <w:rPr>
              <w:rFonts w:asciiTheme="minorEastAsia" w:hAnsiTheme="minorEastAsia" w:eastAsiaTheme="minorEastAsia" w:cstheme="minorBidi"/>
              <w:b/>
              <w:bCs/>
              <w:sz w:val="28"/>
            </w:rPr>
          </w:pPr>
          <w:r>
            <w:rPr>
              <w:b/>
              <w:bCs/>
            </w:rPr>
            <w:fldChar w:fldCharType="begin"/>
          </w:r>
          <w:r>
            <w:rPr>
              <w:b/>
              <w:bCs/>
            </w:rPr>
            <w:instrText xml:space="preserve"> HYPERLINK \l "_Toc54077303" </w:instrText>
          </w:r>
          <w:r>
            <w:rPr>
              <w:b/>
              <w:bCs/>
            </w:rPr>
            <w:fldChar w:fldCharType="separate"/>
          </w:r>
          <w:r>
            <w:rPr>
              <w:rStyle w:val="38"/>
              <w:rFonts w:hint="eastAsia" w:asciiTheme="minorEastAsia" w:hAnsiTheme="minorEastAsia" w:eastAsiaTheme="minorEastAsia"/>
              <w:b/>
              <w:bCs/>
              <w:sz w:val="28"/>
            </w:rPr>
            <w:t>一、项目概况</w:t>
          </w:r>
          <w:r>
            <w:rPr>
              <w:rFonts w:asciiTheme="minorEastAsia" w:hAnsiTheme="minorEastAsia" w:eastAsiaTheme="minorEastAsia"/>
              <w:b/>
              <w:bCs/>
              <w:sz w:val="28"/>
            </w:rPr>
            <w:tab/>
          </w:r>
          <w:r>
            <w:rPr>
              <w:rFonts w:asciiTheme="minorEastAsia" w:hAnsiTheme="minorEastAsia" w:eastAsiaTheme="minorEastAsia"/>
              <w:b/>
              <w:bCs/>
              <w:sz w:val="28"/>
            </w:rPr>
            <w:fldChar w:fldCharType="begin"/>
          </w:r>
          <w:r>
            <w:rPr>
              <w:rFonts w:asciiTheme="minorEastAsia" w:hAnsiTheme="minorEastAsia" w:eastAsiaTheme="minorEastAsia"/>
              <w:b/>
              <w:bCs/>
              <w:sz w:val="28"/>
            </w:rPr>
            <w:instrText xml:space="preserve"> PAGEREF _Toc54077303 \h </w:instrText>
          </w:r>
          <w:r>
            <w:rPr>
              <w:rFonts w:asciiTheme="minorEastAsia" w:hAnsiTheme="minorEastAsia" w:eastAsiaTheme="minorEastAsia"/>
              <w:b/>
              <w:bCs/>
              <w:sz w:val="28"/>
            </w:rPr>
            <w:fldChar w:fldCharType="separate"/>
          </w:r>
          <w:r>
            <w:rPr>
              <w:rFonts w:asciiTheme="minorEastAsia" w:hAnsiTheme="minorEastAsia" w:eastAsiaTheme="minorEastAsia"/>
              <w:b/>
              <w:bCs/>
              <w:sz w:val="28"/>
            </w:rPr>
            <w:t>- 4 -</w:t>
          </w:r>
          <w:r>
            <w:rPr>
              <w:rFonts w:asciiTheme="minorEastAsia" w:hAnsiTheme="minorEastAsia" w:eastAsiaTheme="minorEastAsia"/>
              <w:b/>
              <w:bCs/>
              <w:sz w:val="28"/>
            </w:rPr>
            <w:fldChar w:fldCharType="end"/>
          </w:r>
          <w:r>
            <w:rPr>
              <w:rFonts w:asciiTheme="minorEastAsia" w:hAnsiTheme="minorEastAsia" w:eastAsiaTheme="minorEastAsia"/>
              <w:b/>
              <w:bCs/>
              <w:sz w:val="28"/>
            </w:rPr>
            <w:fldChar w:fldCharType="end"/>
          </w:r>
        </w:p>
        <w:p>
          <w:pPr>
            <w:pStyle w:val="26"/>
            <w:tabs>
              <w:tab w:val="right" w:leader="dot" w:pos="8296"/>
            </w:tabs>
            <w:spacing w:line="360" w:lineRule="auto"/>
            <w:ind w:left="419" w:leftChars="131" w:firstLine="170" w:firstLineChars="71"/>
            <w:rPr>
              <w:rFonts w:asciiTheme="minorEastAsia" w:hAnsiTheme="minorEastAsia" w:eastAsiaTheme="minorEastAsia" w:cstheme="minorBidi"/>
              <w:sz w:val="28"/>
            </w:rPr>
          </w:pPr>
          <w:r>
            <w:fldChar w:fldCharType="begin"/>
          </w:r>
          <w:r>
            <w:instrText xml:space="preserve"> HYPERLINK \l "_Toc54077304" </w:instrText>
          </w:r>
          <w:r>
            <w:fldChar w:fldCharType="separate"/>
          </w:r>
          <w:r>
            <w:rPr>
              <w:rStyle w:val="38"/>
              <w:rFonts w:cs="楷体_GB2312" w:asciiTheme="minorEastAsia" w:hAnsiTheme="minorEastAsia" w:eastAsiaTheme="minorEastAsia"/>
              <w:sz w:val="28"/>
            </w:rPr>
            <w:t>（一）项目背景</w:t>
          </w:r>
          <w:r>
            <w:rPr>
              <w:rFonts w:asciiTheme="minorEastAsia" w:hAnsiTheme="minorEastAsia" w:eastAsiaTheme="minorEastAsia"/>
              <w:sz w:val="28"/>
            </w:rPr>
            <w:tab/>
          </w: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PAGEREF _Toc54077304 \h </w:instrText>
          </w:r>
          <w:r>
            <w:rPr>
              <w:rFonts w:asciiTheme="minorEastAsia" w:hAnsiTheme="minorEastAsia" w:eastAsiaTheme="minorEastAsia"/>
              <w:sz w:val="28"/>
            </w:rPr>
            <w:fldChar w:fldCharType="separate"/>
          </w:r>
          <w:r>
            <w:rPr>
              <w:rFonts w:asciiTheme="minorEastAsia" w:hAnsiTheme="minorEastAsia" w:eastAsiaTheme="minorEastAsia"/>
              <w:sz w:val="28"/>
            </w:rPr>
            <w:t>- 4 -</w:t>
          </w:r>
          <w:r>
            <w:rPr>
              <w:rFonts w:asciiTheme="minorEastAsia" w:hAnsiTheme="minorEastAsia" w:eastAsiaTheme="minorEastAsia"/>
              <w:sz w:val="28"/>
            </w:rPr>
            <w:fldChar w:fldCharType="end"/>
          </w:r>
          <w:r>
            <w:rPr>
              <w:rFonts w:asciiTheme="minorEastAsia" w:hAnsiTheme="minorEastAsia" w:eastAsiaTheme="minorEastAsia"/>
              <w:sz w:val="28"/>
            </w:rPr>
            <w:fldChar w:fldCharType="end"/>
          </w:r>
        </w:p>
        <w:p>
          <w:pPr>
            <w:pStyle w:val="26"/>
            <w:tabs>
              <w:tab w:val="right" w:leader="dot" w:pos="8296"/>
            </w:tabs>
            <w:spacing w:line="360" w:lineRule="auto"/>
            <w:ind w:left="419" w:leftChars="131" w:firstLine="170" w:firstLineChars="71"/>
            <w:rPr>
              <w:rFonts w:asciiTheme="minorEastAsia" w:hAnsiTheme="minorEastAsia" w:eastAsiaTheme="minorEastAsia" w:cstheme="minorBidi"/>
              <w:sz w:val="28"/>
            </w:rPr>
          </w:pPr>
          <w:r>
            <w:fldChar w:fldCharType="begin"/>
          </w:r>
          <w:r>
            <w:instrText xml:space="preserve"> HYPERLINK \l "_Toc54077305" </w:instrText>
          </w:r>
          <w:r>
            <w:fldChar w:fldCharType="separate"/>
          </w:r>
          <w:r>
            <w:rPr>
              <w:rStyle w:val="38"/>
              <w:rFonts w:cs="楷体_GB2312" w:asciiTheme="minorEastAsia" w:hAnsiTheme="minorEastAsia" w:eastAsiaTheme="minorEastAsia"/>
              <w:sz w:val="28"/>
            </w:rPr>
            <w:t>（二）项目实施情况</w:t>
          </w:r>
          <w:r>
            <w:rPr>
              <w:rFonts w:asciiTheme="minorEastAsia" w:hAnsiTheme="minorEastAsia" w:eastAsiaTheme="minorEastAsia"/>
              <w:sz w:val="28"/>
            </w:rPr>
            <w:tab/>
          </w: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PAGEREF _Toc54077305 \h </w:instrText>
          </w:r>
          <w:r>
            <w:rPr>
              <w:rFonts w:asciiTheme="minorEastAsia" w:hAnsiTheme="minorEastAsia" w:eastAsiaTheme="minorEastAsia"/>
              <w:sz w:val="28"/>
            </w:rPr>
            <w:fldChar w:fldCharType="separate"/>
          </w:r>
          <w:r>
            <w:rPr>
              <w:rFonts w:asciiTheme="minorEastAsia" w:hAnsiTheme="minorEastAsia" w:eastAsiaTheme="minorEastAsia"/>
              <w:sz w:val="28"/>
            </w:rPr>
            <w:t>- 5 -</w:t>
          </w:r>
          <w:r>
            <w:rPr>
              <w:rFonts w:asciiTheme="minorEastAsia" w:hAnsiTheme="minorEastAsia" w:eastAsiaTheme="minorEastAsia"/>
              <w:sz w:val="28"/>
            </w:rPr>
            <w:fldChar w:fldCharType="end"/>
          </w:r>
          <w:r>
            <w:rPr>
              <w:rFonts w:asciiTheme="minorEastAsia" w:hAnsiTheme="minorEastAsia" w:eastAsiaTheme="minorEastAsia"/>
              <w:sz w:val="28"/>
            </w:rPr>
            <w:fldChar w:fldCharType="end"/>
          </w:r>
        </w:p>
        <w:p>
          <w:pPr>
            <w:pStyle w:val="26"/>
            <w:tabs>
              <w:tab w:val="right" w:leader="dot" w:pos="8296"/>
            </w:tabs>
            <w:spacing w:line="360" w:lineRule="auto"/>
            <w:ind w:left="419" w:leftChars="131" w:firstLine="170" w:firstLineChars="71"/>
            <w:rPr>
              <w:rFonts w:asciiTheme="minorEastAsia" w:hAnsiTheme="minorEastAsia" w:eastAsiaTheme="minorEastAsia" w:cstheme="minorBidi"/>
              <w:sz w:val="28"/>
            </w:rPr>
          </w:pPr>
          <w:r>
            <w:fldChar w:fldCharType="begin"/>
          </w:r>
          <w:r>
            <w:instrText xml:space="preserve"> HYPERLINK \l "_Toc54077306" </w:instrText>
          </w:r>
          <w:r>
            <w:fldChar w:fldCharType="separate"/>
          </w:r>
          <w:r>
            <w:rPr>
              <w:rStyle w:val="38"/>
              <w:rFonts w:cs="楷体_GB2312" w:asciiTheme="minorEastAsia" w:hAnsiTheme="minorEastAsia" w:eastAsiaTheme="minorEastAsia"/>
              <w:sz w:val="28"/>
            </w:rPr>
            <w:t>（三）资金到位及使用情况</w:t>
          </w:r>
          <w:r>
            <w:rPr>
              <w:rFonts w:asciiTheme="minorEastAsia" w:hAnsiTheme="minorEastAsia" w:eastAsiaTheme="minorEastAsia"/>
              <w:sz w:val="28"/>
            </w:rPr>
            <w:tab/>
          </w: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PAGEREF _Toc54077306 \h </w:instrText>
          </w:r>
          <w:r>
            <w:rPr>
              <w:rFonts w:asciiTheme="minorEastAsia" w:hAnsiTheme="minorEastAsia" w:eastAsiaTheme="minorEastAsia"/>
              <w:sz w:val="28"/>
            </w:rPr>
            <w:fldChar w:fldCharType="separate"/>
          </w:r>
          <w:r>
            <w:rPr>
              <w:rFonts w:asciiTheme="minorEastAsia" w:hAnsiTheme="minorEastAsia" w:eastAsiaTheme="minorEastAsia"/>
              <w:sz w:val="28"/>
            </w:rPr>
            <w:t>- 5 -</w:t>
          </w:r>
          <w:r>
            <w:rPr>
              <w:rFonts w:asciiTheme="minorEastAsia" w:hAnsiTheme="minorEastAsia" w:eastAsiaTheme="minorEastAsia"/>
              <w:sz w:val="28"/>
            </w:rPr>
            <w:fldChar w:fldCharType="end"/>
          </w:r>
          <w:r>
            <w:rPr>
              <w:rFonts w:asciiTheme="minorEastAsia" w:hAnsiTheme="minorEastAsia" w:eastAsiaTheme="minorEastAsia"/>
              <w:sz w:val="28"/>
            </w:rPr>
            <w:fldChar w:fldCharType="end"/>
          </w:r>
        </w:p>
        <w:p>
          <w:pPr>
            <w:pStyle w:val="26"/>
            <w:tabs>
              <w:tab w:val="right" w:leader="dot" w:pos="8296"/>
            </w:tabs>
            <w:spacing w:line="360" w:lineRule="auto"/>
            <w:ind w:left="419" w:leftChars="131" w:firstLine="170" w:firstLineChars="71"/>
            <w:rPr>
              <w:rFonts w:asciiTheme="minorEastAsia" w:hAnsiTheme="minorEastAsia" w:eastAsiaTheme="minorEastAsia" w:cstheme="minorBidi"/>
              <w:sz w:val="28"/>
            </w:rPr>
          </w:pPr>
          <w:r>
            <w:fldChar w:fldCharType="begin"/>
          </w:r>
          <w:r>
            <w:instrText xml:space="preserve"> HYPERLINK \l "_Toc54077307" </w:instrText>
          </w:r>
          <w:r>
            <w:fldChar w:fldCharType="separate"/>
          </w:r>
          <w:r>
            <w:rPr>
              <w:rStyle w:val="38"/>
              <w:rFonts w:cs="楷体_GB2312" w:asciiTheme="minorEastAsia" w:hAnsiTheme="minorEastAsia" w:eastAsiaTheme="minorEastAsia"/>
              <w:sz w:val="28"/>
            </w:rPr>
            <w:t>（四）项目目标及实现情况</w:t>
          </w:r>
          <w:r>
            <w:rPr>
              <w:rFonts w:asciiTheme="minorEastAsia" w:hAnsiTheme="minorEastAsia" w:eastAsiaTheme="minorEastAsia"/>
              <w:sz w:val="28"/>
            </w:rPr>
            <w:tab/>
          </w: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PAGEREF _Toc54077307 \h </w:instrText>
          </w:r>
          <w:r>
            <w:rPr>
              <w:rFonts w:asciiTheme="minorEastAsia" w:hAnsiTheme="minorEastAsia" w:eastAsiaTheme="minorEastAsia"/>
              <w:sz w:val="28"/>
            </w:rPr>
            <w:fldChar w:fldCharType="separate"/>
          </w:r>
          <w:r>
            <w:rPr>
              <w:rFonts w:asciiTheme="minorEastAsia" w:hAnsiTheme="minorEastAsia" w:eastAsiaTheme="minorEastAsia"/>
              <w:sz w:val="28"/>
            </w:rPr>
            <w:t>- 7 -</w:t>
          </w:r>
          <w:r>
            <w:rPr>
              <w:rFonts w:asciiTheme="minorEastAsia" w:hAnsiTheme="minorEastAsia" w:eastAsiaTheme="minorEastAsia"/>
              <w:sz w:val="28"/>
            </w:rPr>
            <w:fldChar w:fldCharType="end"/>
          </w:r>
          <w:r>
            <w:rPr>
              <w:rFonts w:asciiTheme="minorEastAsia" w:hAnsiTheme="minorEastAsia" w:eastAsiaTheme="minorEastAsia"/>
              <w:sz w:val="28"/>
            </w:rPr>
            <w:fldChar w:fldCharType="end"/>
          </w:r>
        </w:p>
        <w:p>
          <w:pPr>
            <w:pStyle w:val="22"/>
            <w:spacing w:line="360" w:lineRule="auto"/>
            <w:ind w:firstLine="0" w:firstLineChars="0"/>
            <w:rPr>
              <w:rFonts w:asciiTheme="minorEastAsia" w:hAnsiTheme="minorEastAsia" w:eastAsiaTheme="minorEastAsia" w:cstheme="minorBidi"/>
              <w:b/>
              <w:bCs/>
              <w:sz w:val="28"/>
            </w:rPr>
          </w:pPr>
          <w:r>
            <w:rPr>
              <w:b/>
              <w:bCs/>
            </w:rPr>
            <w:fldChar w:fldCharType="begin"/>
          </w:r>
          <w:r>
            <w:rPr>
              <w:b/>
              <w:bCs/>
            </w:rPr>
            <w:instrText xml:space="preserve"> HYPERLINK \l "_Toc54077308" </w:instrText>
          </w:r>
          <w:r>
            <w:rPr>
              <w:b/>
              <w:bCs/>
            </w:rPr>
            <w:fldChar w:fldCharType="separate"/>
          </w:r>
          <w:r>
            <w:rPr>
              <w:rStyle w:val="38"/>
              <w:rFonts w:hint="eastAsia" w:asciiTheme="minorEastAsia" w:hAnsiTheme="minorEastAsia" w:eastAsiaTheme="minorEastAsia"/>
              <w:b/>
              <w:bCs/>
              <w:sz w:val="28"/>
            </w:rPr>
            <w:t>二、绩效分析</w:t>
          </w:r>
          <w:r>
            <w:rPr>
              <w:rFonts w:asciiTheme="minorEastAsia" w:hAnsiTheme="minorEastAsia" w:eastAsiaTheme="minorEastAsia"/>
              <w:b/>
              <w:bCs/>
              <w:sz w:val="28"/>
            </w:rPr>
            <w:tab/>
          </w:r>
          <w:r>
            <w:rPr>
              <w:rFonts w:asciiTheme="minorEastAsia" w:hAnsiTheme="minorEastAsia" w:eastAsiaTheme="minorEastAsia"/>
              <w:b/>
              <w:bCs/>
              <w:sz w:val="28"/>
            </w:rPr>
            <w:fldChar w:fldCharType="begin"/>
          </w:r>
          <w:r>
            <w:rPr>
              <w:rFonts w:asciiTheme="minorEastAsia" w:hAnsiTheme="minorEastAsia" w:eastAsiaTheme="minorEastAsia"/>
              <w:b/>
              <w:bCs/>
              <w:sz w:val="28"/>
            </w:rPr>
            <w:instrText xml:space="preserve"> PAGEREF _Toc54077308 \h </w:instrText>
          </w:r>
          <w:r>
            <w:rPr>
              <w:rFonts w:asciiTheme="minorEastAsia" w:hAnsiTheme="minorEastAsia" w:eastAsiaTheme="minorEastAsia"/>
              <w:b/>
              <w:bCs/>
              <w:sz w:val="28"/>
            </w:rPr>
            <w:fldChar w:fldCharType="separate"/>
          </w:r>
          <w:r>
            <w:rPr>
              <w:rFonts w:asciiTheme="minorEastAsia" w:hAnsiTheme="minorEastAsia" w:eastAsiaTheme="minorEastAsia"/>
              <w:b/>
              <w:bCs/>
              <w:sz w:val="28"/>
            </w:rPr>
            <w:t xml:space="preserve">- </w:t>
          </w:r>
          <w:r>
            <w:rPr>
              <w:rFonts w:hint="eastAsia" w:asciiTheme="minorEastAsia" w:hAnsiTheme="minorEastAsia" w:eastAsiaTheme="minorEastAsia"/>
              <w:b/>
              <w:bCs/>
              <w:sz w:val="28"/>
              <w:lang w:val="en-US" w:eastAsia="zh-CN"/>
            </w:rPr>
            <w:t>7</w:t>
          </w:r>
          <w:r>
            <w:rPr>
              <w:rFonts w:asciiTheme="minorEastAsia" w:hAnsiTheme="minorEastAsia" w:eastAsiaTheme="minorEastAsia"/>
              <w:b/>
              <w:bCs/>
              <w:sz w:val="28"/>
            </w:rPr>
            <w:t xml:space="preserve"> -</w:t>
          </w:r>
          <w:r>
            <w:rPr>
              <w:rFonts w:asciiTheme="minorEastAsia" w:hAnsiTheme="minorEastAsia" w:eastAsiaTheme="minorEastAsia"/>
              <w:b/>
              <w:bCs/>
              <w:sz w:val="28"/>
            </w:rPr>
            <w:fldChar w:fldCharType="end"/>
          </w:r>
          <w:r>
            <w:rPr>
              <w:rFonts w:asciiTheme="minorEastAsia" w:hAnsiTheme="minorEastAsia" w:eastAsiaTheme="minorEastAsia"/>
              <w:b/>
              <w:bCs/>
              <w:sz w:val="28"/>
            </w:rPr>
            <w:fldChar w:fldCharType="end"/>
          </w:r>
        </w:p>
        <w:p>
          <w:pPr>
            <w:pStyle w:val="26"/>
            <w:tabs>
              <w:tab w:val="right" w:leader="dot" w:pos="8296"/>
            </w:tabs>
            <w:spacing w:line="360" w:lineRule="auto"/>
            <w:ind w:left="419" w:leftChars="131" w:firstLine="170" w:firstLineChars="71"/>
            <w:rPr>
              <w:rFonts w:asciiTheme="minorEastAsia" w:hAnsiTheme="minorEastAsia" w:eastAsiaTheme="minorEastAsia" w:cstheme="minorBidi"/>
              <w:sz w:val="28"/>
            </w:rPr>
          </w:pPr>
          <w:r>
            <w:fldChar w:fldCharType="begin"/>
          </w:r>
          <w:r>
            <w:instrText xml:space="preserve"> HYPERLINK \l "_Toc54077309" </w:instrText>
          </w:r>
          <w:r>
            <w:fldChar w:fldCharType="separate"/>
          </w:r>
          <w:r>
            <w:rPr>
              <w:rStyle w:val="38"/>
              <w:rFonts w:cs="楷体_GB2312" w:asciiTheme="minorEastAsia" w:hAnsiTheme="minorEastAsia" w:eastAsiaTheme="minorEastAsia"/>
              <w:sz w:val="28"/>
            </w:rPr>
            <w:t>（一）项目投入</w:t>
          </w:r>
          <w:r>
            <w:rPr>
              <w:rFonts w:asciiTheme="minorEastAsia" w:hAnsiTheme="minorEastAsia" w:eastAsiaTheme="minorEastAsia"/>
              <w:sz w:val="28"/>
            </w:rPr>
            <w:tab/>
          </w: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PAGEREF _Toc54077309 \h </w:instrText>
          </w:r>
          <w:r>
            <w:rPr>
              <w:rFonts w:asciiTheme="minorEastAsia" w:hAnsiTheme="minorEastAsia" w:eastAsiaTheme="minorEastAsia"/>
              <w:sz w:val="28"/>
            </w:rPr>
            <w:fldChar w:fldCharType="separate"/>
          </w:r>
          <w:r>
            <w:rPr>
              <w:rFonts w:asciiTheme="minorEastAsia" w:hAnsiTheme="minorEastAsia" w:eastAsiaTheme="minorEastAsia"/>
              <w:sz w:val="28"/>
            </w:rPr>
            <w:t xml:space="preserve">- </w:t>
          </w:r>
          <w:r>
            <w:rPr>
              <w:rFonts w:hint="eastAsia" w:asciiTheme="minorEastAsia" w:hAnsiTheme="minorEastAsia" w:eastAsiaTheme="minorEastAsia"/>
              <w:sz w:val="28"/>
              <w:lang w:val="en-US" w:eastAsia="zh-CN"/>
            </w:rPr>
            <w:t>7</w:t>
          </w:r>
          <w:r>
            <w:rPr>
              <w:rFonts w:asciiTheme="minorEastAsia" w:hAnsiTheme="minorEastAsia" w:eastAsiaTheme="minorEastAsia"/>
              <w:sz w:val="28"/>
            </w:rPr>
            <w:t xml:space="preserve"> -</w:t>
          </w:r>
          <w:r>
            <w:rPr>
              <w:rFonts w:asciiTheme="minorEastAsia" w:hAnsiTheme="minorEastAsia" w:eastAsiaTheme="minorEastAsia"/>
              <w:sz w:val="28"/>
            </w:rPr>
            <w:fldChar w:fldCharType="end"/>
          </w:r>
          <w:r>
            <w:rPr>
              <w:rFonts w:asciiTheme="minorEastAsia" w:hAnsiTheme="minorEastAsia" w:eastAsiaTheme="minorEastAsia"/>
              <w:sz w:val="28"/>
            </w:rPr>
            <w:fldChar w:fldCharType="end"/>
          </w:r>
        </w:p>
        <w:p>
          <w:pPr>
            <w:pStyle w:val="26"/>
            <w:tabs>
              <w:tab w:val="right" w:leader="dot" w:pos="8296"/>
            </w:tabs>
            <w:spacing w:line="360" w:lineRule="auto"/>
            <w:ind w:left="419" w:leftChars="131" w:firstLine="170" w:firstLineChars="71"/>
            <w:rPr>
              <w:rFonts w:asciiTheme="minorEastAsia" w:hAnsiTheme="minorEastAsia" w:eastAsiaTheme="minorEastAsia" w:cstheme="minorBidi"/>
              <w:sz w:val="28"/>
            </w:rPr>
          </w:pPr>
          <w:r>
            <w:fldChar w:fldCharType="begin"/>
          </w:r>
          <w:r>
            <w:instrText xml:space="preserve"> HYPERLINK \l "_Toc54077310" </w:instrText>
          </w:r>
          <w:r>
            <w:fldChar w:fldCharType="separate"/>
          </w:r>
          <w:r>
            <w:rPr>
              <w:rStyle w:val="38"/>
              <w:rFonts w:cs="楷体_GB2312" w:asciiTheme="minorEastAsia" w:hAnsiTheme="minorEastAsia" w:eastAsiaTheme="minorEastAsia"/>
              <w:sz w:val="28"/>
            </w:rPr>
            <w:t>（二）项目过程</w:t>
          </w:r>
          <w:r>
            <w:rPr>
              <w:rFonts w:asciiTheme="minorEastAsia" w:hAnsiTheme="minorEastAsia" w:eastAsiaTheme="minorEastAsia"/>
              <w:sz w:val="28"/>
            </w:rPr>
            <w:tab/>
          </w: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PAGEREF _Toc54077310 \h </w:instrText>
          </w:r>
          <w:r>
            <w:rPr>
              <w:rFonts w:asciiTheme="minorEastAsia" w:hAnsiTheme="minorEastAsia" w:eastAsiaTheme="minorEastAsia"/>
              <w:sz w:val="28"/>
            </w:rPr>
            <w:fldChar w:fldCharType="separate"/>
          </w:r>
          <w:r>
            <w:rPr>
              <w:rFonts w:asciiTheme="minorEastAsia" w:hAnsiTheme="minorEastAsia" w:eastAsiaTheme="minorEastAsia"/>
              <w:sz w:val="28"/>
            </w:rPr>
            <w:t>- 11 -</w:t>
          </w:r>
          <w:r>
            <w:rPr>
              <w:rFonts w:asciiTheme="minorEastAsia" w:hAnsiTheme="minorEastAsia" w:eastAsiaTheme="minorEastAsia"/>
              <w:sz w:val="28"/>
            </w:rPr>
            <w:fldChar w:fldCharType="end"/>
          </w:r>
          <w:r>
            <w:rPr>
              <w:rFonts w:asciiTheme="minorEastAsia" w:hAnsiTheme="minorEastAsia" w:eastAsiaTheme="minorEastAsia"/>
              <w:sz w:val="28"/>
            </w:rPr>
            <w:fldChar w:fldCharType="end"/>
          </w:r>
        </w:p>
        <w:p>
          <w:pPr>
            <w:pStyle w:val="26"/>
            <w:tabs>
              <w:tab w:val="right" w:leader="dot" w:pos="8296"/>
            </w:tabs>
            <w:spacing w:line="360" w:lineRule="auto"/>
            <w:ind w:left="419" w:leftChars="131" w:firstLine="170" w:firstLineChars="71"/>
            <w:rPr>
              <w:rFonts w:asciiTheme="minorEastAsia" w:hAnsiTheme="minorEastAsia" w:eastAsiaTheme="minorEastAsia" w:cstheme="minorBidi"/>
              <w:sz w:val="28"/>
            </w:rPr>
          </w:pPr>
          <w:r>
            <w:fldChar w:fldCharType="begin"/>
          </w:r>
          <w:r>
            <w:instrText xml:space="preserve"> HYPERLINK \l "_Toc54077311" </w:instrText>
          </w:r>
          <w:r>
            <w:fldChar w:fldCharType="separate"/>
          </w:r>
          <w:r>
            <w:rPr>
              <w:rStyle w:val="38"/>
              <w:rFonts w:cs="楷体_GB2312" w:asciiTheme="minorEastAsia" w:hAnsiTheme="minorEastAsia" w:eastAsiaTheme="minorEastAsia"/>
              <w:sz w:val="28"/>
            </w:rPr>
            <w:t>（三）项目产出</w:t>
          </w:r>
          <w:r>
            <w:rPr>
              <w:rFonts w:asciiTheme="minorEastAsia" w:hAnsiTheme="minorEastAsia" w:eastAsiaTheme="minorEastAsia"/>
              <w:sz w:val="28"/>
            </w:rPr>
            <w:tab/>
          </w: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PAGEREF _Toc54077311 \h </w:instrText>
          </w:r>
          <w:r>
            <w:rPr>
              <w:rFonts w:asciiTheme="minorEastAsia" w:hAnsiTheme="minorEastAsia" w:eastAsiaTheme="minorEastAsia"/>
              <w:sz w:val="28"/>
            </w:rPr>
            <w:fldChar w:fldCharType="separate"/>
          </w:r>
          <w:r>
            <w:rPr>
              <w:rFonts w:asciiTheme="minorEastAsia" w:hAnsiTheme="minorEastAsia" w:eastAsiaTheme="minorEastAsia"/>
              <w:sz w:val="28"/>
            </w:rPr>
            <w:t>- 14 -</w:t>
          </w:r>
          <w:r>
            <w:rPr>
              <w:rFonts w:asciiTheme="minorEastAsia" w:hAnsiTheme="minorEastAsia" w:eastAsiaTheme="minorEastAsia"/>
              <w:sz w:val="28"/>
            </w:rPr>
            <w:fldChar w:fldCharType="end"/>
          </w:r>
          <w:r>
            <w:rPr>
              <w:rFonts w:asciiTheme="minorEastAsia" w:hAnsiTheme="minorEastAsia" w:eastAsiaTheme="minorEastAsia"/>
              <w:sz w:val="28"/>
            </w:rPr>
            <w:fldChar w:fldCharType="end"/>
          </w:r>
        </w:p>
        <w:p>
          <w:pPr>
            <w:pStyle w:val="26"/>
            <w:tabs>
              <w:tab w:val="right" w:leader="dot" w:pos="8296"/>
            </w:tabs>
            <w:spacing w:line="360" w:lineRule="auto"/>
            <w:ind w:left="419" w:leftChars="131" w:firstLine="170" w:firstLineChars="71"/>
            <w:rPr>
              <w:rFonts w:asciiTheme="minorEastAsia" w:hAnsiTheme="minorEastAsia" w:eastAsiaTheme="minorEastAsia" w:cstheme="minorBidi"/>
              <w:sz w:val="28"/>
            </w:rPr>
          </w:pPr>
          <w:r>
            <w:fldChar w:fldCharType="begin"/>
          </w:r>
          <w:r>
            <w:instrText xml:space="preserve"> HYPERLINK \l "_Toc54077312" </w:instrText>
          </w:r>
          <w:r>
            <w:fldChar w:fldCharType="separate"/>
          </w:r>
          <w:r>
            <w:rPr>
              <w:rStyle w:val="38"/>
              <w:rFonts w:cs="楷体_GB2312" w:asciiTheme="minorEastAsia" w:hAnsiTheme="minorEastAsia" w:eastAsiaTheme="minorEastAsia"/>
              <w:sz w:val="28"/>
            </w:rPr>
            <w:t>（四）项目效益</w:t>
          </w:r>
          <w:r>
            <w:rPr>
              <w:rFonts w:asciiTheme="minorEastAsia" w:hAnsiTheme="minorEastAsia" w:eastAsiaTheme="minorEastAsia"/>
              <w:sz w:val="28"/>
            </w:rPr>
            <w:tab/>
          </w: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PAGEREF _Toc54077312 \h </w:instrText>
          </w:r>
          <w:r>
            <w:rPr>
              <w:rFonts w:asciiTheme="minorEastAsia" w:hAnsiTheme="minorEastAsia" w:eastAsiaTheme="minorEastAsia"/>
              <w:sz w:val="28"/>
            </w:rPr>
            <w:fldChar w:fldCharType="separate"/>
          </w:r>
          <w:r>
            <w:rPr>
              <w:rFonts w:asciiTheme="minorEastAsia" w:hAnsiTheme="minorEastAsia" w:eastAsiaTheme="minorEastAsia"/>
              <w:sz w:val="28"/>
            </w:rPr>
            <w:t>- 16 -</w:t>
          </w:r>
          <w:r>
            <w:rPr>
              <w:rFonts w:asciiTheme="minorEastAsia" w:hAnsiTheme="minorEastAsia" w:eastAsiaTheme="minorEastAsia"/>
              <w:sz w:val="28"/>
            </w:rPr>
            <w:fldChar w:fldCharType="end"/>
          </w:r>
          <w:r>
            <w:rPr>
              <w:rFonts w:asciiTheme="minorEastAsia" w:hAnsiTheme="minorEastAsia" w:eastAsiaTheme="minorEastAsia"/>
              <w:sz w:val="28"/>
            </w:rPr>
            <w:fldChar w:fldCharType="end"/>
          </w:r>
        </w:p>
        <w:p>
          <w:pPr>
            <w:pStyle w:val="22"/>
            <w:spacing w:line="360" w:lineRule="auto"/>
            <w:ind w:firstLine="0" w:firstLineChars="0"/>
            <w:rPr>
              <w:rFonts w:asciiTheme="minorEastAsia" w:hAnsiTheme="minorEastAsia" w:eastAsiaTheme="minorEastAsia" w:cstheme="minorBidi"/>
              <w:b/>
              <w:bCs/>
              <w:sz w:val="28"/>
            </w:rPr>
          </w:pPr>
          <w:r>
            <w:rPr>
              <w:b/>
              <w:bCs/>
            </w:rPr>
            <w:fldChar w:fldCharType="begin"/>
          </w:r>
          <w:r>
            <w:rPr>
              <w:b/>
              <w:bCs/>
            </w:rPr>
            <w:instrText xml:space="preserve"> HYPERLINK \l "_Toc54077313" </w:instrText>
          </w:r>
          <w:r>
            <w:rPr>
              <w:b/>
              <w:bCs/>
            </w:rPr>
            <w:fldChar w:fldCharType="separate"/>
          </w:r>
          <w:r>
            <w:rPr>
              <w:rStyle w:val="38"/>
              <w:rFonts w:hint="eastAsia" w:asciiTheme="minorEastAsia" w:hAnsiTheme="minorEastAsia" w:eastAsiaTheme="minorEastAsia"/>
              <w:b/>
              <w:bCs/>
              <w:sz w:val="28"/>
            </w:rPr>
            <w:t>三、评价结论</w:t>
          </w:r>
          <w:r>
            <w:rPr>
              <w:rFonts w:asciiTheme="minorEastAsia" w:hAnsiTheme="minorEastAsia" w:eastAsiaTheme="minorEastAsia"/>
              <w:b/>
              <w:bCs/>
              <w:sz w:val="28"/>
            </w:rPr>
            <w:tab/>
          </w:r>
          <w:r>
            <w:rPr>
              <w:rFonts w:asciiTheme="minorEastAsia" w:hAnsiTheme="minorEastAsia" w:eastAsiaTheme="minorEastAsia"/>
              <w:b/>
              <w:bCs/>
              <w:sz w:val="28"/>
            </w:rPr>
            <w:fldChar w:fldCharType="begin"/>
          </w:r>
          <w:r>
            <w:rPr>
              <w:rFonts w:asciiTheme="minorEastAsia" w:hAnsiTheme="minorEastAsia" w:eastAsiaTheme="minorEastAsia"/>
              <w:b/>
              <w:bCs/>
              <w:sz w:val="28"/>
            </w:rPr>
            <w:instrText xml:space="preserve"> PAGEREF _Toc54077313 \h </w:instrText>
          </w:r>
          <w:r>
            <w:rPr>
              <w:rFonts w:asciiTheme="minorEastAsia" w:hAnsiTheme="minorEastAsia" w:eastAsiaTheme="minorEastAsia"/>
              <w:b/>
              <w:bCs/>
              <w:sz w:val="28"/>
            </w:rPr>
            <w:fldChar w:fldCharType="separate"/>
          </w:r>
          <w:r>
            <w:rPr>
              <w:rFonts w:asciiTheme="minorEastAsia" w:hAnsiTheme="minorEastAsia" w:eastAsiaTheme="minorEastAsia"/>
              <w:b/>
              <w:bCs/>
              <w:sz w:val="28"/>
            </w:rPr>
            <w:t>- 19 -</w:t>
          </w:r>
          <w:r>
            <w:rPr>
              <w:rFonts w:asciiTheme="minorEastAsia" w:hAnsiTheme="minorEastAsia" w:eastAsiaTheme="minorEastAsia"/>
              <w:b/>
              <w:bCs/>
              <w:sz w:val="28"/>
            </w:rPr>
            <w:fldChar w:fldCharType="end"/>
          </w:r>
          <w:r>
            <w:rPr>
              <w:rFonts w:asciiTheme="minorEastAsia" w:hAnsiTheme="minorEastAsia" w:eastAsiaTheme="minorEastAsia"/>
              <w:b/>
              <w:bCs/>
              <w:sz w:val="28"/>
            </w:rPr>
            <w:fldChar w:fldCharType="end"/>
          </w:r>
        </w:p>
        <w:p>
          <w:pPr>
            <w:pStyle w:val="22"/>
            <w:spacing w:line="360" w:lineRule="auto"/>
            <w:ind w:firstLine="0" w:firstLineChars="0"/>
            <w:rPr>
              <w:rFonts w:asciiTheme="minorEastAsia" w:hAnsiTheme="minorEastAsia" w:eastAsiaTheme="minorEastAsia" w:cstheme="minorBidi"/>
              <w:b/>
              <w:bCs/>
              <w:sz w:val="28"/>
            </w:rPr>
          </w:pPr>
          <w:r>
            <w:rPr>
              <w:b/>
              <w:bCs/>
            </w:rPr>
            <w:fldChar w:fldCharType="begin"/>
          </w:r>
          <w:r>
            <w:rPr>
              <w:b/>
              <w:bCs/>
            </w:rPr>
            <w:instrText xml:space="preserve"> HYPERLINK \l "_Toc54077314" </w:instrText>
          </w:r>
          <w:r>
            <w:rPr>
              <w:b/>
              <w:bCs/>
            </w:rPr>
            <w:fldChar w:fldCharType="separate"/>
          </w:r>
          <w:r>
            <w:rPr>
              <w:rStyle w:val="38"/>
              <w:rFonts w:hint="eastAsia" w:asciiTheme="minorEastAsia" w:hAnsiTheme="minorEastAsia" w:eastAsiaTheme="minorEastAsia"/>
              <w:b/>
              <w:bCs/>
              <w:sz w:val="28"/>
            </w:rPr>
            <w:t>四、主要绩效</w:t>
          </w:r>
          <w:r>
            <w:rPr>
              <w:rFonts w:asciiTheme="minorEastAsia" w:hAnsiTheme="minorEastAsia" w:eastAsiaTheme="minorEastAsia"/>
              <w:b/>
              <w:bCs/>
              <w:sz w:val="28"/>
            </w:rPr>
            <w:tab/>
          </w:r>
          <w:r>
            <w:rPr>
              <w:rFonts w:asciiTheme="minorEastAsia" w:hAnsiTheme="minorEastAsia" w:eastAsiaTheme="minorEastAsia"/>
              <w:b/>
              <w:bCs/>
              <w:sz w:val="28"/>
            </w:rPr>
            <w:fldChar w:fldCharType="begin"/>
          </w:r>
          <w:r>
            <w:rPr>
              <w:rFonts w:asciiTheme="minorEastAsia" w:hAnsiTheme="minorEastAsia" w:eastAsiaTheme="minorEastAsia"/>
              <w:b/>
              <w:bCs/>
              <w:sz w:val="28"/>
            </w:rPr>
            <w:instrText xml:space="preserve"> PAGEREF _Toc54077314 \h </w:instrText>
          </w:r>
          <w:r>
            <w:rPr>
              <w:rFonts w:asciiTheme="minorEastAsia" w:hAnsiTheme="minorEastAsia" w:eastAsiaTheme="minorEastAsia"/>
              <w:b/>
              <w:bCs/>
              <w:sz w:val="28"/>
            </w:rPr>
            <w:fldChar w:fldCharType="separate"/>
          </w:r>
          <w:r>
            <w:rPr>
              <w:rFonts w:asciiTheme="minorEastAsia" w:hAnsiTheme="minorEastAsia" w:eastAsiaTheme="minorEastAsia"/>
              <w:b/>
              <w:bCs/>
              <w:sz w:val="28"/>
            </w:rPr>
            <w:t>- 19 -</w:t>
          </w:r>
          <w:r>
            <w:rPr>
              <w:rFonts w:asciiTheme="minorEastAsia" w:hAnsiTheme="minorEastAsia" w:eastAsiaTheme="minorEastAsia"/>
              <w:b/>
              <w:bCs/>
              <w:sz w:val="28"/>
            </w:rPr>
            <w:fldChar w:fldCharType="end"/>
          </w:r>
          <w:r>
            <w:rPr>
              <w:rFonts w:asciiTheme="minorEastAsia" w:hAnsiTheme="minorEastAsia" w:eastAsiaTheme="minorEastAsia"/>
              <w:b/>
              <w:bCs/>
              <w:sz w:val="28"/>
            </w:rPr>
            <w:fldChar w:fldCharType="end"/>
          </w:r>
        </w:p>
        <w:p>
          <w:pPr>
            <w:pStyle w:val="26"/>
            <w:tabs>
              <w:tab w:val="right" w:leader="dot" w:pos="8296"/>
            </w:tabs>
            <w:spacing w:line="360" w:lineRule="auto"/>
            <w:ind w:left="419" w:leftChars="131" w:firstLine="170" w:firstLineChars="71"/>
            <w:rPr>
              <w:rFonts w:asciiTheme="minorEastAsia" w:hAnsiTheme="minorEastAsia" w:eastAsiaTheme="minorEastAsia" w:cstheme="minorBidi"/>
              <w:sz w:val="28"/>
            </w:rPr>
          </w:pPr>
          <w:r>
            <w:fldChar w:fldCharType="begin"/>
          </w:r>
          <w:r>
            <w:instrText xml:space="preserve"> HYPERLINK \l "_Toc54077315" </w:instrText>
          </w:r>
          <w:r>
            <w:fldChar w:fldCharType="separate"/>
          </w:r>
          <w:r>
            <w:rPr>
              <w:rStyle w:val="38"/>
              <w:rFonts w:cs="楷体_GB2312" w:asciiTheme="minorEastAsia" w:hAnsiTheme="minorEastAsia" w:eastAsiaTheme="minorEastAsia"/>
              <w:sz w:val="28"/>
            </w:rPr>
            <w:t>（一）保障了“两个退出”工作顺利开展</w:t>
          </w:r>
          <w:r>
            <w:rPr>
              <w:rFonts w:asciiTheme="minorEastAsia" w:hAnsiTheme="minorEastAsia" w:eastAsiaTheme="minorEastAsia"/>
              <w:sz w:val="28"/>
            </w:rPr>
            <w:tab/>
          </w: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PAGEREF _Toc54077315 \h </w:instrText>
          </w:r>
          <w:r>
            <w:rPr>
              <w:rFonts w:asciiTheme="minorEastAsia" w:hAnsiTheme="minorEastAsia" w:eastAsiaTheme="minorEastAsia"/>
              <w:sz w:val="28"/>
            </w:rPr>
            <w:fldChar w:fldCharType="separate"/>
          </w:r>
          <w:r>
            <w:rPr>
              <w:rFonts w:asciiTheme="minorEastAsia" w:hAnsiTheme="minorEastAsia" w:eastAsiaTheme="minorEastAsia"/>
              <w:sz w:val="28"/>
            </w:rPr>
            <w:t>- 19 -</w:t>
          </w:r>
          <w:r>
            <w:rPr>
              <w:rFonts w:asciiTheme="minorEastAsia" w:hAnsiTheme="minorEastAsia" w:eastAsiaTheme="minorEastAsia"/>
              <w:sz w:val="28"/>
            </w:rPr>
            <w:fldChar w:fldCharType="end"/>
          </w:r>
          <w:r>
            <w:rPr>
              <w:rFonts w:asciiTheme="minorEastAsia" w:hAnsiTheme="minorEastAsia" w:eastAsiaTheme="minorEastAsia"/>
              <w:sz w:val="28"/>
            </w:rPr>
            <w:fldChar w:fldCharType="end"/>
          </w:r>
        </w:p>
        <w:p>
          <w:pPr>
            <w:pStyle w:val="26"/>
            <w:tabs>
              <w:tab w:val="right" w:leader="dot" w:pos="8296"/>
            </w:tabs>
            <w:spacing w:line="360" w:lineRule="auto"/>
            <w:ind w:left="640" w:firstLine="0" w:firstLineChars="0"/>
            <w:rPr>
              <w:rFonts w:asciiTheme="minorEastAsia" w:hAnsiTheme="minorEastAsia" w:eastAsiaTheme="minorEastAsia" w:cstheme="minorBidi"/>
              <w:sz w:val="28"/>
            </w:rPr>
          </w:pPr>
          <w:r>
            <w:fldChar w:fldCharType="begin"/>
          </w:r>
          <w:r>
            <w:instrText xml:space="preserve"> HYPERLINK \l "_Toc54077316" </w:instrText>
          </w:r>
          <w:r>
            <w:fldChar w:fldCharType="separate"/>
          </w:r>
          <w:r>
            <w:rPr>
              <w:rStyle w:val="38"/>
              <w:rFonts w:cs="楷体_GB2312" w:asciiTheme="minorEastAsia" w:hAnsiTheme="minorEastAsia" w:eastAsiaTheme="minorEastAsia"/>
              <w:sz w:val="28"/>
            </w:rPr>
            <w:t>（二）保障补助对象基本生活，推动社会大局的稳定</w:t>
          </w:r>
          <w:r>
            <w:rPr>
              <w:rFonts w:asciiTheme="minorEastAsia" w:hAnsiTheme="minorEastAsia" w:eastAsiaTheme="minorEastAsia"/>
              <w:sz w:val="28"/>
            </w:rPr>
            <w:tab/>
          </w: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PAGEREF _Toc54077316 \h </w:instrText>
          </w:r>
          <w:r>
            <w:rPr>
              <w:rFonts w:asciiTheme="minorEastAsia" w:hAnsiTheme="minorEastAsia" w:eastAsiaTheme="minorEastAsia"/>
              <w:sz w:val="28"/>
            </w:rPr>
            <w:fldChar w:fldCharType="separate"/>
          </w:r>
          <w:r>
            <w:rPr>
              <w:rFonts w:asciiTheme="minorEastAsia" w:hAnsiTheme="minorEastAsia" w:eastAsiaTheme="minorEastAsia"/>
              <w:sz w:val="28"/>
            </w:rPr>
            <w:t>- 19 -</w:t>
          </w:r>
          <w:r>
            <w:rPr>
              <w:rFonts w:asciiTheme="minorEastAsia" w:hAnsiTheme="minorEastAsia" w:eastAsiaTheme="minorEastAsia"/>
              <w:sz w:val="28"/>
            </w:rPr>
            <w:fldChar w:fldCharType="end"/>
          </w:r>
          <w:r>
            <w:rPr>
              <w:rFonts w:asciiTheme="minorEastAsia" w:hAnsiTheme="minorEastAsia" w:eastAsiaTheme="minorEastAsia"/>
              <w:sz w:val="28"/>
            </w:rPr>
            <w:fldChar w:fldCharType="end"/>
          </w:r>
        </w:p>
        <w:p>
          <w:pPr>
            <w:pStyle w:val="26"/>
            <w:tabs>
              <w:tab w:val="right" w:leader="dot" w:pos="8296"/>
            </w:tabs>
            <w:spacing w:line="360" w:lineRule="auto"/>
            <w:ind w:left="419" w:leftChars="131" w:firstLine="170" w:firstLineChars="71"/>
            <w:rPr>
              <w:rFonts w:asciiTheme="minorEastAsia" w:hAnsiTheme="minorEastAsia" w:eastAsiaTheme="minorEastAsia" w:cstheme="minorBidi"/>
              <w:sz w:val="28"/>
            </w:rPr>
          </w:pPr>
          <w:r>
            <w:fldChar w:fldCharType="begin"/>
          </w:r>
          <w:r>
            <w:instrText xml:space="preserve"> HYPERLINK \l "_Toc54077317" </w:instrText>
          </w:r>
          <w:r>
            <w:fldChar w:fldCharType="separate"/>
          </w:r>
          <w:r>
            <w:rPr>
              <w:rStyle w:val="38"/>
              <w:rFonts w:cs="楷体_GB2312" w:asciiTheme="minorEastAsia" w:hAnsiTheme="minorEastAsia" w:eastAsiaTheme="minorEastAsia"/>
              <w:sz w:val="28"/>
            </w:rPr>
            <w:t>（三）促进社会公平，体现与民共享发展成果</w:t>
          </w:r>
          <w:r>
            <w:rPr>
              <w:rFonts w:asciiTheme="minorEastAsia" w:hAnsiTheme="minorEastAsia" w:eastAsiaTheme="minorEastAsia"/>
              <w:sz w:val="28"/>
            </w:rPr>
            <w:tab/>
          </w: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PAGEREF _Toc54077317 \h </w:instrText>
          </w:r>
          <w:r>
            <w:rPr>
              <w:rFonts w:asciiTheme="minorEastAsia" w:hAnsiTheme="minorEastAsia" w:eastAsiaTheme="minorEastAsia"/>
              <w:sz w:val="28"/>
            </w:rPr>
            <w:fldChar w:fldCharType="separate"/>
          </w:r>
          <w:r>
            <w:rPr>
              <w:rFonts w:asciiTheme="minorEastAsia" w:hAnsiTheme="minorEastAsia" w:eastAsiaTheme="minorEastAsia"/>
              <w:sz w:val="28"/>
            </w:rPr>
            <w:t>- 20 -</w:t>
          </w:r>
          <w:r>
            <w:rPr>
              <w:rFonts w:asciiTheme="minorEastAsia" w:hAnsiTheme="minorEastAsia" w:eastAsiaTheme="minorEastAsia"/>
              <w:sz w:val="28"/>
            </w:rPr>
            <w:fldChar w:fldCharType="end"/>
          </w:r>
          <w:r>
            <w:rPr>
              <w:rFonts w:asciiTheme="minorEastAsia" w:hAnsiTheme="minorEastAsia" w:eastAsiaTheme="minorEastAsia"/>
              <w:sz w:val="28"/>
            </w:rPr>
            <w:fldChar w:fldCharType="end"/>
          </w:r>
        </w:p>
        <w:p>
          <w:pPr>
            <w:pStyle w:val="22"/>
            <w:spacing w:line="360" w:lineRule="auto"/>
            <w:ind w:firstLine="0" w:firstLineChars="0"/>
            <w:rPr>
              <w:rFonts w:asciiTheme="minorEastAsia" w:hAnsiTheme="minorEastAsia" w:eastAsiaTheme="minorEastAsia" w:cstheme="minorBidi"/>
              <w:b/>
              <w:bCs/>
              <w:sz w:val="28"/>
            </w:rPr>
          </w:pPr>
          <w:r>
            <w:rPr>
              <w:b/>
              <w:bCs/>
            </w:rPr>
            <w:fldChar w:fldCharType="begin"/>
          </w:r>
          <w:r>
            <w:rPr>
              <w:b/>
              <w:bCs/>
            </w:rPr>
            <w:instrText xml:space="preserve"> HYPERLINK \l "_Toc54077318" </w:instrText>
          </w:r>
          <w:r>
            <w:rPr>
              <w:b/>
              <w:bCs/>
            </w:rPr>
            <w:fldChar w:fldCharType="separate"/>
          </w:r>
          <w:r>
            <w:rPr>
              <w:rStyle w:val="38"/>
              <w:rFonts w:hint="eastAsia" w:asciiTheme="minorEastAsia" w:hAnsiTheme="minorEastAsia" w:eastAsiaTheme="minorEastAsia"/>
              <w:b/>
              <w:bCs/>
              <w:sz w:val="28"/>
            </w:rPr>
            <w:t>五、存在问题</w:t>
          </w:r>
          <w:r>
            <w:rPr>
              <w:rFonts w:asciiTheme="minorEastAsia" w:hAnsiTheme="minorEastAsia" w:eastAsiaTheme="minorEastAsia"/>
              <w:b/>
              <w:bCs/>
              <w:sz w:val="28"/>
            </w:rPr>
            <w:tab/>
          </w:r>
          <w:r>
            <w:rPr>
              <w:rFonts w:asciiTheme="minorEastAsia" w:hAnsiTheme="minorEastAsia" w:eastAsiaTheme="minorEastAsia"/>
              <w:b/>
              <w:bCs/>
              <w:sz w:val="28"/>
            </w:rPr>
            <w:fldChar w:fldCharType="begin"/>
          </w:r>
          <w:r>
            <w:rPr>
              <w:rFonts w:asciiTheme="minorEastAsia" w:hAnsiTheme="minorEastAsia" w:eastAsiaTheme="minorEastAsia"/>
              <w:b/>
              <w:bCs/>
              <w:sz w:val="28"/>
            </w:rPr>
            <w:instrText xml:space="preserve"> PAGEREF _Toc54077318 \h </w:instrText>
          </w:r>
          <w:r>
            <w:rPr>
              <w:rFonts w:asciiTheme="minorEastAsia" w:hAnsiTheme="minorEastAsia" w:eastAsiaTheme="minorEastAsia"/>
              <w:b/>
              <w:bCs/>
              <w:sz w:val="28"/>
            </w:rPr>
            <w:fldChar w:fldCharType="separate"/>
          </w:r>
          <w:r>
            <w:rPr>
              <w:rFonts w:asciiTheme="minorEastAsia" w:hAnsiTheme="minorEastAsia" w:eastAsiaTheme="minorEastAsia"/>
              <w:b/>
              <w:bCs/>
              <w:sz w:val="28"/>
            </w:rPr>
            <w:t>- 20 -</w:t>
          </w:r>
          <w:r>
            <w:rPr>
              <w:rFonts w:asciiTheme="minorEastAsia" w:hAnsiTheme="minorEastAsia" w:eastAsiaTheme="minorEastAsia"/>
              <w:b/>
              <w:bCs/>
              <w:sz w:val="28"/>
            </w:rPr>
            <w:fldChar w:fldCharType="end"/>
          </w:r>
          <w:r>
            <w:rPr>
              <w:rFonts w:asciiTheme="minorEastAsia" w:hAnsiTheme="minorEastAsia" w:eastAsiaTheme="minorEastAsia"/>
              <w:b/>
              <w:bCs/>
              <w:sz w:val="28"/>
            </w:rPr>
            <w:fldChar w:fldCharType="end"/>
          </w:r>
        </w:p>
        <w:p>
          <w:pPr>
            <w:pStyle w:val="26"/>
            <w:tabs>
              <w:tab w:val="right" w:leader="dot" w:pos="8296"/>
            </w:tabs>
            <w:spacing w:line="360" w:lineRule="auto"/>
            <w:ind w:left="640" w:firstLine="0" w:firstLineChars="0"/>
            <w:rPr>
              <w:rFonts w:asciiTheme="minorEastAsia" w:hAnsiTheme="minorEastAsia" w:eastAsiaTheme="minorEastAsia" w:cstheme="minorBidi"/>
              <w:sz w:val="28"/>
            </w:rPr>
          </w:pPr>
          <w:r>
            <w:fldChar w:fldCharType="begin"/>
          </w:r>
          <w:r>
            <w:instrText xml:space="preserve"> HYPERLINK \l "_Toc54077319" </w:instrText>
          </w:r>
          <w:r>
            <w:fldChar w:fldCharType="separate"/>
          </w:r>
          <w:r>
            <w:rPr>
              <w:rStyle w:val="38"/>
              <w:rFonts w:cs="楷体_GB2312" w:asciiTheme="minorEastAsia" w:hAnsiTheme="minorEastAsia" w:eastAsiaTheme="minorEastAsia"/>
              <w:sz w:val="28"/>
            </w:rPr>
            <w:t>（一）监管联动机制有待提高，部门工作衔接不够高效</w:t>
          </w:r>
          <w:r>
            <w:rPr>
              <w:rFonts w:asciiTheme="minorEastAsia" w:hAnsiTheme="minorEastAsia" w:eastAsiaTheme="minorEastAsia"/>
              <w:sz w:val="28"/>
            </w:rPr>
            <w:tab/>
          </w: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PAGEREF _Toc54077319 \h </w:instrText>
          </w:r>
          <w:r>
            <w:rPr>
              <w:rFonts w:asciiTheme="minorEastAsia" w:hAnsiTheme="minorEastAsia" w:eastAsiaTheme="minorEastAsia"/>
              <w:sz w:val="28"/>
            </w:rPr>
            <w:fldChar w:fldCharType="separate"/>
          </w:r>
          <w:r>
            <w:rPr>
              <w:rFonts w:asciiTheme="minorEastAsia" w:hAnsiTheme="minorEastAsia" w:eastAsiaTheme="minorEastAsia"/>
              <w:sz w:val="28"/>
            </w:rPr>
            <w:t>- 20 -</w:t>
          </w:r>
          <w:r>
            <w:rPr>
              <w:rFonts w:asciiTheme="minorEastAsia" w:hAnsiTheme="minorEastAsia" w:eastAsiaTheme="minorEastAsia"/>
              <w:sz w:val="28"/>
            </w:rPr>
            <w:fldChar w:fldCharType="end"/>
          </w:r>
          <w:r>
            <w:rPr>
              <w:rFonts w:asciiTheme="minorEastAsia" w:hAnsiTheme="minorEastAsia" w:eastAsiaTheme="minorEastAsia"/>
              <w:sz w:val="28"/>
            </w:rPr>
            <w:fldChar w:fldCharType="end"/>
          </w:r>
        </w:p>
        <w:p>
          <w:pPr>
            <w:pStyle w:val="26"/>
            <w:tabs>
              <w:tab w:val="right" w:leader="dot" w:pos="8296"/>
            </w:tabs>
            <w:spacing w:line="360" w:lineRule="auto"/>
            <w:ind w:left="640" w:firstLine="0" w:firstLineChars="0"/>
            <w:rPr>
              <w:rFonts w:asciiTheme="minorEastAsia" w:hAnsiTheme="minorEastAsia" w:eastAsiaTheme="minorEastAsia" w:cstheme="minorBidi"/>
              <w:sz w:val="28"/>
            </w:rPr>
          </w:pPr>
          <w:r>
            <w:fldChar w:fldCharType="begin"/>
          </w:r>
          <w:r>
            <w:instrText xml:space="preserve"> HYPERLINK \l "_Toc54077320" </w:instrText>
          </w:r>
          <w:r>
            <w:fldChar w:fldCharType="separate"/>
          </w:r>
          <w:r>
            <w:rPr>
              <w:rStyle w:val="38"/>
              <w:rFonts w:cs="楷体_GB2312" w:asciiTheme="minorEastAsia" w:hAnsiTheme="minorEastAsia" w:eastAsiaTheme="minorEastAsia"/>
              <w:sz w:val="28"/>
            </w:rPr>
            <w:t>（二）会计核算规范有待加强，资金使用安全难以保障</w:t>
          </w:r>
          <w:r>
            <w:rPr>
              <w:rFonts w:asciiTheme="minorEastAsia" w:hAnsiTheme="minorEastAsia" w:eastAsiaTheme="minorEastAsia"/>
              <w:sz w:val="28"/>
            </w:rPr>
            <w:tab/>
          </w: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PAGEREF _Toc54077320 \h </w:instrText>
          </w:r>
          <w:r>
            <w:rPr>
              <w:rFonts w:asciiTheme="minorEastAsia" w:hAnsiTheme="minorEastAsia" w:eastAsiaTheme="minorEastAsia"/>
              <w:sz w:val="28"/>
            </w:rPr>
            <w:fldChar w:fldCharType="separate"/>
          </w:r>
          <w:r>
            <w:rPr>
              <w:rFonts w:asciiTheme="minorEastAsia" w:hAnsiTheme="minorEastAsia" w:eastAsiaTheme="minorEastAsia"/>
              <w:sz w:val="28"/>
            </w:rPr>
            <w:t>- 22 -</w:t>
          </w:r>
          <w:r>
            <w:rPr>
              <w:rFonts w:asciiTheme="minorEastAsia" w:hAnsiTheme="minorEastAsia" w:eastAsiaTheme="minorEastAsia"/>
              <w:sz w:val="28"/>
            </w:rPr>
            <w:fldChar w:fldCharType="end"/>
          </w:r>
          <w:r>
            <w:rPr>
              <w:rFonts w:asciiTheme="minorEastAsia" w:hAnsiTheme="minorEastAsia" w:eastAsiaTheme="minorEastAsia"/>
              <w:sz w:val="28"/>
            </w:rPr>
            <w:fldChar w:fldCharType="end"/>
          </w:r>
        </w:p>
        <w:p>
          <w:pPr>
            <w:pStyle w:val="26"/>
            <w:tabs>
              <w:tab w:val="right" w:leader="dot" w:pos="8296"/>
            </w:tabs>
            <w:spacing w:line="360" w:lineRule="auto"/>
            <w:ind w:left="640" w:firstLine="0" w:firstLineChars="0"/>
            <w:rPr>
              <w:rFonts w:asciiTheme="minorEastAsia" w:hAnsiTheme="minorEastAsia" w:eastAsiaTheme="minorEastAsia" w:cstheme="minorBidi"/>
              <w:sz w:val="28"/>
            </w:rPr>
          </w:pPr>
          <w:r>
            <w:fldChar w:fldCharType="begin"/>
          </w:r>
          <w:r>
            <w:instrText xml:space="preserve"> HYPERLINK \l "_Toc54077321" </w:instrText>
          </w:r>
          <w:r>
            <w:fldChar w:fldCharType="separate"/>
          </w:r>
          <w:r>
            <w:rPr>
              <w:rStyle w:val="38"/>
              <w:rFonts w:cs="楷体_GB2312" w:asciiTheme="minorEastAsia" w:hAnsiTheme="minorEastAsia" w:eastAsiaTheme="minorEastAsia"/>
              <w:sz w:val="28"/>
            </w:rPr>
            <w:t>（三）绩效指标设置不够全面，资金目的反映有待提高</w:t>
          </w:r>
          <w:r>
            <w:rPr>
              <w:rFonts w:asciiTheme="minorEastAsia" w:hAnsiTheme="minorEastAsia" w:eastAsiaTheme="minorEastAsia"/>
              <w:sz w:val="28"/>
            </w:rPr>
            <w:tab/>
          </w: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PAGEREF _Toc54077321 \h </w:instrText>
          </w:r>
          <w:r>
            <w:rPr>
              <w:rFonts w:asciiTheme="minorEastAsia" w:hAnsiTheme="minorEastAsia" w:eastAsiaTheme="minorEastAsia"/>
              <w:sz w:val="28"/>
            </w:rPr>
            <w:fldChar w:fldCharType="separate"/>
          </w:r>
          <w:r>
            <w:rPr>
              <w:rFonts w:asciiTheme="minorEastAsia" w:hAnsiTheme="minorEastAsia" w:eastAsiaTheme="minorEastAsia"/>
              <w:sz w:val="28"/>
            </w:rPr>
            <w:t>- 23 -</w:t>
          </w:r>
          <w:r>
            <w:rPr>
              <w:rFonts w:asciiTheme="minorEastAsia" w:hAnsiTheme="minorEastAsia" w:eastAsiaTheme="minorEastAsia"/>
              <w:sz w:val="28"/>
            </w:rPr>
            <w:fldChar w:fldCharType="end"/>
          </w:r>
          <w:r>
            <w:rPr>
              <w:rFonts w:asciiTheme="minorEastAsia" w:hAnsiTheme="minorEastAsia" w:eastAsiaTheme="minorEastAsia"/>
              <w:sz w:val="28"/>
            </w:rPr>
            <w:fldChar w:fldCharType="end"/>
          </w:r>
        </w:p>
        <w:p>
          <w:pPr>
            <w:pStyle w:val="22"/>
            <w:spacing w:line="360" w:lineRule="auto"/>
            <w:ind w:firstLine="0" w:firstLineChars="0"/>
            <w:rPr>
              <w:rFonts w:asciiTheme="minorEastAsia" w:hAnsiTheme="minorEastAsia" w:eastAsiaTheme="minorEastAsia" w:cstheme="minorBidi"/>
              <w:b/>
              <w:bCs/>
              <w:sz w:val="28"/>
            </w:rPr>
          </w:pPr>
          <w:r>
            <w:rPr>
              <w:b/>
              <w:bCs/>
            </w:rPr>
            <w:fldChar w:fldCharType="begin"/>
          </w:r>
          <w:r>
            <w:rPr>
              <w:b/>
              <w:bCs/>
            </w:rPr>
            <w:instrText xml:space="preserve"> HYPERLINK \l "_Toc54077322" </w:instrText>
          </w:r>
          <w:r>
            <w:rPr>
              <w:b/>
              <w:bCs/>
            </w:rPr>
            <w:fldChar w:fldCharType="separate"/>
          </w:r>
          <w:r>
            <w:rPr>
              <w:rStyle w:val="38"/>
              <w:rFonts w:hint="eastAsia" w:asciiTheme="minorEastAsia" w:hAnsiTheme="minorEastAsia" w:eastAsiaTheme="minorEastAsia"/>
              <w:b/>
              <w:bCs/>
              <w:sz w:val="28"/>
            </w:rPr>
            <w:t>六、建议</w:t>
          </w:r>
          <w:r>
            <w:rPr>
              <w:rFonts w:asciiTheme="minorEastAsia" w:hAnsiTheme="minorEastAsia" w:eastAsiaTheme="minorEastAsia"/>
              <w:b/>
              <w:bCs/>
              <w:sz w:val="28"/>
            </w:rPr>
            <w:tab/>
          </w:r>
          <w:r>
            <w:rPr>
              <w:rFonts w:asciiTheme="minorEastAsia" w:hAnsiTheme="minorEastAsia" w:eastAsiaTheme="minorEastAsia"/>
              <w:b/>
              <w:bCs/>
              <w:sz w:val="28"/>
            </w:rPr>
            <w:fldChar w:fldCharType="begin"/>
          </w:r>
          <w:r>
            <w:rPr>
              <w:rFonts w:asciiTheme="minorEastAsia" w:hAnsiTheme="minorEastAsia" w:eastAsiaTheme="minorEastAsia"/>
              <w:b/>
              <w:bCs/>
              <w:sz w:val="28"/>
            </w:rPr>
            <w:instrText xml:space="preserve"> PAGEREF _Toc54077322 \h </w:instrText>
          </w:r>
          <w:r>
            <w:rPr>
              <w:rFonts w:asciiTheme="minorEastAsia" w:hAnsiTheme="minorEastAsia" w:eastAsiaTheme="minorEastAsia"/>
              <w:b/>
              <w:bCs/>
              <w:sz w:val="28"/>
            </w:rPr>
            <w:fldChar w:fldCharType="separate"/>
          </w:r>
          <w:r>
            <w:rPr>
              <w:rFonts w:asciiTheme="minorEastAsia" w:hAnsiTheme="minorEastAsia" w:eastAsiaTheme="minorEastAsia"/>
              <w:b/>
              <w:bCs/>
              <w:sz w:val="28"/>
            </w:rPr>
            <w:t>- 23 -</w:t>
          </w:r>
          <w:r>
            <w:rPr>
              <w:rFonts w:asciiTheme="minorEastAsia" w:hAnsiTheme="minorEastAsia" w:eastAsiaTheme="minorEastAsia"/>
              <w:b/>
              <w:bCs/>
              <w:sz w:val="28"/>
            </w:rPr>
            <w:fldChar w:fldCharType="end"/>
          </w:r>
          <w:r>
            <w:rPr>
              <w:rFonts w:asciiTheme="minorEastAsia" w:hAnsiTheme="minorEastAsia" w:eastAsiaTheme="minorEastAsia"/>
              <w:b/>
              <w:bCs/>
              <w:sz w:val="28"/>
            </w:rPr>
            <w:fldChar w:fldCharType="end"/>
          </w:r>
        </w:p>
        <w:p>
          <w:pPr>
            <w:pStyle w:val="26"/>
            <w:tabs>
              <w:tab w:val="right" w:leader="dot" w:pos="8296"/>
            </w:tabs>
            <w:spacing w:line="360" w:lineRule="auto"/>
            <w:ind w:left="419" w:leftChars="131" w:firstLine="170" w:firstLineChars="71"/>
            <w:rPr>
              <w:rFonts w:asciiTheme="minorEastAsia" w:hAnsiTheme="minorEastAsia" w:eastAsiaTheme="minorEastAsia" w:cstheme="minorBidi"/>
              <w:sz w:val="28"/>
            </w:rPr>
          </w:pPr>
          <w:r>
            <w:fldChar w:fldCharType="begin"/>
          </w:r>
          <w:r>
            <w:instrText xml:space="preserve"> HYPERLINK \l "_Toc54077323" </w:instrText>
          </w:r>
          <w:r>
            <w:fldChar w:fldCharType="separate"/>
          </w:r>
          <w:r>
            <w:rPr>
              <w:rStyle w:val="38"/>
              <w:rFonts w:cs="楷体_GB2312" w:asciiTheme="minorEastAsia" w:hAnsiTheme="minorEastAsia" w:eastAsiaTheme="minorEastAsia"/>
              <w:sz w:val="28"/>
            </w:rPr>
            <w:t>（一）规范项目实施流程，建立关联部门联动机制</w:t>
          </w:r>
          <w:r>
            <w:rPr>
              <w:rFonts w:asciiTheme="minorEastAsia" w:hAnsiTheme="minorEastAsia" w:eastAsiaTheme="minorEastAsia"/>
              <w:sz w:val="28"/>
            </w:rPr>
            <w:tab/>
          </w: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PAGEREF _Toc54077323 \h </w:instrText>
          </w:r>
          <w:r>
            <w:rPr>
              <w:rFonts w:asciiTheme="minorEastAsia" w:hAnsiTheme="minorEastAsia" w:eastAsiaTheme="minorEastAsia"/>
              <w:sz w:val="28"/>
            </w:rPr>
            <w:fldChar w:fldCharType="separate"/>
          </w:r>
          <w:r>
            <w:rPr>
              <w:rFonts w:asciiTheme="minorEastAsia" w:hAnsiTheme="minorEastAsia" w:eastAsiaTheme="minorEastAsia"/>
              <w:sz w:val="28"/>
            </w:rPr>
            <w:t>- 23 -</w:t>
          </w:r>
          <w:r>
            <w:rPr>
              <w:rFonts w:asciiTheme="minorEastAsia" w:hAnsiTheme="minorEastAsia" w:eastAsiaTheme="minorEastAsia"/>
              <w:sz w:val="28"/>
            </w:rPr>
            <w:fldChar w:fldCharType="end"/>
          </w:r>
          <w:r>
            <w:rPr>
              <w:rFonts w:asciiTheme="minorEastAsia" w:hAnsiTheme="minorEastAsia" w:eastAsiaTheme="minorEastAsia"/>
              <w:sz w:val="28"/>
            </w:rPr>
            <w:fldChar w:fldCharType="end"/>
          </w:r>
        </w:p>
        <w:p>
          <w:pPr>
            <w:pStyle w:val="26"/>
            <w:tabs>
              <w:tab w:val="right" w:leader="dot" w:pos="8296"/>
            </w:tabs>
            <w:spacing w:line="360" w:lineRule="auto"/>
            <w:ind w:left="419" w:leftChars="131" w:firstLine="170" w:firstLineChars="71"/>
            <w:rPr>
              <w:rFonts w:asciiTheme="minorEastAsia" w:hAnsiTheme="minorEastAsia" w:eastAsiaTheme="minorEastAsia" w:cstheme="minorBidi"/>
              <w:sz w:val="28"/>
            </w:rPr>
          </w:pPr>
          <w:r>
            <w:fldChar w:fldCharType="begin"/>
          </w:r>
          <w:r>
            <w:instrText xml:space="preserve"> HYPERLINK \l "_Toc54077324" </w:instrText>
          </w:r>
          <w:r>
            <w:fldChar w:fldCharType="separate"/>
          </w:r>
          <w:r>
            <w:rPr>
              <w:rStyle w:val="38"/>
              <w:rFonts w:cs="楷体_GB2312" w:asciiTheme="minorEastAsia" w:hAnsiTheme="minorEastAsia" w:eastAsiaTheme="minorEastAsia"/>
              <w:sz w:val="28"/>
            </w:rPr>
            <w:t>（二）加强项目资金管理，提前申请部分资金下达</w:t>
          </w:r>
          <w:r>
            <w:rPr>
              <w:rFonts w:asciiTheme="minorEastAsia" w:hAnsiTheme="minorEastAsia" w:eastAsiaTheme="minorEastAsia"/>
              <w:sz w:val="28"/>
            </w:rPr>
            <w:tab/>
          </w: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PAGEREF _Toc54077324 \h </w:instrText>
          </w:r>
          <w:r>
            <w:rPr>
              <w:rFonts w:asciiTheme="minorEastAsia" w:hAnsiTheme="minorEastAsia" w:eastAsiaTheme="minorEastAsia"/>
              <w:sz w:val="28"/>
            </w:rPr>
            <w:fldChar w:fldCharType="separate"/>
          </w:r>
          <w:r>
            <w:rPr>
              <w:rFonts w:asciiTheme="minorEastAsia" w:hAnsiTheme="minorEastAsia" w:eastAsiaTheme="minorEastAsia"/>
              <w:sz w:val="28"/>
            </w:rPr>
            <w:t>- 25 -</w:t>
          </w:r>
          <w:r>
            <w:rPr>
              <w:rFonts w:asciiTheme="minorEastAsia" w:hAnsiTheme="minorEastAsia" w:eastAsiaTheme="minorEastAsia"/>
              <w:sz w:val="28"/>
            </w:rPr>
            <w:fldChar w:fldCharType="end"/>
          </w:r>
          <w:r>
            <w:rPr>
              <w:rFonts w:asciiTheme="minorEastAsia" w:hAnsiTheme="minorEastAsia" w:eastAsiaTheme="minorEastAsia"/>
              <w:sz w:val="28"/>
            </w:rPr>
            <w:fldChar w:fldCharType="end"/>
          </w:r>
        </w:p>
        <w:p>
          <w:pPr>
            <w:pStyle w:val="26"/>
            <w:tabs>
              <w:tab w:val="right" w:leader="dot" w:pos="8296"/>
            </w:tabs>
            <w:spacing w:line="360" w:lineRule="auto"/>
            <w:ind w:left="419" w:leftChars="131" w:firstLine="170" w:firstLineChars="71"/>
            <w:rPr>
              <w:rFonts w:asciiTheme="minorEastAsia" w:hAnsiTheme="minorEastAsia" w:eastAsiaTheme="minorEastAsia" w:cstheme="minorBidi"/>
              <w:sz w:val="28"/>
            </w:rPr>
          </w:pPr>
          <w:r>
            <w:fldChar w:fldCharType="begin"/>
          </w:r>
          <w:r>
            <w:instrText xml:space="preserve"> HYPERLINK \l "_Toc54077325" </w:instrText>
          </w:r>
          <w:r>
            <w:fldChar w:fldCharType="separate"/>
          </w:r>
          <w:r>
            <w:rPr>
              <w:rStyle w:val="38"/>
              <w:rFonts w:cs="楷体_GB2312" w:asciiTheme="minorEastAsia" w:hAnsiTheme="minorEastAsia" w:eastAsiaTheme="minorEastAsia"/>
              <w:sz w:val="28"/>
            </w:rPr>
            <w:t>（三）提高绩效管理意识，完善项目效益指标设置</w:t>
          </w:r>
          <w:r>
            <w:rPr>
              <w:rFonts w:asciiTheme="minorEastAsia" w:hAnsiTheme="minorEastAsia" w:eastAsiaTheme="minorEastAsia"/>
              <w:sz w:val="28"/>
            </w:rPr>
            <w:tab/>
          </w: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PAGEREF _Toc54077325 \h </w:instrText>
          </w:r>
          <w:r>
            <w:rPr>
              <w:rFonts w:asciiTheme="minorEastAsia" w:hAnsiTheme="minorEastAsia" w:eastAsiaTheme="minorEastAsia"/>
              <w:sz w:val="28"/>
            </w:rPr>
            <w:fldChar w:fldCharType="separate"/>
          </w:r>
          <w:r>
            <w:rPr>
              <w:rFonts w:asciiTheme="minorEastAsia" w:hAnsiTheme="minorEastAsia" w:eastAsiaTheme="minorEastAsia"/>
              <w:sz w:val="28"/>
            </w:rPr>
            <w:t>- 25 -</w:t>
          </w:r>
          <w:r>
            <w:rPr>
              <w:rFonts w:asciiTheme="minorEastAsia" w:hAnsiTheme="minorEastAsia" w:eastAsiaTheme="minorEastAsia"/>
              <w:sz w:val="28"/>
            </w:rPr>
            <w:fldChar w:fldCharType="end"/>
          </w:r>
          <w:r>
            <w:rPr>
              <w:rFonts w:asciiTheme="minorEastAsia" w:hAnsiTheme="minorEastAsia" w:eastAsiaTheme="minorEastAsia"/>
              <w:sz w:val="28"/>
            </w:rPr>
            <w:fldChar w:fldCharType="end"/>
          </w:r>
        </w:p>
        <w:p>
          <w:pPr>
            <w:pStyle w:val="26"/>
            <w:tabs>
              <w:tab w:val="right" w:leader="dot" w:pos="8296"/>
            </w:tabs>
            <w:spacing w:line="360" w:lineRule="auto"/>
            <w:ind w:left="419" w:leftChars="131" w:firstLine="170" w:firstLineChars="71"/>
            <w:rPr>
              <w:rFonts w:asciiTheme="minorEastAsia" w:hAnsiTheme="minorEastAsia" w:eastAsiaTheme="minorEastAsia" w:cstheme="minorBidi"/>
              <w:sz w:val="28"/>
            </w:rPr>
          </w:pPr>
          <w:r>
            <w:fldChar w:fldCharType="begin"/>
          </w:r>
          <w:r>
            <w:instrText xml:space="preserve"> HYPERLINK \l "_Toc54077327" </w:instrText>
          </w:r>
          <w:r>
            <w:fldChar w:fldCharType="separate"/>
          </w:r>
          <w:r>
            <w:rPr>
              <w:rStyle w:val="38"/>
              <w:rFonts w:cs="楷体_GB2312" w:asciiTheme="minorEastAsia" w:hAnsiTheme="minorEastAsia" w:eastAsiaTheme="minorEastAsia"/>
              <w:sz w:val="28"/>
            </w:rPr>
            <w:t>附件1</w:t>
          </w:r>
          <w:r>
            <w:rPr>
              <w:rFonts w:asciiTheme="minorEastAsia" w:hAnsiTheme="minorEastAsia" w:eastAsiaTheme="minorEastAsia"/>
              <w:sz w:val="28"/>
            </w:rPr>
            <w:tab/>
          </w: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PAGEREF _Toc54077327 \h </w:instrText>
          </w:r>
          <w:r>
            <w:rPr>
              <w:rFonts w:asciiTheme="minorEastAsia" w:hAnsiTheme="minorEastAsia" w:eastAsiaTheme="minorEastAsia"/>
              <w:sz w:val="28"/>
            </w:rPr>
            <w:fldChar w:fldCharType="separate"/>
          </w:r>
          <w:r>
            <w:rPr>
              <w:rFonts w:asciiTheme="minorEastAsia" w:hAnsiTheme="minorEastAsia" w:eastAsiaTheme="minorEastAsia"/>
              <w:sz w:val="28"/>
            </w:rPr>
            <w:t>- 27 -</w:t>
          </w:r>
          <w:r>
            <w:rPr>
              <w:rFonts w:asciiTheme="minorEastAsia" w:hAnsiTheme="minorEastAsia" w:eastAsiaTheme="minorEastAsia"/>
              <w:sz w:val="28"/>
            </w:rPr>
            <w:fldChar w:fldCharType="end"/>
          </w:r>
          <w:r>
            <w:rPr>
              <w:rFonts w:asciiTheme="minorEastAsia" w:hAnsiTheme="minorEastAsia" w:eastAsiaTheme="minorEastAsia"/>
              <w:sz w:val="28"/>
            </w:rPr>
            <w:fldChar w:fldCharType="end"/>
          </w:r>
        </w:p>
        <w:p>
          <w:pPr>
            <w:pStyle w:val="26"/>
            <w:tabs>
              <w:tab w:val="right" w:leader="dot" w:pos="8296"/>
            </w:tabs>
            <w:spacing w:line="360" w:lineRule="auto"/>
            <w:ind w:left="419" w:leftChars="131" w:firstLine="170" w:firstLineChars="71"/>
            <w:rPr>
              <w:rFonts w:asciiTheme="minorEastAsia" w:hAnsiTheme="minorEastAsia" w:eastAsiaTheme="minorEastAsia" w:cstheme="minorBidi"/>
              <w:sz w:val="28"/>
            </w:rPr>
          </w:pPr>
          <w:r>
            <w:fldChar w:fldCharType="begin"/>
          </w:r>
          <w:r>
            <w:instrText xml:space="preserve"> HYPERLINK \l "_Toc54077328" </w:instrText>
          </w:r>
          <w:r>
            <w:fldChar w:fldCharType="separate"/>
          </w:r>
          <w:r>
            <w:rPr>
              <w:rStyle w:val="38"/>
              <w:rFonts w:cs="楷体_GB2312" w:asciiTheme="minorEastAsia" w:hAnsiTheme="minorEastAsia" w:eastAsiaTheme="minorEastAsia"/>
              <w:sz w:val="28"/>
            </w:rPr>
            <w:t>附件2</w:t>
          </w:r>
          <w:r>
            <w:rPr>
              <w:rFonts w:asciiTheme="minorEastAsia" w:hAnsiTheme="minorEastAsia" w:eastAsiaTheme="minorEastAsia"/>
              <w:sz w:val="28"/>
            </w:rPr>
            <w:tab/>
          </w: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PAGEREF _Toc54077328 \h </w:instrText>
          </w:r>
          <w:r>
            <w:rPr>
              <w:rFonts w:asciiTheme="minorEastAsia" w:hAnsiTheme="minorEastAsia" w:eastAsiaTheme="minorEastAsia"/>
              <w:sz w:val="28"/>
            </w:rPr>
            <w:fldChar w:fldCharType="separate"/>
          </w:r>
          <w:r>
            <w:rPr>
              <w:rFonts w:asciiTheme="minorEastAsia" w:hAnsiTheme="minorEastAsia" w:eastAsiaTheme="minorEastAsia"/>
              <w:sz w:val="28"/>
            </w:rPr>
            <w:t>- 3</w:t>
          </w:r>
          <w:r>
            <w:rPr>
              <w:rFonts w:hint="eastAsia" w:asciiTheme="minorEastAsia" w:hAnsiTheme="minorEastAsia" w:eastAsiaTheme="minorEastAsia"/>
              <w:sz w:val="28"/>
              <w:lang w:val="en-US" w:eastAsia="zh-CN"/>
            </w:rPr>
            <w:t>3</w:t>
          </w:r>
          <w:r>
            <w:rPr>
              <w:rFonts w:asciiTheme="minorEastAsia" w:hAnsiTheme="minorEastAsia" w:eastAsiaTheme="minorEastAsia"/>
              <w:sz w:val="28"/>
            </w:rPr>
            <w:t xml:space="preserve"> -</w:t>
          </w:r>
          <w:r>
            <w:rPr>
              <w:rFonts w:asciiTheme="minorEastAsia" w:hAnsiTheme="minorEastAsia" w:eastAsiaTheme="minorEastAsia"/>
              <w:sz w:val="28"/>
            </w:rPr>
            <w:fldChar w:fldCharType="end"/>
          </w:r>
          <w:r>
            <w:rPr>
              <w:rFonts w:asciiTheme="minorEastAsia" w:hAnsiTheme="minorEastAsia" w:eastAsiaTheme="minorEastAsia"/>
              <w:sz w:val="28"/>
            </w:rPr>
            <w:fldChar w:fldCharType="end"/>
          </w:r>
        </w:p>
        <w:p>
          <w:pPr>
            <w:pStyle w:val="22"/>
            <w:spacing w:line="360" w:lineRule="auto"/>
            <w:ind w:firstLine="0" w:firstLineChars="0"/>
            <w:rPr>
              <w:rFonts w:asciiTheme="minorEastAsia" w:hAnsiTheme="minorEastAsia" w:eastAsiaTheme="minorEastAsia"/>
              <w:color w:val="000000" w:themeColor="text1"/>
              <w:sz w:val="28"/>
              <w14:textFill>
                <w14:solidFill>
                  <w14:schemeClr w14:val="tx1"/>
                </w14:solidFill>
              </w14:textFill>
            </w:rPr>
          </w:pPr>
          <w:r>
            <w:rPr>
              <w:rFonts w:hint="eastAsia" w:cs="宋体" w:asciiTheme="minorEastAsia" w:hAnsiTheme="minorEastAsia" w:eastAsiaTheme="minorEastAsia"/>
              <w:color w:val="000000" w:themeColor="text1"/>
              <w:sz w:val="28"/>
              <w14:textFill>
                <w14:solidFill>
                  <w14:schemeClr w14:val="tx1"/>
                </w14:solidFill>
              </w14:textFill>
            </w:rPr>
            <w:fldChar w:fldCharType="end"/>
          </w:r>
        </w:p>
      </w:sdtContent>
    </w:sdt>
    <w:p>
      <w:pPr>
        <w:ind w:firstLine="643"/>
        <w:rPr>
          <w:rFonts w:ascii="Times New Roman" w:hAnsi="Times New Roman"/>
          <w:b/>
          <w:color w:val="000000" w:themeColor="text1"/>
          <w:szCs w:val="32"/>
          <w14:textFill>
            <w14:solidFill>
              <w14:schemeClr w14:val="tx1"/>
            </w14:solidFill>
          </w14:textFill>
        </w:rPr>
        <w:sectPr>
          <w:headerReference r:id="rId10" w:type="default"/>
          <w:footerReference r:id="rId11" w:type="default"/>
          <w:footnotePr>
            <w:numRestart w:val="eachPage"/>
          </w:footnotePr>
          <w:pgSz w:w="11906" w:h="16838"/>
          <w:pgMar w:top="1440" w:right="1800" w:bottom="1440" w:left="1800" w:header="851" w:footer="992" w:gutter="0"/>
          <w:pgNumType w:fmt="numberInDash" w:start="1"/>
          <w:cols w:space="425" w:num="1"/>
          <w:docGrid w:type="lines" w:linePitch="312" w:charSpace="0"/>
        </w:sectPr>
      </w:pPr>
    </w:p>
    <w:p>
      <w:pPr>
        <w:pStyle w:val="2"/>
        <w:ind w:firstLine="883"/>
        <w:jc w:val="center"/>
        <w:rPr>
          <w:rFonts w:ascii="宋体" w:hAnsi="宋体" w:eastAsia="宋体" w:cs="宋体"/>
          <w:b/>
          <w:sz w:val="44"/>
        </w:rPr>
      </w:pPr>
      <w:bookmarkStart w:id="1" w:name="_Toc54077302"/>
      <w:r>
        <w:rPr>
          <w:rFonts w:hint="eastAsia" w:ascii="宋体" w:hAnsi="宋体" w:eastAsia="宋体" w:cs="宋体"/>
          <w:b/>
          <w:sz w:val="44"/>
        </w:rPr>
        <w:t>摘</w:t>
      </w:r>
      <w:r>
        <w:rPr>
          <w:rFonts w:ascii="宋体" w:hAnsi="宋体" w:eastAsia="宋体" w:cs="宋体"/>
          <w:b/>
          <w:sz w:val="44"/>
        </w:rPr>
        <w:t xml:space="preserve">  </w:t>
      </w:r>
      <w:r>
        <w:rPr>
          <w:rFonts w:hint="eastAsia" w:ascii="宋体" w:hAnsi="宋体" w:eastAsia="宋体" w:cs="宋体"/>
          <w:b/>
          <w:sz w:val="44"/>
        </w:rPr>
        <w:t>要</w:t>
      </w:r>
      <w:bookmarkEnd w:id="1"/>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受韶关市财政局（下称市财政局）委托，广东中大管理咨询集团股份有限公司（下称中大咨询）根据《关于2020年预算绩效管理工作委托任务的通知》文件的有关要求，组织绩效评价工作组，对韶关市2019年度企业关闭破产补助项目开展绩效评价，</w:t>
      </w:r>
      <w:bookmarkStart w:id="2" w:name="_Hlk25574400"/>
      <w:r>
        <w:rPr>
          <w:rFonts w:hint="eastAsia" w:ascii="仿宋_GB2312" w:hAnsi="Times New Roman" w:cs="Times New Roman"/>
          <w:szCs w:val="24"/>
        </w:rPr>
        <w:t>本次评价基准日为2019年12月31日</w:t>
      </w:r>
      <w:bookmarkEnd w:id="2"/>
      <w:r>
        <w:rPr>
          <w:rFonts w:hint="eastAsia" w:ascii="仿宋_GB2312" w:hAnsi="Times New Roman" w:cs="Times New Roman"/>
          <w:szCs w:val="24"/>
        </w:rPr>
        <w:t>。</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为妥善安置关闭、破产企业职工安置，保障广大企业退休人员晚年生活安定，维护社会稳定和谐，由韶关市社会保险服务管理局（以下简称社保局）向市</w:t>
      </w:r>
      <w:r>
        <w:rPr>
          <w:rFonts w:ascii="仿宋_GB2312" w:hAnsi="Times New Roman" w:cs="Times New Roman"/>
          <w:szCs w:val="24"/>
        </w:rPr>
        <w:t>财政局</w:t>
      </w:r>
      <w:r>
        <w:rPr>
          <w:rFonts w:hint="eastAsia" w:ascii="仿宋_GB2312" w:hAnsi="Times New Roman" w:cs="Times New Roman"/>
          <w:szCs w:val="24"/>
        </w:rPr>
        <w:t>、</w:t>
      </w:r>
      <w:r>
        <w:rPr>
          <w:rFonts w:ascii="仿宋_GB2312" w:hAnsi="Times New Roman" w:cs="Times New Roman"/>
          <w:szCs w:val="24"/>
        </w:rPr>
        <w:t>韶关市人力资源和社会保障局（</w:t>
      </w:r>
      <w:r>
        <w:rPr>
          <w:rFonts w:hint="eastAsia" w:ascii="仿宋_GB2312" w:hAnsi="Times New Roman" w:cs="Times New Roman"/>
          <w:szCs w:val="24"/>
        </w:rPr>
        <w:t>以下</w:t>
      </w:r>
      <w:r>
        <w:rPr>
          <w:rFonts w:ascii="仿宋_GB2312" w:hAnsi="Times New Roman" w:cs="Times New Roman"/>
          <w:szCs w:val="24"/>
        </w:rPr>
        <w:t>简称</w:t>
      </w:r>
      <w:r>
        <w:rPr>
          <w:rFonts w:hint="eastAsia" w:ascii="仿宋_GB2312" w:hAnsi="Times New Roman" w:cs="Times New Roman"/>
          <w:szCs w:val="24"/>
        </w:rPr>
        <w:t>市</w:t>
      </w:r>
      <w:r>
        <w:rPr>
          <w:rFonts w:ascii="仿宋_GB2312" w:hAnsi="Times New Roman" w:cs="Times New Roman"/>
          <w:szCs w:val="24"/>
        </w:rPr>
        <w:t>人社局）</w:t>
      </w:r>
      <w:r>
        <w:rPr>
          <w:rFonts w:hint="eastAsia" w:ascii="仿宋_GB2312" w:hAnsi="Times New Roman" w:cs="Times New Roman"/>
          <w:szCs w:val="24"/>
        </w:rPr>
        <w:t>上报</w:t>
      </w:r>
      <w:r>
        <w:rPr>
          <w:rFonts w:ascii="仿宋_GB2312" w:hAnsi="Times New Roman" w:cs="Times New Roman"/>
          <w:szCs w:val="24"/>
        </w:rPr>
        <w:t>破产企业名单</w:t>
      </w:r>
      <w:r>
        <w:rPr>
          <w:rFonts w:hint="eastAsia" w:ascii="仿宋_GB2312" w:hAnsi="Times New Roman" w:cs="Times New Roman"/>
          <w:szCs w:val="24"/>
        </w:rPr>
        <w:t>后，逐月代缴的市属关闭、破产企业离退休人员的医疗保险费、养老保险费，以及逐月代发的生活费和生活补贴。</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根据项目特点，本次评价从项目投入、过程、产出和效益等四个方面着手，重点关注项目是否达到应保尽保、补贴是否及时足额发放、费用发放标准是否符合相关法规规定、破产安置职工安置方案及项目新增/减少收支等五个方面。通过组织单位自评、评价小组审核、现场评价及综合分析等环节，对韶关市2019年度企业关闭破产补助项目绩效进行客观、公正的绩效评价。</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综合评价表明，市社保局及时足额代缴养老和医疗保险、发放生活费和生活补贴，有利保障了“两个退出”工作的顺利开展，保障了补助对象的基本生活，维护了社会稳定和谐。项目基本实现其绩效目标，第三方综合评分85.33分，绩效等级均为“良”。</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但是项目整体还存在一些不足：</w:t>
      </w:r>
      <w:r>
        <w:rPr>
          <w:rFonts w:hint="eastAsia" w:ascii="仿宋_GB2312" w:hAnsi="Times New Roman" w:cs="Times New Roman"/>
          <w:b/>
          <w:bCs/>
          <w:szCs w:val="24"/>
        </w:rPr>
        <w:t>第一，监管联动机制有待提高，部门工作衔接不够高效。</w:t>
      </w:r>
      <w:r>
        <w:rPr>
          <w:rFonts w:hint="eastAsia" w:ascii="仿宋_GB2312" w:hAnsi="Times New Roman" w:cs="Times New Roman"/>
          <w:szCs w:val="24"/>
        </w:rPr>
        <w:t>一是企业主管部门未对职工安置方案及企业处置收益进行分析，难以保障安置方案的合理性；二是未与国资委衔接“两个退出”进程，实际实施的关闭破产企业与年初预计实施的企业存在差异，影响了预算编制的准确性；三是市人社局相关监管工作执行不足以及监管职能的分离可能导致由于信息沟通不畅而产生多发、发错等风险。三是未见项目自2002年实施至今对于人员的保有量和结构的数据统计。</w:t>
      </w:r>
      <w:r>
        <w:rPr>
          <w:rFonts w:hint="eastAsia" w:ascii="仿宋_GB2312" w:hAnsi="Times New Roman" w:cs="Times New Roman"/>
          <w:b/>
          <w:bCs/>
          <w:szCs w:val="24"/>
        </w:rPr>
        <w:t>第二，会计核算规范性须加强，资金管理有提高空间。</w:t>
      </w:r>
      <w:r>
        <w:rPr>
          <w:rFonts w:hint="eastAsia" w:ascii="仿宋_GB2312" w:hAnsi="Times New Roman" w:cs="Times New Roman"/>
          <w:szCs w:val="24"/>
        </w:rPr>
        <w:t>一是2019年度的生活补贴费实际发放到个人的银行批量付款的总回单未放至账本中；二是</w:t>
      </w:r>
      <w:r>
        <w:rPr>
          <w:rFonts w:hint="eastAsia" w:ascii="仿宋_GB2312" w:hAnsi="Times New Roman" w:cs="Times New Roman"/>
          <w:szCs w:val="24"/>
          <w:lang w:eastAsia="zh-CN"/>
        </w:rPr>
        <w:t>提前申请资金比率较高，</w:t>
      </w:r>
      <w:r>
        <w:rPr>
          <w:rFonts w:hint="eastAsia" w:ascii="仿宋_GB2312" w:hAnsi="Times New Roman" w:cs="Times New Roman"/>
          <w:color w:val="auto"/>
          <w:szCs w:val="24"/>
          <w:lang w:eastAsia="zh-CN"/>
        </w:rPr>
        <w:t>资金拨付存在隐患</w:t>
      </w:r>
      <w:r>
        <w:rPr>
          <w:rFonts w:hint="eastAsia" w:ascii="仿宋_GB2312" w:hAnsi="Times New Roman" w:cs="Times New Roman"/>
          <w:szCs w:val="24"/>
        </w:rPr>
        <w:t>。</w:t>
      </w:r>
      <w:r>
        <w:rPr>
          <w:rFonts w:hint="eastAsia" w:ascii="仿宋_GB2312" w:hAnsi="Times New Roman" w:cs="Times New Roman"/>
          <w:b/>
          <w:bCs/>
          <w:szCs w:val="24"/>
        </w:rPr>
        <w:t>第三，绩效目标的完整性和合理性有待加强，指标设置未能反映决策意图。</w:t>
      </w:r>
      <w:r>
        <w:rPr>
          <w:rFonts w:hint="eastAsia" w:ascii="仿宋_GB2312" w:hAnsi="Times New Roman" w:cs="Times New Roman"/>
          <w:szCs w:val="24"/>
        </w:rPr>
        <w:t>项目绩效指标设置不全，经济及社会效益指标未能得到较好反映。</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针对以上问题，特提出如下建议：</w:t>
      </w:r>
      <w:r>
        <w:rPr>
          <w:rFonts w:hint="eastAsia" w:ascii="仿宋_GB2312" w:hAnsi="Times New Roman" w:cs="Times New Roman"/>
          <w:b/>
          <w:bCs/>
          <w:szCs w:val="24"/>
        </w:rPr>
        <w:t>第一，规范项目实施流程，建立关联部门联动机制。</w:t>
      </w:r>
      <w:r>
        <w:rPr>
          <w:rFonts w:hint="eastAsia" w:ascii="仿宋_GB2312" w:hAnsi="Times New Roman" w:cs="Times New Roman"/>
          <w:szCs w:val="24"/>
          <w:lang w:eastAsia="zh-CN"/>
        </w:rPr>
        <w:t>主要是</w:t>
      </w:r>
      <w:r>
        <w:rPr>
          <w:rFonts w:hint="eastAsia" w:ascii="仿宋_GB2312" w:hAnsi="Times New Roman" w:cs="Times New Roman"/>
          <w:szCs w:val="24"/>
        </w:rPr>
        <w:t>：一是明确企业主管部门对职工安置方案的可行性分析要求，企业主管部门应对相关安置费用的收入支出进行分析。二是加强与国资委对接，掌握企业关闭破产计划和进程，加强项目预算管理。三是统筹项目监管职责，建立部门联动机制。并且建议每年进行工作总结，在此基础上进行跨部门沟通及工作优化。</w:t>
      </w:r>
      <w:r>
        <w:rPr>
          <w:rFonts w:hint="eastAsia" w:ascii="仿宋_GB2312" w:hAnsi="Times New Roman" w:cs="Times New Roman"/>
          <w:b/>
          <w:bCs/>
          <w:szCs w:val="24"/>
        </w:rPr>
        <w:t>第二，加强资金管理规范，提前申请部分资金下达。</w:t>
      </w:r>
      <w:r>
        <w:rPr>
          <w:rFonts w:hint="eastAsia" w:ascii="仿宋_GB2312" w:hAnsi="Times New Roman" w:cs="Times New Roman"/>
          <w:szCs w:val="24"/>
        </w:rPr>
        <w:t>规范记账凭证的管理工作的同时，提前申请第一季度资金下达，保障民生项目资金支出。</w:t>
      </w:r>
      <w:r>
        <w:rPr>
          <w:rFonts w:hint="eastAsia" w:ascii="仿宋_GB2312" w:hAnsi="Times New Roman" w:cs="Times New Roman"/>
          <w:b/>
          <w:bCs/>
          <w:szCs w:val="24"/>
        </w:rPr>
        <w:t>第三，提高项目单位的绩效管理意识。</w:t>
      </w:r>
      <w:r>
        <w:rPr>
          <w:rFonts w:hint="eastAsia" w:ascii="仿宋_GB2312" w:hAnsi="Times New Roman" w:cs="Times New Roman"/>
          <w:szCs w:val="24"/>
        </w:rPr>
        <w:t>根据项目政策目的，分析本项目属于哪个政策环节，发挥了什么作用，据此提炼效益指标。就“及时足额发放”、“保障补助对象的基本生活”、“维护社会稳定”、等方面设置对应效益指标，以全面反映项目绩效。</w:t>
      </w:r>
    </w:p>
    <w:p>
      <w:pPr>
        <w:ind w:firstLine="640"/>
        <w:rPr>
          <w:rFonts w:ascii="仿宋_GB2312" w:hAnsi="Times New Roman"/>
          <w:color w:val="000000"/>
          <w:szCs w:val="32"/>
        </w:rPr>
      </w:pPr>
      <w:r>
        <w:rPr>
          <w:rFonts w:ascii="仿宋_GB2312" w:hAnsi="Times New Roman"/>
          <w:color w:val="000000"/>
          <w:szCs w:val="32"/>
        </w:rPr>
        <w:br w:type="page"/>
      </w:r>
    </w:p>
    <w:p>
      <w:pPr>
        <w:pStyle w:val="2"/>
        <w:spacing w:line="240" w:lineRule="auto"/>
        <w:ind w:firstLine="640"/>
      </w:pPr>
      <w:bookmarkStart w:id="3" w:name="_Toc54077303"/>
      <w:r>
        <w:rPr>
          <w:rFonts w:hint="eastAsia"/>
        </w:rPr>
        <w:t>一、项目概况</w:t>
      </w:r>
      <w:bookmarkEnd w:id="3"/>
    </w:p>
    <w:p>
      <w:pPr>
        <w:adjustRightInd/>
        <w:snapToGrid/>
        <w:spacing w:line="240" w:lineRule="auto"/>
        <w:ind w:firstLine="640"/>
        <w:outlineLvl w:val="1"/>
        <w:rPr>
          <w:rFonts w:ascii="楷体_GB2312" w:hAnsi="楷体_GB2312" w:eastAsia="楷体_GB2312" w:cs="楷体_GB2312"/>
        </w:rPr>
      </w:pPr>
      <w:bookmarkStart w:id="4" w:name="_Toc54077304"/>
      <w:r>
        <w:rPr>
          <w:rFonts w:hint="eastAsia" w:ascii="楷体_GB2312" w:hAnsi="楷体_GB2312" w:eastAsia="楷体_GB2312" w:cs="楷体_GB2312"/>
        </w:rPr>
        <w:t>（一）项目背景</w:t>
      </w:r>
      <w:bookmarkEnd w:id="4"/>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2000年起，国务院开始对资源枯竭矿山等国有企业实施大规模的关闭破产，随着政策性关闭破产企业和国有企业退出的增加，关闭破产企业职工安置问题愈发严峻。为妥善安置关闭、破产企业职工和离退休人员，劳动和社会保障部、民政部、财政部作出部署，将关闭破产企业的离退休人员纳入基本养老金社会化发放范围、在职职工纳入当地社会保障和再就业工作计划。</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2002年，韶关市政府根据国家和省有关国有关闭、破产企业职工分流安置政策，结合韶关市实际，重新颁布了《韶关市国有关闭、破产企业职工分流安置暂行办法》（韶府〔2002〕5号）</w:t>
      </w:r>
      <w:r>
        <w:rPr>
          <w:rFonts w:hint="eastAsia" w:ascii="仿宋_GB2312" w:hAnsi="Times New Roman" w:cs="Times New Roman"/>
          <w:szCs w:val="24"/>
        </w:rPr>
        <w:footnoteReference w:id="0"/>
      </w:r>
      <w:r>
        <w:rPr>
          <w:rFonts w:hint="eastAsia" w:ascii="仿宋_GB2312" w:hAnsi="Times New Roman" w:cs="Times New Roman"/>
          <w:szCs w:val="24"/>
        </w:rPr>
        <w:t>，明确了关闭、破产职工的分流安置工作程序、补偿原则、费用来源等，并制定《韶关市关、停、破产及转制单位预缴社会保障类资金管理办法》（韶财社〔2003〕78号），对社会保障类资金的代缴工作及其账户管理等作出了相关规定。</w:t>
      </w:r>
    </w:p>
    <w:p>
      <w:pPr>
        <w:adjustRightInd/>
        <w:snapToGrid/>
        <w:spacing w:line="240" w:lineRule="auto"/>
        <w:ind w:firstLine="640"/>
        <w:rPr>
          <w:rFonts w:ascii="仿宋_GB2312" w:hAnsi="Times New Roman" w:cs="Times New Roman"/>
          <w:szCs w:val="24"/>
        </w:rPr>
      </w:pPr>
      <w:bookmarkStart w:id="5" w:name="_Toc19623155"/>
      <w:bookmarkStart w:id="6" w:name="_Toc21995519"/>
      <w:bookmarkStart w:id="7" w:name="_Toc21995287"/>
      <w:r>
        <w:rPr>
          <w:rFonts w:hint="eastAsia" w:ascii="仿宋_GB2312" w:hAnsi="Times New Roman" w:cs="Times New Roman"/>
          <w:szCs w:val="24"/>
        </w:rPr>
        <w:t>本次评价基准日为2019年12月31日，评价对象为“韶关市2019年度企业关闭破产补助项目”。市社保局负责执行的企业关闭破产补助项目，属企业关闭破产职工安置工作</w:t>
      </w:r>
      <w:r>
        <w:rPr>
          <w:rFonts w:hint="eastAsia" w:ascii="仿宋_GB2312" w:hAnsi="Times New Roman" w:cs="Times New Roman"/>
          <w:szCs w:val="24"/>
        </w:rPr>
        <w:footnoteReference w:id="1"/>
      </w:r>
      <w:r>
        <w:rPr>
          <w:rFonts w:hint="eastAsia" w:ascii="仿宋_GB2312" w:hAnsi="Times New Roman" w:cs="Times New Roman"/>
          <w:szCs w:val="24"/>
        </w:rPr>
        <w:t>的一环，且该项目资金投向仅为市社保局代缴代发，但基于企业关闭破产补助项目资金的政策目的，本次评价范围将适当延伸至整个安置工作，以期对该政策提出更为全面的建议，提高财政资源配置效率和使用效益。</w:t>
      </w:r>
      <w:bookmarkEnd w:id="5"/>
      <w:bookmarkEnd w:id="6"/>
      <w:bookmarkEnd w:id="7"/>
    </w:p>
    <w:p>
      <w:pPr>
        <w:adjustRightInd/>
        <w:snapToGrid/>
        <w:spacing w:line="240" w:lineRule="auto"/>
        <w:ind w:firstLine="640"/>
        <w:outlineLvl w:val="1"/>
        <w:rPr>
          <w:rFonts w:ascii="楷体_GB2312" w:hAnsi="楷体_GB2312" w:eastAsia="楷体_GB2312" w:cs="楷体_GB2312"/>
        </w:rPr>
      </w:pPr>
      <w:bookmarkStart w:id="8" w:name="_Toc54077305"/>
      <w:r>
        <w:rPr>
          <w:rFonts w:hint="eastAsia" w:ascii="楷体_GB2312" w:hAnsi="楷体_GB2312" w:eastAsia="楷体_GB2312" w:cs="楷体_GB2312"/>
        </w:rPr>
        <w:t>（二）项目实施情况</w:t>
      </w:r>
      <w:bookmarkEnd w:id="8"/>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企业关闭破产补助项目</w:t>
      </w:r>
      <w:bookmarkStart w:id="9" w:name="_Hlk44396339"/>
      <w:r>
        <w:rPr>
          <w:rFonts w:hint="eastAsia" w:ascii="仿宋_GB2312" w:hAnsi="Times New Roman" w:cs="Times New Roman"/>
          <w:szCs w:val="24"/>
        </w:rPr>
        <w:t>由韶关市社会保险服务管理局（下称市社保局）组织实施，负责</w:t>
      </w:r>
      <w:bookmarkStart w:id="10" w:name="_Hlk44317533"/>
      <w:r>
        <w:rPr>
          <w:rFonts w:hint="eastAsia" w:ascii="仿宋_GB2312" w:hAnsi="Times New Roman" w:cs="Times New Roman"/>
          <w:szCs w:val="24"/>
        </w:rPr>
        <w:t>逐月代缴市属关闭、破产企业离退休人员的医疗保险费、养老保险费，以及逐月代发生活费和生活补贴。</w:t>
      </w:r>
      <w:bookmarkEnd w:id="9"/>
      <w:bookmarkEnd w:id="10"/>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根据《韶关市国有关闭、破产企业职工分流安置暂行办法》（韶府〔2002〕5号），关闭、破产企业申请政府适当补贴职工安置费用的审核程序为企业上报安置方案-主管部门进行可行性分析-向市财政局、市人社局上报破产企业名单后拨款发放。2019年度新增两个关闭破产企业安置方案均由工贸公司制定，公示后报市政府审批，再报市人社局核准核发，市社保局为市人社局内设单位，仅负责破产关闭企业职工安置中，代缴市属关闭、破产企业离退休人员的医疗保险费、养老保险费，以及代付生活费和生活补贴这一环节。</w:t>
      </w:r>
    </w:p>
    <w:p>
      <w:pPr>
        <w:adjustRightInd/>
        <w:snapToGrid/>
        <w:spacing w:line="240" w:lineRule="auto"/>
        <w:ind w:firstLine="640"/>
        <w:outlineLvl w:val="1"/>
        <w:rPr>
          <w:rFonts w:ascii="楷体_GB2312" w:hAnsi="楷体_GB2312" w:eastAsia="楷体_GB2312" w:cs="楷体_GB2312"/>
        </w:rPr>
      </w:pPr>
      <w:bookmarkStart w:id="11" w:name="_Toc21995283"/>
      <w:bookmarkStart w:id="12" w:name="_Toc21995515"/>
      <w:bookmarkStart w:id="13" w:name="_Toc19623151"/>
      <w:bookmarkStart w:id="14" w:name="_Toc54077306"/>
      <w:r>
        <w:rPr>
          <w:rFonts w:hint="eastAsia" w:ascii="楷体_GB2312" w:hAnsi="楷体_GB2312" w:eastAsia="楷体_GB2312" w:cs="楷体_GB2312"/>
        </w:rPr>
        <w:t>（三）</w:t>
      </w:r>
      <w:bookmarkEnd w:id="11"/>
      <w:bookmarkEnd w:id="12"/>
      <w:bookmarkEnd w:id="13"/>
      <w:r>
        <w:rPr>
          <w:rFonts w:hint="eastAsia" w:ascii="楷体_GB2312" w:hAnsi="楷体_GB2312" w:eastAsia="楷体_GB2312" w:cs="楷体_GB2312"/>
        </w:rPr>
        <w:t>资金到位及使用情况</w:t>
      </w:r>
      <w:bookmarkEnd w:id="14"/>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根据《预计2019年市直新增关闭、破产、转制企业情况明细表》，2019年预计新增关闭破产企业6家，分别为广东亿能电力设备股份有限公司、韶关市锅炉设备安装公司、韶关市广韶发展公司、韶关市嘉迪贸易公司、韶关市华新塑料公司和韶关市美华服装厂。加上2019年之前的存量人数，2019年需</w:t>
      </w:r>
      <w:bookmarkStart w:id="15" w:name="_Hlk43994414"/>
      <w:r>
        <w:rPr>
          <w:rFonts w:hint="eastAsia" w:ascii="仿宋_GB2312" w:hAnsi="Times New Roman" w:cs="Times New Roman"/>
          <w:szCs w:val="24"/>
        </w:rPr>
        <w:t>代缴221人的养老保险，预算支出165万元；代缴28607人的医疗保险，预算支出10587万元；代发269人的生活费和2201人的生活补贴，预算支出843万元，共申请预算资金11595万元</w:t>
      </w:r>
      <w:bookmarkEnd w:id="15"/>
      <w:r>
        <w:rPr>
          <w:rFonts w:hint="eastAsia" w:ascii="仿宋_GB2312" w:hAnsi="Times New Roman" w:cs="Times New Roman"/>
          <w:szCs w:val="24"/>
        </w:rPr>
        <w:t>，实际到位资金11595万元。</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2019年实际新增关闭破产企业两家，分别为广东亿能电力设备股份有限公司（下称亿能公司）及韶关市红星综合厂（下称红星厂）。</w:t>
      </w:r>
      <w:bookmarkStart w:id="16" w:name="_Hlk44345796"/>
      <w:r>
        <w:rPr>
          <w:rFonts w:hint="eastAsia" w:ascii="仿宋_GB2312" w:hAnsi="Times New Roman" w:cs="Times New Roman"/>
          <w:szCs w:val="24"/>
        </w:rPr>
        <w:t>2019年实际代缴221人的养老保险100.85万元；代缴28704人的医疗保险10523.50万元；代发224人的生活费270.83万元以及2101人的生活补贴390.58万元，</w:t>
      </w:r>
      <w:bookmarkEnd w:id="16"/>
      <w:r>
        <w:rPr>
          <w:rFonts w:hint="eastAsia" w:ascii="仿宋_GB2312" w:hAnsi="Times New Roman" w:cs="Times New Roman"/>
          <w:szCs w:val="24"/>
        </w:rPr>
        <w:t>项目实际使用资金共计11,285.76万元，因支出户当年产生利息收入19.77万元，故核算支出11,265.99万元，年终资金清算退回财政329.01万元。实际支出情况见表1。</w:t>
      </w:r>
    </w:p>
    <w:p>
      <w:pPr>
        <w:ind w:firstLine="0" w:firstLineChars="0"/>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表1</w:t>
      </w:r>
      <w:r>
        <w:rPr>
          <w:rFonts w:ascii="宋体" w:hAnsi="宋体" w:eastAsia="宋体" w:cs="宋体"/>
          <w:b/>
          <w:color w:val="000000" w:themeColor="text1"/>
          <w:sz w:val="28"/>
          <w:szCs w:val="28"/>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韶关市2019年度企业关闭破产补助项目资金使用情况</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1945"/>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shd w:val="clear" w:color="auto" w:fill="B4C6E7"/>
            <w:vAlign w:val="center"/>
          </w:tcPr>
          <w:p>
            <w:pPr>
              <w:spacing w:line="320" w:lineRule="exact"/>
              <w:ind w:firstLine="0" w:firstLineChars="0"/>
              <w:jc w:val="center"/>
              <w:rPr>
                <w:rFonts w:ascii="宋体" w:hAnsi="宋体" w:eastAsia="宋体" w:cs="宋体"/>
                <w:b/>
                <w:sz w:val="18"/>
                <w:szCs w:val="18"/>
              </w:rPr>
            </w:pPr>
            <w:r>
              <w:rPr>
                <w:rFonts w:hint="eastAsia" w:ascii="宋体" w:hAnsi="宋体" w:eastAsia="宋体" w:cs="宋体"/>
                <w:b/>
                <w:sz w:val="18"/>
                <w:szCs w:val="18"/>
              </w:rPr>
              <w:t>资金使用内容</w:t>
            </w:r>
          </w:p>
        </w:tc>
        <w:tc>
          <w:tcPr>
            <w:tcW w:w="1945" w:type="dxa"/>
            <w:shd w:val="clear" w:color="auto" w:fill="B4C6E7"/>
            <w:vAlign w:val="center"/>
          </w:tcPr>
          <w:p>
            <w:pPr>
              <w:spacing w:line="320" w:lineRule="exact"/>
              <w:ind w:firstLine="0" w:firstLineChars="0"/>
              <w:jc w:val="center"/>
              <w:rPr>
                <w:rFonts w:ascii="宋体" w:hAnsi="宋体" w:eastAsia="宋体" w:cs="宋体"/>
                <w:b/>
                <w:sz w:val="18"/>
                <w:szCs w:val="18"/>
              </w:rPr>
            </w:pPr>
            <w:r>
              <w:rPr>
                <w:rFonts w:hint="eastAsia" w:ascii="宋体" w:hAnsi="宋体" w:eastAsia="宋体" w:cs="宋体"/>
                <w:b/>
                <w:sz w:val="18"/>
                <w:szCs w:val="18"/>
              </w:rPr>
              <w:t>支出金额</w:t>
            </w:r>
          </w:p>
          <w:p>
            <w:pPr>
              <w:spacing w:line="320" w:lineRule="exact"/>
              <w:ind w:firstLine="0" w:firstLineChars="0"/>
              <w:jc w:val="center"/>
              <w:rPr>
                <w:rFonts w:ascii="宋体" w:hAnsi="宋体" w:eastAsia="宋体" w:cs="宋体"/>
                <w:b/>
                <w:sz w:val="18"/>
                <w:szCs w:val="18"/>
              </w:rPr>
            </w:pPr>
            <w:r>
              <w:rPr>
                <w:rFonts w:hint="eastAsia" w:ascii="宋体" w:hAnsi="宋体" w:eastAsia="宋体" w:cs="宋体"/>
                <w:b/>
                <w:sz w:val="18"/>
                <w:szCs w:val="18"/>
              </w:rPr>
              <w:t>（万元）</w:t>
            </w:r>
          </w:p>
        </w:tc>
        <w:tc>
          <w:tcPr>
            <w:tcW w:w="0" w:type="auto"/>
            <w:shd w:val="clear" w:color="auto" w:fill="B4C6E7"/>
            <w:vAlign w:val="center"/>
          </w:tcPr>
          <w:p>
            <w:pPr>
              <w:spacing w:line="320" w:lineRule="exact"/>
              <w:ind w:firstLine="0" w:firstLineChars="0"/>
              <w:jc w:val="center"/>
              <w:rPr>
                <w:rFonts w:ascii="宋体" w:hAnsi="宋体" w:eastAsia="宋体" w:cs="宋体"/>
                <w:b/>
                <w:sz w:val="18"/>
                <w:szCs w:val="18"/>
              </w:rPr>
            </w:pPr>
            <w:r>
              <w:rPr>
                <w:rFonts w:hint="eastAsia" w:ascii="宋体" w:hAnsi="宋体" w:eastAsia="宋体" w:cs="宋体"/>
                <w:b/>
                <w:sz w:val="18"/>
                <w:szCs w:val="18"/>
              </w:rPr>
              <w:t>受益职工人数</w:t>
            </w:r>
          </w:p>
          <w:p>
            <w:pPr>
              <w:spacing w:line="320" w:lineRule="exact"/>
              <w:ind w:firstLine="0" w:firstLineChars="0"/>
              <w:jc w:val="center"/>
              <w:rPr>
                <w:rFonts w:ascii="宋体" w:hAnsi="宋体" w:eastAsia="宋体" w:cs="宋体"/>
                <w:b/>
                <w:sz w:val="18"/>
                <w:szCs w:val="18"/>
              </w:rPr>
            </w:pPr>
            <w:r>
              <w:rPr>
                <w:rFonts w:hint="eastAsia" w:ascii="宋体" w:hAnsi="宋体" w:eastAsia="宋体" w:cs="宋体"/>
                <w:b/>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shd w:val="clear" w:color="auto" w:fill="auto"/>
            <w:vAlign w:val="center"/>
          </w:tcPr>
          <w:p>
            <w:pPr>
              <w:spacing w:line="320" w:lineRule="exact"/>
              <w:ind w:firstLine="0" w:firstLineChars="0"/>
              <w:jc w:val="center"/>
              <w:rPr>
                <w:rFonts w:ascii="宋体" w:hAnsi="宋体" w:eastAsia="宋体" w:cs="宋体"/>
                <w:sz w:val="18"/>
                <w:szCs w:val="18"/>
              </w:rPr>
            </w:pPr>
            <w:r>
              <w:rPr>
                <w:rFonts w:hint="eastAsia" w:ascii="宋体" w:hAnsi="宋体" w:eastAsia="宋体" w:cs="宋体"/>
                <w:sz w:val="18"/>
                <w:szCs w:val="18"/>
              </w:rPr>
              <w:t>医疗保险费代缴</w:t>
            </w:r>
          </w:p>
        </w:tc>
        <w:tc>
          <w:tcPr>
            <w:tcW w:w="1945" w:type="dxa"/>
            <w:shd w:val="clear" w:color="auto" w:fill="auto"/>
            <w:vAlign w:val="center"/>
          </w:tcPr>
          <w:p>
            <w:pPr>
              <w:spacing w:line="320" w:lineRule="exact"/>
              <w:ind w:firstLine="360"/>
              <w:jc w:val="center"/>
              <w:rPr>
                <w:rFonts w:ascii="宋体" w:hAnsi="宋体" w:eastAsia="宋体" w:cs="宋体"/>
                <w:sz w:val="18"/>
                <w:szCs w:val="18"/>
              </w:rPr>
            </w:pPr>
            <w:r>
              <w:rPr>
                <w:rFonts w:ascii="宋体" w:hAnsi="宋体" w:eastAsia="宋体" w:cs="宋体"/>
                <w:sz w:val="18"/>
                <w:szCs w:val="18"/>
              </w:rPr>
              <w:t>10,523.50</w:t>
            </w:r>
          </w:p>
        </w:tc>
        <w:tc>
          <w:tcPr>
            <w:tcW w:w="0" w:type="auto"/>
            <w:vAlign w:val="center"/>
          </w:tcPr>
          <w:p>
            <w:pPr>
              <w:spacing w:line="320" w:lineRule="exact"/>
              <w:ind w:firstLine="360"/>
              <w:jc w:val="center"/>
              <w:rPr>
                <w:rFonts w:ascii="宋体" w:hAnsi="宋体" w:eastAsia="宋体" w:cs="宋体"/>
                <w:sz w:val="18"/>
                <w:szCs w:val="18"/>
              </w:rPr>
            </w:pPr>
            <w:r>
              <w:rPr>
                <w:rFonts w:ascii="宋体" w:hAnsi="宋体" w:eastAsia="宋体" w:cs="宋体"/>
                <w:sz w:val="18"/>
                <w:szCs w:val="18"/>
              </w:rPr>
              <w:t>28,483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shd w:val="clear" w:color="auto" w:fill="auto"/>
            <w:vAlign w:val="center"/>
          </w:tcPr>
          <w:p>
            <w:pPr>
              <w:spacing w:line="320" w:lineRule="exact"/>
              <w:ind w:firstLine="0" w:firstLineChars="0"/>
              <w:jc w:val="center"/>
              <w:rPr>
                <w:rFonts w:ascii="宋体" w:hAnsi="宋体" w:eastAsia="宋体" w:cs="宋体"/>
                <w:sz w:val="18"/>
                <w:szCs w:val="18"/>
              </w:rPr>
            </w:pPr>
            <w:r>
              <w:rPr>
                <w:rFonts w:hint="eastAsia" w:ascii="宋体" w:hAnsi="宋体" w:eastAsia="宋体" w:cs="宋体"/>
                <w:sz w:val="18"/>
                <w:szCs w:val="18"/>
              </w:rPr>
              <w:t>关闭、破产企业中距法定退休年龄五年人员的医疗、养老保险费代缴</w:t>
            </w:r>
          </w:p>
        </w:tc>
        <w:tc>
          <w:tcPr>
            <w:tcW w:w="1945" w:type="dxa"/>
            <w:shd w:val="clear" w:color="auto" w:fill="auto"/>
            <w:vAlign w:val="center"/>
          </w:tcPr>
          <w:p>
            <w:pPr>
              <w:spacing w:line="320" w:lineRule="exact"/>
              <w:ind w:firstLine="360"/>
              <w:jc w:val="center"/>
              <w:rPr>
                <w:rFonts w:ascii="宋体" w:hAnsi="宋体" w:eastAsia="宋体" w:cs="宋体"/>
                <w:sz w:val="18"/>
                <w:szCs w:val="18"/>
              </w:rPr>
            </w:pPr>
            <w:r>
              <w:rPr>
                <w:rFonts w:ascii="宋体" w:hAnsi="宋体" w:eastAsia="宋体" w:cs="宋体"/>
                <w:sz w:val="18"/>
                <w:szCs w:val="18"/>
              </w:rPr>
              <w:t>100.85</w:t>
            </w:r>
          </w:p>
        </w:tc>
        <w:tc>
          <w:tcPr>
            <w:tcW w:w="0" w:type="auto"/>
            <w:vAlign w:val="center"/>
          </w:tcPr>
          <w:p>
            <w:pPr>
              <w:spacing w:line="320" w:lineRule="exact"/>
              <w:ind w:firstLine="360"/>
              <w:jc w:val="center"/>
              <w:rPr>
                <w:rFonts w:ascii="宋体" w:hAnsi="宋体" w:eastAsia="宋体" w:cs="宋体"/>
                <w:sz w:val="18"/>
                <w:szCs w:val="18"/>
              </w:rPr>
            </w:pPr>
            <w:r>
              <w:rPr>
                <w:rFonts w:ascii="宋体" w:hAnsi="宋体" w:eastAsia="宋体" w:cs="宋体"/>
                <w:sz w:val="18"/>
                <w:szCs w:val="18"/>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shd w:val="clear" w:color="auto" w:fill="auto"/>
            <w:vAlign w:val="center"/>
          </w:tcPr>
          <w:p>
            <w:pPr>
              <w:spacing w:line="320" w:lineRule="exact"/>
              <w:ind w:firstLine="0" w:firstLineChars="0"/>
              <w:jc w:val="center"/>
              <w:rPr>
                <w:rFonts w:ascii="宋体" w:hAnsi="宋体" w:eastAsia="宋体" w:cs="宋体"/>
                <w:sz w:val="18"/>
                <w:szCs w:val="18"/>
              </w:rPr>
            </w:pPr>
            <w:r>
              <w:rPr>
                <w:rFonts w:hint="eastAsia" w:ascii="宋体" w:hAnsi="宋体" w:eastAsia="宋体" w:cs="宋体"/>
                <w:sz w:val="18"/>
                <w:szCs w:val="18"/>
              </w:rPr>
              <w:t>生活费发放</w:t>
            </w:r>
          </w:p>
        </w:tc>
        <w:tc>
          <w:tcPr>
            <w:tcW w:w="1945" w:type="dxa"/>
            <w:shd w:val="clear" w:color="auto" w:fill="auto"/>
            <w:vAlign w:val="center"/>
          </w:tcPr>
          <w:p>
            <w:pPr>
              <w:spacing w:line="320" w:lineRule="exact"/>
              <w:ind w:firstLine="360"/>
              <w:jc w:val="center"/>
              <w:rPr>
                <w:rFonts w:ascii="宋体" w:hAnsi="宋体" w:eastAsia="宋体" w:cs="宋体"/>
                <w:sz w:val="18"/>
                <w:szCs w:val="18"/>
              </w:rPr>
            </w:pPr>
            <w:r>
              <w:rPr>
                <w:rFonts w:ascii="宋体" w:hAnsi="宋体" w:eastAsia="宋体" w:cs="宋体"/>
                <w:sz w:val="18"/>
                <w:szCs w:val="18"/>
              </w:rPr>
              <w:t>270.83</w:t>
            </w:r>
          </w:p>
        </w:tc>
        <w:tc>
          <w:tcPr>
            <w:tcW w:w="0" w:type="auto"/>
            <w:vAlign w:val="center"/>
          </w:tcPr>
          <w:p>
            <w:pPr>
              <w:spacing w:line="320" w:lineRule="exact"/>
              <w:ind w:firstLine="360"/>
              <w:jc w:val="center"/>
              <w:rPr>
                <w:rFonts w:ascii="宋体" w:hAnsi="宋体" w:eastAsia="宋体" w:cs="宋体"/>
                <w:sz w:val="18"/>
                <w:szCs w:val="18"/>
              </w:rPr>
            </w:pPr>
            <w:r>
              <w:rPr>
                <w:rFonts w:ascii="宋体" w:hAnsi="宋体" w:eastAsia="宋体" w:cs="宋体"/>
                <w:sz w:val="18"/>
                <w:szCs w:val="18"/>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shd w:val="clear" w:color="auto" w:fill="auto"/>
            <w:vAlign w:val="center"/>
          </w:tcPr>
          <w:p>
            <w:pPr>
              <w:spacing w:line="320" w:lineRule="exact"/>
              <w:ind w:firstLine="0" w:firstLineChars="0"/>
              <w:jc w:val="center"/>
              <w:rPr>
                <w:rFonts w:ascii="宋体" w:hAnsi="宋体" w:eastAsia="宋体" w:cs="宋体"/>
                <w:sz w:val="18"/>
                <w:szCs w:val="18"/>
              </w:rPr>
            </w:pPr>
            <w:r>
              <w:rPr>
                <w:rFonts w:hint="eastAsia" w:ascii="宋体" w:hAnsi="宋体" w:eastAsia="宋体" w:cs="宋体"/>
                <w:sz w:val="18"/>
                <w:szCs w:val="18"/>
              </w:rPr>
              <w:t>生活补贴发放</w:t>
            </w:r>
          </w:p>
        </w:tc>
        <w:tc>
          <w:tcPr>
            <w:tcW w:w="1945" w:type="dxa"/>
            <w:shd w:val="clear" w:color="auto" w:fill="auto"/>
            <w:vAlign w:val="center"/>
          </w:tcPr>
          <w:p>
            <w:pPr>
              <w:spacing w:line="320" w:lineRule="exact"/>
              <w:ind w:firstLine="360"/>
              <w:jc w:val="center"/>
              <w:rPr>
                <w:rFonts w:ascii="宋体" w:hAnsi="宋体" w:eastAsia="宋体" w:cs="宋体"/>
                <w:sz w:val="18"/>
                <w:szCs w:val="18"/>
              </w:rPr>
            </w:pPr>
            <w:r>
              <w:rPr>
                <w:rFonts w:ascii="宋体" w:hAnsi="宋体" w:eastAsia="宋体" w:cs="宋体"/>
                <w:sz w:val="18"/>
                <w:szCs w:val="18"/>
              </w:rPr>
              <w:t>390.58</w:t>
            </w:r>
          </w:p>
        </w:tc>
        <w:tc>
          <w:tcPr>
            <w:tcW w:w="0" w:type="auto"/>
            <w:vAlign w:val="center"/>
          </w:tcPr>
          <w:p>
            <w:pPr>
              <w:spacing w:line="320" w:lineRule="exact"/>
              <w:ind w:firstLine="360"/>
              <w:jc w:val="center"/>
              <w:rPr>
                <w:rFonts w:ascii="宋体" w:hAnsi="宋体" w:eastAsia="宋体" w:cs="宋体"/>
                <w:sz w:val="18"/>
                <w:szCs w:val="18"/>
              </w:rPr>
            </w:pPr>
            <w:r>
              <w:rPr>
                <w:rFonts w:ascii="宋体" w:hAnsi="宋体" w:eastAsia="宋体" w:cs="宋体"/>
                <w:sz w:val="18"/>
                <w:szCs w:val="18"/>
              </w:rPr>
              <w:t>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shd w:val="clear" w:color="auto" w:fill="auto"/>
            <w:vAlign w:val="center"/>
          </w:tcPr>
          <w:p>
            <w:pPr>
              <w:spacing w:line="320" w:lineRule="exact"/>
              <w:ind w:firstLine="0" w:firstLineChars="0"/>
              <w:jc w:val="center"/>
              <w:rPr>
                <w:rFonts w:ascii="宋体" w:hAnsi="宋体" w:eastAsia="宋体" w:cs="宋体"/>
                <w:sz w:val="18"/>
                <w:szCs w:val="18"/>
              </w:rPr>
            </w:pPr>
            <w:r>
              <w:rPr>
                <w:rFonts w:hint="eastAsia" w:ascii="宋体" w:hAnsi="宋体" w:eastAsia="宋体" w:cs="宋体"/>
                <w:sz w:val="18"/>
                <w:szCs w:val="18"/>
              </w:rPr>
              <w:t>合  计</w:t>
            </w:r>
          </w:p>
        </w:tc>
        <w:tc>
          <w:tcPr>
            <w:tcW w:w="1945" w:type="dxa"/>
            <w:shd w:val="clear" w:color="auto" w:fill="auto"/>
            <w:vAlign w:val="center"/>
          </w:tcPr>
          <w:p>
            <w:pPr>
              <w:spacing w:line="320" w:lineRule="exact"/>
              <w:ind w:firstLine="360"/>
              <w:jc w:val="center"/>
              <w:rPr>
                <w:rFonts w:ascii="宋体" w:hAnsi="宋体" w:eastAsia="宋体" w:cs="宋体"/>
                <w:sz w:val="18"/>
                <w:szCs w:val="18"/>
              </w:rPr>
            </w:pPr>
            <w:r>
              <w:rPr>
                <w:rFonts w:ascii="宋体" w:hAnsi="宋体" w:eastAsia="宋体" w:cs="宋体"/>
                <w:sz w:val="18"/>
                <w:szCs w:val="18"/>
              </w:rPr>
              <w:fldChar w:fldCharType="begin"/>
            </w:r>
            <w:r>
              <w:rPr>
                <w:rFonts w:ascii="宋体" w:hAnsi="宋体" w:eastAsia="宋体" w:cs="宋体"/>
                <w:sz w:val="18"/>
                <w:szCs w:val="18"/>
              </w:rPr>
              <w:instrText xml:space="preserve"> =SUM(ABOVE) </w:instrText>
            </w:r>
            <w:r>
              <w:rPr>
                <w:rFonts w:ascii="宋体" w:hAnsi="宋体" w:eastAsia="宋体" w:cs="宋体"/>
                <w:sz w:val="18"/>
                <w:szCs w:val="18"/>
              </w:rPr>
              <w:fldChar w:fldCharType="separate"/>
            </w:r>
            <w:r>
              <w:rPr>
                <w:rFonts w:ascii="宋体" w:hAnsi="宋体" w:eastAsia="宋体" w:cs="宋体"/>
                <w:sz w:val="18"/>
                <w:szCs w:val="18"/>
              </w:rPr>
              <w:t>11,285.76</w:t>
            </w:r>
            <w:r>
              <w:rPr>
                <w:rFonts w:ascii="宋体" w:hAnsi="宋体" w:eastAsia="宋体" w:cs="宋体"/>
                <w:sz w:val="18"/>
                <w:szCs w:val="18"/>
              </w:rPr>
              <w:fldChar w:fldCharType="end"/>
            </w:r>
          </w:p>
        </w:tc>
        <w:tc>
          <w:tcPr>
            <w:tcW w:w="0" w:type="auto"/>
            <w:vAlign w:val="center"/>
          </w:tcPr>
          <w:p>
            <w:pPr>
              <w:spacing w:line="320" w:lineRule="exact"/>
              <w:ind w:firstLine="360"/>
              <w:jc w:val="center"/>
              <w:rPr>
                <w:rFonts w:ascii="宋体" w:hAnsi="宋体" w:eastAsia="宋体" w:cs="宋体"/>
                <w:sz w:val="18"/>
                <w:szCs w:val="18"/>
              </w:rPr>
            </w:pPr>
            <w:r>
              <w:rPr>
                <w:rFonts w:hint="eastAsia" w:ascii="宋体" w:hAnsi="宋体" w:eastAsia="宋体" w:cs="宋体"/>
                <w:sz w:val="18"/>
                <w:szCs w:val="18"/>
              </w:rPr>
              <w:t>—</w:t>
            </w:r>
          </w:p>
        </w:tc>
      </w:tr>
    </w:tbl>
    <w:p>
      <w:pPr>
        <w:adjustRightInd/>
        <w:snapToGrid/>
        <w:spacing w:line="240" w:lineRule="auto"/>
        <w:ind w:firstLine="640"/>
        <w:rPr>
          <w:rFonts w:ascii="楷体_GB2312" w:hAnsi="楷体_GB2312" w:eastAsia="楷体_GB2312" w:cs="楷体_GB2312"/>
        </w:rPr>
      </w:pPr>
    </w:p>
    <w:p>
      <w:pPr>
        <w:adjustRightInd/>
        <w:snapToGrid/>
        <w:spacing w:line="240" w:lineRule="auto"/>
        <w:ind w:firstLine="640"/>
        <w:outlineLvl w:val="1"/>
        <w:rPr>
          <w:rFonts w:ascii="楷体_GB2312" w:hAnsi="楷体_GB2312" w:eastAsia="楷体_GB2312" w:cs="楷体_GB2312"/>
        </w:rPr>
      </w:pPr>
      <w:bookmarkStart w:id="17" w:name="_Toc21995517"/>
      <w:bookmarkStart w:id="18" w:name="_Toc19623153"/>
      <w:bookmarkStart w:id="19" w:name="_Toc21995285"/>
      <w:bookmarkStart w:id="20" w:name="_Toc54077307"/>
      <w:r>
        <w:rPr>
          <w:rFonts w:hint="eastAsia" w:ascii="楷体_GB2312" w:hAnsi="楷体_GB2312" w:eastAsia="楷体_GB2312" w:cs="楷体_GB2312"/>
        </w:rPr>
        <w:t>（四）项目目标及实现情况</w:t>
      </w:r>
      <w:bookmarkEnd w:id="17"/>
      <w:bookmarkEnd w:id="18"/>
      <w:bookmarkEnd w:id="19"/>
      <w:bookmarkEnd w:id="20"/>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根据《2019年度关闭破产企业资金预算审核表》及企业关闭破产补助项目绩效自评表，项目绩效目标为：定期代缴28607人（其中退休人员26163人，内退人员221人，离休人员124人，大额医保2099人）的医疗保险费10587万元，定期代缴221人的养老保险165万元，保障2019年度按时代发269人的生活费483万元、2201人的生活补贴360万元；促进韶关市“两个退出”工作的顺利开展。</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项目目标基本得以实现，具体为：项目2019年实际代缴221人的养老保险100.85万元；代缴28704人的医疗保险10523.50万元；代发224人的生活费270.83万元以及2101人的生活补贴390.58万元，保险和补助及时足额发放；项目的实施促进了“两个退出”工作的顺利开展，保障了关闭破产企业职工的基本生活，维护了社会的稳定和谐。</w:t>
      </w:r>
    </w:p>
    <w:p>
      <w:pPr>
        <w:adjustRightInd/>
        <w:snapToGrid/>
        <w:spacing w:line="240" w:lineRule="auto"/>
        <w:ind w:firstLine="562"/>
        <w:jc w:val="center"/>
        <w:rPr>
          <w:rFonts w:ascii="宋体" w:hAnsi="宋体" w:eastAsia="宋体" w:cs="宋体"/>
          <w:b/>
          <w:bCs/>
          <w:sz w:val="28"/>
          <w:szCs w:val="28"/>
        </w:rPr>
      </w:pPr>
      <w:r>
        <w:rPr>
          <w:rFonts w:hint="eastAsia" w:ascii="宋体" w:hAnsi="宋体" w:eastAsia="宋体" w:cs="宋体"/>
          <w:b/>
          <w:bCs/>
          <w:sz w:val="28"/>
          <w:szCs w:val="28"/>
        </w:rPr>
        <w:t>表2 韶关市2019年度企业关闭破产补助人员情况</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1477"/>
        <w:gridCol w:w="1838"/>
        <w:gridCol w:w="1477"/>
        <w:gridCol w:w="1477"/>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shd w:val="clear" w:color="auto" w:fill="BDD6EE" w:themeFill="accent1" w:themeFillTint="66"/>
            <w:vAlign w:val="center"/>
          </w:tcPr>
          <w:p>
            <w:pPr>
              <w:spacing w:line="320" w:lineRule="exact"/>
              <w:ind w:firstLine="0" w:firstLineChars="0"/>
              <w:jc w:val="center"/>
              <w:rPr>
                <w:rFonts w:ascii="宋体" w:hAnsi="宋体" w:eastAsia="宋体" w:cs="宋体"/>
                <w:b/>
                <w:sz w:val="18"/>
                <w:szCs w:val="18"/>
              </w:rPr>
            </w:pPr>
            <w:r>
              <w:rPr>
                <w:rFonts w:hint="eastAsia" w:ascii="宋体" w:hAnsi="宋体" w:eastAsia="宋体" w:cs="宋体"/>
                <w:b/>
                <w:sz w:val="18"/>
                <w:szCs w:val="18"/>
              </w:rPr>
              <w:t>补助类型</w:t>
            </w:r>
          </w:p>
        </w:tc>
        <w:tc>
          <w:tcPr>
            <w:tcW w:w="805" w:type="pct"/>
            <w:shd w:val="clear" w:color="auto" w:fill="BDD6EE" w:themeFill="accent1" w:themeFillTint="66"/>
            <w:vAlign w:val="center"/>
          </w:tcPr>
          <w:p>
            <w:pPr>
              <w:spacing w:line="320" w:lineRule="exact"/>
              <w:ind w:firstLine="0" w:firstLineChars="0"/>
              <w:jc w:val="center"/>
              <w:rPr>
                <w:rFonts w:ascii="宋体" w:hAnsi="宋体" w:eastAsia="宋体" w:cs="宋体"/>
                <w:b/>
                <w:sz w:val="18"/>
                <w:szCs w:val="18"/>
              </w:rPr>
            </w:pPr>
            <w:r>
              <w:rPr>
                <w:rFonts w:hint="eastAsia" w:ascii="宋体" w:hAnsi="宋体" w:eastAsia="宋体" w:cs="宋体"/>
                <w:b/>
                <w:sz w:val="18"/>
                <w:szCs w:val="18"/>
              </w:rPr>
              <w:t>2018年存量人数</w:t>
            </w:r>
          </w:p>
        </w:tc>
        <w:tc>
          <w:tcPr>
            <w:tcW w:w="1002" w:type="pct"/>
            <w:shd w:val="clear" w:color="auto" w:fill="BDD6EE" w:themeFill="accent1" w:themeFillTint="66"/>
            <w:vAlign w:val="center"/>
          </w:tcPr>
          <w:p>
            <w:pPr>
              <w:spacing w:line="320" w:lineRule="exact"/>
              <w:ind w:firstLine="0" w:firstLineChars="0"/>
              <w:jc w:val="center"/>
              <w:rPr>
                <w:rFonts w:ascii="宋体" w:hAnsi="宋体" w:eastAsia="宋体" w:cs="宋体"/>
                <w:b/>
                <w:sz w:val="18"/>
                <w:szCs w:val="18"/>
              </w:rPr>
            </w:pPr>
            <w:r>
              <w:rPr>
                <w:rFonts w:hint="eastAsia" w:ascii="宋体" w:hAnsi="宋体" w:eastAsia="宋体" w:cs="宋体"/>
                <w:b/>
                <w:sz w:val="18"/>
                <w:szCs w:val="18"/>
              </w:rPr>
              <w:t>2019年预计新增人数</w:t>
            </w:r>
          </w:p>
        </w:tc>
        <w:tc>
          <w:tcPr>
            <w:tcW w:w="805" w:type="pct"/>
            <w:shd w:val="clear" w:color="auto" w:fill="BDD6EE" w:themeFill="accent1" w:themeFillTint="66"/>
            <w:vAlign w:val="center"/>
          </w:tcPr>
          <w:p>
            <w:pPr>
              <w:spacing w:line="320" w:lineRule="exact"/>
              <w:ind w:firstLine="0" w:firstLineChars="0"/>
              <w:jc w:val="center"/>
              <w:rPr>
                <w:rFonts w:ascii="宋体" w:hAnsi="宋体" w:eastAsia="宋体" w:cs="宋体"/>
                <w:b/>
                <w:sz w:val="18"/>
                <w:szCs w:val="18"/>
              </w:rPr>
            </w:pPr>
            <w:r>
              <w:rPr>
                <w:rFonts w:hint="eastAsia" w:ascii="宋体" w:hAnsi="宋体" w:eastAsia="宋体" w:cs="宋体"/>
                <w:b/>
                <w:sz w:val="18"/>
                <w:szCs w:val="18"/>
              </w:rPr>
              <w:t>2019年预计需代缴代发人数</w:t>
            </w:r>
          </w:p>
        </w:tc>
        <w:tc>
          <w:tcPr>
            <w:tcW w:w="805" w:type="pct"/>
            <w:shd w:val="clear" w:color="auto" w:fill="BDD6EE" w:themeFill="accent1" w:themeFillTint="66"/>
            <w:vAlign w:val="center"/>
          </w:tcPr>
          <w:p>
            <w:pPr>
              <w:spacing w:line="320" w:lineRule="exact"/>
              <w:ind w:firstLine="0" w:firstLineChars="0"/>
              <w:jc w:val="center"/>
              <w:rPr>
                <w:rFonts w:ascii="宋体" w:hAnsi="宋体" w:eastAsia="宋体" w:cs="宋体"/>
                <w:b/>
                <w:sz w:val="18"/>
                <w:szCs w:val="18"/>
              </w:rPr>
            </w:pPr>
            <w:r>
              <w:rPr>
                <w:rFonts w:hint="eastAsia" w:ascii="宋体" w:hAnsi="宋体" w:eastAsia="宋体" w:cs="宋体"/>
                <w:b/>
                <w:sz w:val="18"/>
                <w:szCs w:val="18"/>
              </w:rPr>
              <w:t>2019年实际需代缴代发人数</w:t>
            </w:r>
          </w:p>
        </w:tc>
        <w:tc>
          <w:tcPr>
            <w:tcW w:w="803" w:type="pct"/>
            <w:shd w:val="clear" w:color="auto" w:fill="BDD6EE" w:themeFill="accent1" w:themeFillTint="66"/>
            <w:vAlign w:val="center"/>
          </w:tcPr>
          <w:p>
            <w:pPr>
              <w:spacing w:line="320" w:lineRule="exact"/>
              <w:ind w:firstLine="0" w:firstLineChars="0"/>
              <w:jc w:val="center"/>
              <w:rPr>
                <w:rFonts w:ascii="宋体" w:hAnsi="宋体" w:eastAsia="宋体" w:cs="宋体"/>
                <w:b/>
                <w:sz w:val="18"/>
                <w:szCs w:val="18"/>
              </w:rPr>
            </w:pPr>
            <w:r>
              <w:rPr>
                <w:rFonts w:hint="eastAsia" w:ascii="宋体" w:hAnsi="宋体" w:eastAsia="宋体" w:cs="宋体"/>
                <w:b/>
                <w:sz w:val="18"/>
                <w:szCs w:val="18"/>
              </w:rPr>
              <w:t>2019年实缴代缴代发人数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vAlign w:val="center"/>
          </w:tcPr>
          <w:p>
            <w:pPr>
              <w:spacing w:line="320" w:lineRule="exact"/>
              <w:ind w:firstLine="0" w:firstLineChars="0"/>
              <w:jc w:val="center"/>
              <w:rPr>
                <w:rFonts w:ascii="宋体" w:hAnsi="宋体" w:eastAsia="宋体" w:cs="宋体"/>
                <w:bCs/>
                <w:sz w:val="18"/>
                <w:szCs w:val="18"/>
              </w:rPr>
            </w:pPr>
            <w:r>
              <w:rPr>
                <w:rFonts w:hint="eastAsia" w:ascii="宋体" w:hAnsi="宋体" w:eastAsia="宋体" w:cs="宋体"/>
                <w:bCs/>
                <w:sz w:val="18"/>
                <w:szCs w:val="18"/>
              </w:rPr>
              <w:t>医疗保险费</w:t>
            </w:r>
          </w:p>
        </w:tc>
        <w:tc>
          <w:tcPr>
            <w:tcW w:w="805" w:type="pct"/>
            <w:vAlign w:val="center"/>
          </w:tcPr>
          <w:p>
            <w:pPr>
              <w:spacing w:line="320" w:lineRule="exact"/>
              <w:ind w:firstLine="0" w:firstLineChars="0"/>
              <w:jc w:val="center"/>
              <w:rPr>
                <w:rFonts w:ascii="宋体" w:hAnsi="宋体" w:eastAsia="宋体" w:cs="宋体"/>
                <w:bCs/>
                <w:sz w:val="18"/>
                <w:szCs w:val="18"/>
              </w:rPr>
            </w:pPr>
            <w:r>
              <w:rPr>
                <w:rFonts w:ascii="宋体" w:hAnsi="宋体" w:eastAsia="宋体" w:cs="宋体"/>
                <w:bCs/>
                <w:sz w:val="18"/>
                <w:szCs w:val="18"/>
              </w:rPr>
              <w:t>28169</w:t>
            </w:r>
          </w:p>
        </w:tc>
        <w:tc>
          <w:tcPr>
            <w:tcW w:w="1002" w:type="pct"/>
            <w:vAlign w:val="center"/>
          </w:tcPr>
          <w:p>
            <w:pPr>
              <w:spacing w:line="320" w:lineRule="exact"/>
              <w:ind w:firstLine="0" w:firstLineChars="0"/>
              <w:jc w:val="center"/>
              <w:rPr>
                <w:rFonts w:ascii="宋体" w:hAnsi="宋体" w:eastAsia="宋体" w:cs="宋体"/>
                <w:bCs/>
                <w:sz w:val="18"/>
                <w:szCs w:val="18"/>
              </w:rPr>
            </w:pPr>
            <w:r>
              <w:rPr>
                <w:rFonts w:ascii="宋体" w:hAnsi="宋体" w:eastAsia="宋体" w:cs="宋体"/>
                <w:bCs/>
                <w:sz w:val="18"/>
                <w:szCs w:val="18"/>
              </w:rPr>
              <w:t>438</w:t>
            </w:r>
          </w:p>
        </w:tc>
        <w:tc>
          <w:tcPr>
            <w:tcW w:w="805" w:type="pct"/>
            <w:vAlign w:val="center"/>
          </w:tcPr>
          <w:p>
            <w:pPr>
              <w:spacing w:line="320" w:lineRule="exact"/>
              <w:ind w:firstLine="0" w:firstLineChars="0"/>
              <w:jc w:val="center"/>
              <w:rPr>
                <w:rFonts w:ascii="宋体" w:hAnsi="宋体" w:eastAsia="宋体" w:cs="宋体"/>
                <w:bCs/>
                <w:sz w:val="18"/>
                <w:szCs w:val="18"/>
              </w:rPr>
            </w:pPr>
            <w:r>
              <w:rPr>
                <w:rFonts w:ascii="宋体" w:hAnsi="宋体" w:eastAsia="宋体" w:cs="宋体"/>
                <w:bCs/>
                <w:sz w:val="18"/>
                <w:szCs w:val="18"/>
              </w:rPr>
              <w:t>28607</w:t>
            </w:r>
          </w:p>
        </w:tc>
        <w:tc>
          <w:tcPr>
            <w:tcW w:w="805" w:type="pct"/>
            <w:vAlign w:val="center"/>
          </w:tcPr>
          <w:p>
            <w:pPr>
              <w:spacing w:line="320" w:lineRule="exact"/>
              <w:ind w:firstLine="0" w:firstLineChars="0"/>
              <w:jc w:val="center"/>
              <w:rPr>
                <w:rFonts w:ascii="宋体" w:hAnsi="宋体" w:eastAsia="宋体" w:cs="宋体"/>
                <w:bCs/>
                <w:sz w:val="18"/>
                <w:szCs w:val="18"/>
              </w:rPr>
            </w:pPr>
            <w:r>
              <w:rPr>
                <w:rFonts w:ascii="宋体" w:hAnsi="宋体" w:eastAsia="宋体" w:cs="宋体"/>
                <w:bCs/>
                <w:sz w:val="18"/>
                <w:szCs w:val="18"/>
              </w:rPr>
              <w:t>28704</w:t>
            </w:r>
          </w:p>
        </w:tc>
        <w:tc>
          <w:tcPr>
            <w:tcW w:w="803" w:type="pct"/>
            <w:vAlign w:val="center"/>
          </w:tcPr>
          <w:p>
            <w:pPr>
              <w:spacing w:line="320" w:lineRule="exact"/>
              <w:ind w:firstLine="0" w:firstLineChars="0"/>
              <w:jc w:val="center"/>
              <w:rPr>
                <w:rFonts w:ascii="宋体" w:hAnsi="宋体" w:eastAsia="宋体" w:cs="宋体"/>
                <w:bCs/>
                <w:sz w:val="18"/>
                <w:szCs w:val="18"/>
              </w:rPr>
            </w:pPr>
            <w:r>
              <w:rPr>
                <w:rFonts w:ascii="宋体" w:hAnsi="宋体" w:eastAsia="宋体" w:cs="宋体"/>
                <w:bCs/>
                <w:sz w:val="18"/>
                <w:szCs w:val="18"/>
              </w:rPr>
              <w:t>28704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vAlign w:val="center"/>
          </w:tcPr>
          <w:p>
            <w:pPr>
              <w:spacing w:line="320" w:lineRule="exact"/>
              <w:ind w:firstLine="0" w:firstLineChars="0"/>
              <w:jc w:val="center"/>
              <w:rPr>
                <w:rFonts w:ascii="宋体" w:hAnsi="宋体" w:eastAsia="宋体" w:cs="宋体"/>
                <w:bCs/>
                <w:sz w:val="18"/>
                <w:szCs w:val="18"/>
              </w:rPr>
            </w:pPr>
            <w:r>
              <w:rPr>
                <w:rFonts w:hint="eastAsia" w:ascii="宋体" w:hAnsi="宋体" w:eastAsia="宋体" w:cs="宋体"/>
                <w:bCs/>
                <w:sz w:val="18"/>
                <w:szCs w:val="18"/>
              </w:rPr>
              <w:t>养老保险费</w:t>
            </w:r>
          </w:p>
        </w:tc>
        <w:tc>
          <w:tcPr>
            <w:tcW w:w="805" w:type="pct"/>
            <w:vAlign w:val="center"/>
          </w:tcPr>
          <w:p>
            <w:pPr>
              <w:spacing w:line="320" w:lineRule="exact"/>
              <w:ind w:firstLine="0" w:firstLineChars="0"/>
              <w:jc w:val="center"/>
              <w:rPr>
                <w:rFonts w:ascii="宋体" w:hAnsi="宋体" w:eastAsia="宋体" w:cs="宋体"/>
                <w:bCs/>
                <w:sz w:val="18"/>
                <w:szCs w:val="18"/>
              </w:rPr>
            </w:pPr>
            <w:r>
              <w:rPr>
                <w:rFonts w:ascii="宋体" w:hAnsi="宋体" w:eastAsia="宋体" w:cs="宋体"/>
                <w:bCs/>
                <w:sz w:val="18"/>
                <w:szCs w:val="18"/>
              </w:rPr>
              <w:t>176</w:t>
            </w:r>
          </w:p>
        </w:tc>
        <w:tc>
          <w:tcPr>
            <w:tcW w:w="1002" w:type="pct"/>
            <w:vAlign w:val="center"/>
          </w:tcPr>
          <w:p>
            <w:pPr>
              <w:spacing w:line="320" w:lineRule="exact"/>
              <w:ind w:firstLine="0" w:firstLineChars="0"/>
              <w:jc w:val="center"/>
              <w:rPr>
                <w:rFonts w:ascii="宋体" w:hAnsi="宋体" w:eastAsia="宋体" w:cs="宋体"/>
                <w:bCs/>
                <w:sz w:val="18"/>
                <w:szCs w:val="18"/>
              </w:rPr>
            </w:pPr>
            <w:r>
              <w:rPr>
                <w:rFonts w:ascii="宋体" w:hAnsi="宋体" w:eastAsia="宋体" w:cs="宋体"/>
                <w:bCs/>
                <w:sz w:val="18"/>
                <w:szCs w:val="18"/>
              </w:rPr>
              <w:t>45</w:t>
            </w:r>
          </w:p>
        </w:tc>
        <w:tc>
          <w:tcPr>
            <w:tcW w:w="805" w:type="pct"/>
            <w:vAlign w:val="center"/>
          </w:tcPr>
          <w:p>
            <w:pPr>
              <w:spacing w:line="320" w:lineRule="exact"/>
              <w:ind w:firstLine="0" w:firstLineChars="0"/>
              <w:jc w:val="center"/>
              <w:rPr>
                <w:rFonts w:ascii="宋体" w:hAnsi="宋体" w:eastAsia="宋体" w:cs="宋体"/>
                <w:bCs/>
                <w:sz w:val="18"/>
                <w:szCs w:val="18"/>
              </w:rPr>
            </w:pPr>
            <w:r>
              <w:rPr>
                <w:rFonts w:ascii="宋体" w:hAnsi="宋体" w:eastAsia="宋体" w:cs="宋体"/>
                <w:bCs/>
                <w:sz w:val="18"/>
                <w:szCs w:val="18"/>
              </w:rPr>
              <w:t>221</w:t>
            </w:r>
          </w:p>
        </w:tc>
        <w:tc>
          <w:tcPr>
            <w:tcW w:w="805" w:type="pct"/>
            <w:vAlign w:val="center"/>
          </w:tcPr>
          <w:p>
            <w:pPr>
              <w:spacing w:line="320" w:lineRule="exact"/>
              <w:ind w:firstLine="0" w:firstLineChars="0"/>
              <w:jc w:val="center"/>
              <w:rPr>
                <w:rFonts w:ascii="宋体" w:hAnsi="宋体" w:eastAsia="宋体" w:cs="宋体"/>
                <w:bCs/>
                <w:sz w:val="18"/>
                <w:szCs w:val="18"/>
              </w:rPr>
            </w:pPr>
            <w:r>
              <w:rPr>
                <w:rFonts w:ascii="宋体" w:hAnsi="宋体" w:eastAsia="宋体" w:cs="宋体"/>
                <w:bCs/>
                <w:sz w:val="18"/>
                <w:szCs w:val="18"/>
              </w:rPr>
              <w:t>221</w:t>
            </w:r>
          </w:p>
        </w:tc>
        <w:tc>
          <w:tcPr>
            <w:tcW w:w="803" w:type="pct"/>
            <w:vAlign w:val="center"/>
          </w:tcPr>
          <w:p>
            <w:pPr>
              <w:spacing w:line="320" w:lineRule="exact"/>
              <w:ind w:firstLine="0" w:firstLineChars="0"/>
              <w:jc w:val="center"/>
              <w:rPr>
                <w:rFonts w:ascii="宋体" w:hAnsi="宋体" w:eastAsia="宋体" w:cs="宋体"/>
                <w:bCs/>
                <w:sz w:val="18"/>
                <w:szCs w:val="18"/>
              </w:rPr>
            </w:pPr>
            <w:r>
              <w:rPr>
                <w:rFonts w:ascii="宋体" w:hAnsi="宋体" w:eastAsia="宋体" w:cs="宋体"/>
                <w:bCs/>
                <w:sz w:val="18"/>
                <w:szCs w:val="18"/>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1" w:type="pct"/>
            <w:vAlign w:val="center"/>
          </w:tcPr>
          <w:p>
            <w:pPr>
              <w:spacing w:line="320" w:lineRule="exact"/>
              <w:ind w:firstLine="0" w:firstLineChars="0"/>
              <w:jc w:val="center"/>
              <w:rPr>
                <w:rFonts w:ascii="宋体" w:hAnsi="宋体" w:eastAsia="宋体" w:cs="宋体"/>
                <w:bCs/>
                <w:sz w:val="18"/>
                <w:szCs w:val="18"/>
              </w:rPr>
            </w:pPr>
            <w:r>
              <w:rPr>
                <w:rFonts w:hint="eastAsia" w:ascii="宋体" w:hAnsi="宋体" w:eastAsia="宋体" w:cs="宋体"/>
                <w:bCs/>
                <w:sz w:val="18"/>
                <w:szCs w:val="18"/>
              </w:rPr>
              <w:t>生活费</w:t>
            </w:r>
          </w:p>
        </w:tc>
        <w:tc>
          <w:tcPr>
            <w:tcW w:w="805" w:type="pct"/>
            <w:vAlign w:val="center"/>
          </w:tcPr>
          <w:p>
            <w:pPr>
              <w:spacing w:line="320" w:lineRule="exact"/>
              <w:ind w:firstLine="0" w:firstLineChars="0"/>
              <w:jc w:val="center"/>
              <w:rPr>
                <w:rFonts w:ascii="宋体" w:hAnsi="宋体" w:eastAsia="宋体" w:cs="宋体"/>
                <w:bCs/>
                <w:sz w:val="18"/>
                <w:szCs w:val="18"/>
              </w:rPr>
            </w:pPr>
            <w:r>
              <w:rPr>
                <w:rFonts w:ascii="宋体" w:hAnsi="宋体" w:eastAsia="宋体" w:cs="宋体"/>
                <w:bCs/>
                <w:sz w:val="18"/>
                <w:szCs w:val="18"/>
              </w:rPr>
              <w:t>224</w:t>
            </w:r>
          </w:p>
        </w:tc>
        <w:tc>
          <w:tcPr>
            <w:tcW w:w="1002" w:type="pct"/>
            <w:vAlign w:val="center"/>
          </w:tcPr>
          <w:p>
            <w:pPr>
              <w:spacing w:line="320" w:lineRule="exact"/>
              <w:ind w:firstLine="0" w:firstLineChars="0"/>
              <w:jc w:val="center"/>
              <w:rPr>
                <w:rFonts w:ascii="宋体" w:hAnsi="宋体" w:eastAsia="宋体" w:cs="宋体"/>
                <w:bCs/>
                <w:sz w:val="18"/>
                <w:szCs w:val="18"/>
              </w:rPr>
            </w:pPr>
            <w:r>
              <w:rPr>
                <w:rFonts w:ascii="宋体" w:hAnsi="宋体" w:eastAsia="宋体" w:cs="宋体"/>
                <w:bCs/>
                <w:sz w:val="18"/>
                <w:szCs w:val="18"/>
              </w:rPr>
              <w:t>45</w:t>
            </w:r>
          </w:p>
        </w:tc>
        <w:tc>
          <w:tcPr>
            <w:tcW w:w="805" w:type="pct"/>
            <w:vAlign w:val="center"/>
          </w:tcPr>
          <w:p>
            <w:pPr>
              <w:spacing w:line="320" w:lineRule="exact"/>
              <w:ind w:firstLine="0" w:firstLineChars="0"/>
              <w:jc w:val="center"/>
              <w:rPr>
                <w:rFonts w:ascii="宋体" w:hAnsi="宋体" w:eastAsia="宋体" w:cs="宋体"/>
                <w:bCs/>
                <w:sz w:val="18"/>
                <w:szCs w:val="18"/>
              </w:rPr>
            </w:pPr>
            <w:r>
              <w:rPr>
                <w:rFonts w:ascii="宋体" w:hAnsi="宋体" w:eastAsia="宋体" w:cs="宋体"/>
                <w:bCs/>
                <w:sz w:val="18"/>
                <w:szCs w:val="18"/>
              </w:rPr>
              <w:t>269</w:t>
            </w:r>
          </w:p>
        </w:tc>
        <w:tc>
          <w:tcPr>
            <w:tcW w:w="805" w:type="pct"/>
            <w:vAlign w:val="center"/>
          </w:tcPr>
          <w:p>
            <w:pPr>
              <w:spacing w:line="320" w:lineRule="exact"/>
              <w:ind w:firstLine="0" w:firstLineChars="0"/>
              <w:jc w:val="center"/>
              <w:rPr>
                <w:rFonts w:ascii="宋体" w:hAnsi="宋体" w:eastAsia="宋体" w:cs="宋体"/>
                <w:bCs/>
                <w:sz w:val="18"/>
                <w:szCs w:val="18"/>
              </w:rPr>
            </w:pPr>
            <w:r>
              <w:rPr>
                <w:rFonts w:ascii="宋体" w:hAnsi="宋体" w:eastAsia="宋体" w:cs="宋体"/>
                <w:bCs/>
                <w:sz w:val="18"/>
                <w:szCs w:val="18"/>
              </w:rPr>
              <w:t>224</w:t>
            </w:r>
          </w:p>
        </w:tc>
        <w:tc>
          <w:tcPr>
            <w:tcW w:w="803" w:type="pct"/>
            <w:vAlign w:val="center"/>
          </w:tcPr>
          <w:p>
            <w:pPr>
              <w:spacing w:line="320" w:lineRule="exact"/>
              <w:ind w:firstLine="0" w:firstLineChars="0"/>
              <w:jc w:val="center"/>
              <w:rPr>
                <w:rFonts w:ascii="宋体" w:hAnsi="宋体" w:eastAsia="宋体" w:cs="宋体"/>
                <w:bCs/>
                <w:sz w:val="18"/>
                <w:szCs w:val="18"/>
              </w:rPr>
            </w:pPr>
            <w:r>
              <w:rPr>
                <w:rFonts w:ascii="宋体" w:hAnsi="宋体" w:eastAsia="宋体" w:cs="宋体"/>
                <w:bCs/>
                <w:sz w:val="18"/>
                <w:szCs w:val="18"/>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vAlign w:val="center"/>
          </w:tcPr>
          <w:p>
            <w:pPr>
              <w:spacing w:line="320" w:lineRule="exact"/>
              <w:ind w:firstLine="0" w:firstLineChars="0"/>
              <w:jc w:val="center"/>
              <w:rPr>
                <w:rFonts w:ascii="宋体" w:hAnsi="宋体" w:eastAsia="宋体" w:cs="宋体"/>
                <w:bCs/>
                <w:sz w:val="18"/>
                <w:szCs w:val="18"/>
              </w:rPr>
            </w:pPr>
            <w:r>
              <w:rPr>
                <w:rFonts w:hint="eastAsia" w:ascii="宋体" w:hAnsi="宋体" w:eastAsia="宋体" w:cs="宋体"/>
                <w:bCs/>
                <w:sz w:val="18"/>
                <w:szCs w:val="18"/>
              </w:rPr>
              <w:t>生活补贴</w:t>
            </w:r>
          </w:p>
        </w:tc>
        <w:tc>
          <w:tcPr>
            <w:tcW w:w="805" w:type="pct"/>
            <w:vAlign w:val="center"/>
          </w:tcPr>
          <w:p>
            <w:pPr>
              <w:spacing w:line="320" w:lineRule="exact"/>
              <w:ind w:firstLine="0" w:firstLineChars="0"/>
              <w:jc w:val="center"/>
              <w:rPr>
                <w:rFonts w:ascii="宋体" w:hAnsi="宋体" w:eastAsia="宋体" w:cs="宋体"/>
                <w:bCs/>
                <w:sz w:val="18"/>
                <w:szCs w:val="18"/>
              </w:rPr>
            </w:pPr>
            <w:r>
              <w:rPr>
                <w:rFonts w:ascii="宋体" w:hAnsi="宋体" w:eastAsia="宋体" w:cs="宋体"/>
                <w:bCs/>
                <w:sz w:val="18"/>
                <w:szCs w:val="18"/>
              </w:rPr>
              <w:t>2101</w:t>
            </w:r>
          </w:p>
        </w:tc>
        <w:tc>
          <w:tcPr>
            <w:tcW w:w="1002" w:type="pct"/>
            <w:vAlign w:val="center"/>
          </w:tcPr>
          <w:p>
            <w:pPr>
              <w:spacing w:line="320" w:lineRule="exact"/>
              <w:ind w:firstLine="0" w:firstLineChars="0"/>
              <w:jc w:val="center"/>
              <w:rPr>
                <w:rFonts w:ascii="宋体" w:hAnsi="宋体" w:eastAsia="宋体" w:cs="宋体"/>
                <w:bCs/>
                <w:sz w:val="18"/>
                <w:szCs w:val="18"/>
              </w:rPr>
            </w:pPr>
            <w:r>
              <w:rPr>
                <w:rFonts w:ascii="宋体" w:hAnsi="宋体" w:eastAsia="宋体" w:cs="宋体"/>
                <w:bCs/>
                <w:sz w:val="18"/>
                <w:szCs w:val="18"/>
              </w:rPr>
              <w:t>100</w:t>
            </w:r>
          </w:p>
        </w:tc>
        <w:tc>
          <w:tcPr>
            <w:tcW w:w="805" w:type="pct"/>
            <w:vAlign w:val="center"/>
          </w:tcPr>
          <w:p>
            <w:pPr>
              <w:spacing w:line="320" w:lineRule="exact"/>
              <w:ind w:firstLine="0" w:firstLineChars="0"/>
              <w:jc w:val="center"/>
              <w:rPr>
                <w:rFonts w:ascii="宋体" w:hAnsi="宋体" w:eastAsia="宋体" w:cs="宋体"/>
                <w:bCs/>
                <w:sz w:val="18"/>
                <w:szCs w:val="18"/>
              </w:rPr>
            </w:pPr>
            <w:r>
              <w:rPr>
                <w:rFonts w:ascii="宋体" w:hAnsi="宋体" w:eastAsia="宋体" w:cs="宋体"/>
                <w:bCs/>
                <w:sz w:val="18"/>
                <w:szCs w:val="18"/>
              </w:rPr>
              <w:t>2201</w:t>
            </w:r>
          </w:p>
        </w:tc>
        <w:tc>
          <w:tcPr>
            <w:tcW w:w="805" w:type="pct"/>
            <w:vAlign w:val="center"/>
          </w:tcPr>
          <w:p>
            <w:pPr>
              <w:spacing w:line="320" w:lineRule="exact"/>
              <w:ind w:firstLine="0" w:firstLineChars="0"/>
              <w:jc w:val="center"/>
              <w:rPr>
                <w:rFonts w:ascii="宋体" w:hAnsi="宋体" w:eastAsia="宋体" w:cs="宋体"/>
                <w:bCs/>
                <w:sz w:val="18"/>
                <w:szCs w:val="18"/>
              </w:rPr>
            </w:pPr>
            <w:r>
              <w:rPr>
                <w:rFonts w:ascii="宋体" w:hAnsi="宋体" w:eastAsia="宋体" w:cs="宋体"/>
                <w:bCs/>
                <w:sz w:val="18"/>
                <w:szCs w:val="18"/>
              </w:rPr>
              <w:t>2101</w:t>
            </w:r>
          </w:p>
        </w:tc>
        <w:tc>
          <w:tcPr>
            <w:tcW w:w="803" w:type="pct"/>
            <w:vAlign w:val="center"/>
          </w:tcPr>
          <w:p>
            <w:pPr>
              <w:spacing w:line="320" w:lineRule="exact"/>
              <w:ind w:firstLine="0" w:firstLineChars="0"/>
              <w:jc w:val="center"/>
              <w:rPr>
                <w:rFonts w:ascii="宋体" w:hAnsi="宋体" w:eastAsia="宋体" w:cs="宋体"/>
                <w:bCs/>
                <w:sz w:val="18"/>
                <w:szCs w:val="18"/>
              </w:rPr>
            </w:pPr>
            <w:r>
              <w:rPr>
                <w:rFonts w:ascii="宋体" w:hAnsi="宋体" w:eastAsia="宋体" w:cs="宋体"/>
                <w:bCs/>
                <w:sz w:val="18"/>
                <w:szCs w:val="18"/>
              </w:rPr>
              <w:t>2101</w:t>
            </w:r>
          </w:p>
        </w:tc>
      </w:tr>
    </w:tbl>
    <w:p>
      <w:pPr>
        <w:ind w:firstLine="640"/>
        <w:rPr>
          <w:rFonts w:ascii="仿宋_GB2312" w:hAnsi="Times New Roman"/>
        </w:rPr>
      </w:pPr>
      <w:r>
        <w:rPr>
          <w:rFonts w:hint="eastAsia" w:ascii="仿宋_GB2312" w:hAnsi="Times New Roman"/>
        </w:rPr>
        <w:t xml:space="preserve"> </w:t>
      </w:r>
    </w:p>
    <w:p>
      <w:pPr>
        <w:pStyle w:val="2"/>
        <w:spacing w:line="240" w:lineRule="auto"/>
        <w:ind w:firstLine="640"/>
      </w:pPr>
      <w:bookmarkStart w:id="21" w:name="_Toc21995522"/>
      <w:bookmarkStart w:id="22" w:name="_Toc54077308"/>
      <w:bookmarkStart w:id="23" w:name="_Toc19623158"/>
      <w:bookmarkStart w:id="24" w:name="_Toc21995290"/>
      <w:r>
        <w:rPr>
          <w:rFonts w:hint="eastAsia"/>
        </w:rPr>
        <w:t>二、绩效分析</w:t>
      </w:r>
      <w:bookmarkEnd w:id="21"/>
      <w:bookmarkEnd w:id="22"/>
      <w:bookmarkEnd w:id="23"/>
      <w:bookmarkEnd w:id="24"/>
    </w:p>
    <w:p>
      <w:pPr>
        <w:adjustRightInd/>
        <w:snapToGrid/>
        <w:spacing w:line="240" w:lineRule="auto"/>
        <w:ind w:firstLine="640"/>
        <w:outlineLvl w:val="1"/>
        <w:rPr>
          <w:rFonts w:ascii="楷体_GB2312" w:hAnsi="楷体_GB2312" w:eastAsia="楷体_GB2312" w:cs="楷体_GB2312"/>
        </w:rPr>
      </w:pPr>
      <w:bookmarkStart w:id="25" w:name="_Toc21995523"/>
      <w:bookmarkStart w:id="26" w:name="_Toc21995291"/>
      <w:bookmarkStart w:id="27" w:name="_Toc19623159"/>
      <w:bookmarkStart w:id="28" w:name="_Toc54077309"/>
      <w:r>
        <w:rPr>
          <w:rFonts w:hint="eastAsia" w:ascii="楷体_GB2312" w:hAnsi="楷体_GB2312" w:eastAsia="楷体_GB2312" w:cs="楷体_GB2312"/>
        </w:rPr>
        <w:t>（一）</w:t>
      </w:r>
      <w:bookmarkEnd w:id="25"/>
      <w:bookmarkEnd w:id="26"/>
      <w:bookmarkEnd w:id="27"/>
      <w:r>
        <w:rPr>
          <w:rFonts w:hint="eastAsia" w:ascii="楷体_GB2312" w:hAnsi="楷体_GB2312" w:eastAsia="楷体_GB2312" w:cs="楷体_GB2312"/>
        </w:rPr>
        <w:t>项目投入</w:t>
      </w:r>
      <w:bookmarkEnd w:id="28"/>
    </w:p>
    <w:p>
      <w:pPr>
        <w:adjustRightInd/>
        <w:snapToGrid/>
        <w:spacing w:line="240" w:lineRule="auto"/>
        <w:ind w:firstLine="640"/>
        <w:rPr>
          <w:rFonts w:ascii="仿宋_GB2312" w:hAnsi="Times New Roman" w:cs="Times New Roman"/>
          <w:szCs w:val="24"/>
        </w:rPr>
      </w:pPr>
      <w:bookmarkStart w:id="29" w:name="_Hlk21008371"/>
      <w:r>
        <w:rPr>
          <w:rFonts w:hint="eastAsia" w:ascii="仿宋_GB2312" w:hAnsi="Times New Roman" w:cs="Times New Roman"/>
          <w:szCs w:val="24"/>
        </w:rPr>
        <w:t>项目投入的5项三级指标得分率</w:t>
      </w:r>
      <w:r>
        <w:rPr>
          <w:rFonts w:hint="eastAsia" w:ascii="仿宋_GB2312" w:hAnsi="Times New Roman" w:cs="Times New Roman"/>
          <w:szCs w:val="24"/>
        </w:rPr>
        <w:footnoteReference w:id="2"/>
      </w:r>
      <w:r>
        <w:rPr>
          <w:rFonts w:hint="eastAsia" w:ascii="仿宋_GB2312" w:hAnsi="Times New Roman" w:cs="Times New Roman"/>
          <w:szCs w:val="24"/>
        </w:rPr>
        <w:t>如下（图1）：</w:t>
      </w:r>
    </w:p>
    <w:p>
      <w:pPr>
        <w:ind w:firstLine="198" w:firstLineChars="62"/>
        <w:jc w:val="center"/>
        <w:rPr>
          <w:rFonts w:ascii="仿宋_GB2312"/>
        </w:rPr>
      </w:pPr>
      <w:r>
        <w:drawing>
          <wp:inline distT="0" distB="0" distL="0" distR="0">
            <wp:extent cx="5621655" cy="3132455"/>
            <wp:effectExtent l="0" t="0" r="17145"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firstLine="0" w:firstLineChars="0"/>
        <w:jc w:val="center"/>
        <w:rPr>
          <w:rFonts w:ascii="仿宋_GB2312" w:hAnsi="Times New Roman"/>
          <w:b/>
          <w:color w:val="000000" w:themeColor="text1"/>
          <w:sz w:val="28"/>
          <w:szCs w:val="28"/>
          <w14:textFill>
            <w14:solidFill>
              <w14:schemeClr w14:val="tx1"/>
            </w14:solidFill>
          </w14:textFill>
        </w:rPr>
      </w:pPr>
      <w:r>
        <w:rPr>
          <w:rFonts w:hint="eastAsia" w:ascii="仿宋_GB2312" w:hAnsi="Times New Roman"/>
          <w:b/>
          <w:color w:val="000000" w:themeColor="text1"/>
          <w:sz w:val="28"/>
          <w:szCs w:val="28"/>
          <w14:textFill>
            <w14:solidFill>
              <w14:schemeClr w14:val="tx1"/>
            </w14:solidFill>
          </w14:textFill>
        </w:rPr>
        <w:t>图</w:t>
      </w:r>
      <w:r>
        <w:rPr>
          <w:rFonts w:ascii="仿宋_GB2312" w:hAnsi="Times New Roman"/>
          <w:b/>
          <w:color w:val="000000" w:themeColor="text1"/>
          <w:sz w:val="28"/>
          <w:szCs w:val="28"/>
          <w14:textFill>
            <w14:solidFill>
              <w14:schemeClr w14:val="tx1"/>
            </w14:solidFill>
          </w14:textFill>
        </w:rPr>
        <w:t xml:space="preserve">1 </w:t>
      </w:r>
      <w:r>
        <w:rPr>
          <w:rFonts w:hint="eastAsia" w:ascii="仿宋_GB2312" w:hAnsi="Times New Roman"/>
          <w:b/>
          <w:color w:val="000000" w:themeColor="text1"/>
          <w:sz w:val="28"/>
          <w:szCs w:val="28"/>
          <w14:textFill>
            <w14:solidFill>
              <w14:schemeClr w14:val="tx1"/>
            </w14:solidFill>
          </w14:textFill>
        </w:rPr>
        <w:t>项目投入的</w:t>
      </w:r>
      <w:r>
        <w:rPr>
          <w:rFonts w:ascii="仿宋_GB2312" w:hAnsi="Times New Roman"/>
          <w:b/>
          <w:color w:val="000000" w:themeColor="text1"/>
          <w:sz w:val="28"/>
          <w:szCs w:val="28"/>
          <w14:textFill>
            <w14:solidFill>
              <w14:schemeClr w14:val="tx1"/>
            </w14:solidFill>
          </w14:textFill>
        </w:rPr>
        <w:t>5</w:t>
      </w:r>
      <w:r>
        <w:rPr>
          <w:rFonts w:hint="eastAsia" w:ascii="仿宋_GB2312" w:hAnsi="Times New Roman"/>
          <w:b/>
          <w:color w:val="000000" w:themeColor="text1"/>
          <w:sz w:val="28"/>
          <w:szCs w:val="28"/>
          <w14:textFill>
            <w14:solidFill>
              <w14:schemeClr w14:val="tx1"/>
            </w14:solidFill>
          </w14:textFill>
        </w:rPr>
        <w:t>项三级指标各指标得分率</w:t>
      </w:r>
    </w:p>
    <w:p>
      <w:pPr>
        <w:ind w:firstLine="0" w:firstLineChars="0"/>
        <w:jc w:val="center"/>
        <w:rPr>
          <w:rFonts w:ascii="仿宋_GB2312" w:hAnsi="Times New Roman"/>
          <w:b/>
          <w:color w:val="000000" w:themeColor="text1"/>
          <w:sz w:val="28"/>
          <w:szCs w:val="28"/>
          <w14:textFill>
            <w14:solidFill>
              <w14:schemeClr w14:val="tx1"/>
            </w14:solidFill>
          </w14:textFill>
        </w:rPr>
      </w:pPr>
    </w:p>
    <w:bookmarkEnd w:id="29"/>
    <w:p>
      <w:pPr>
        <w:adjustRightInd/>
        <w:snapToGrid/>
        <w:spacing w:line="240" w:lineRule="auto"/>
        <w:ind w:firstLine="643"/>
        <w:outlineLvl w:val="2"/>
        <w:rPr>
          <w:rFonts w:ascii="仿宋_GB2312" w:hAnsi="Times New Roman" w:cs="Times New Roman"/>
          <w:b/>
          <w:bCs/>
          <w:szCs w:val="24"/>
        </w:rPr>
      </w:pPr>
      <w:bookmarkStart w:id="30" w:name="_Toc536094119"/>
      <w:r>
        <w:rPr>
          <w:rFonts w:hint="eastAsia" w:ascii="仿宋_GB2312" w:hAnsi="Times New Roman" w:cs="Times New Roman"/>
          <w:b/>
          <w:bCs/>
          <w:szCs w:val="24"/>
        </w:rPr>
        <w:t>1.</w:t>
      </w:r>
      <w:bookmarkEnd w:id="30"/>
      <w:r>
        <w:rPr>
          <w:rFonts w:hint="eastAsia" w:ascii="仿宋_GB2312" w:hAnsi="Times New Roman" w:cs="Times New Roman"/>
          <w:b/>
          <w:bCs/>
          <w:szCs w:val="24"/>
        </w:rPr>
        <w:t>项目立项</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（1）2019年度新增关闭破产企业职工安置方案经市政府审批，但企业主管部门未进行可行性分析。</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论证</w:t>
      </w:r>
      <w:r>
        <w:rPr>
          <w:rFonts w:ascii="仿宋_GB2312" w:hAnsi="Times New Roman" w:cs="Times New Roman"/>
          <w:szCs w:val="24"/>
        </w:rPr>
        <w:t>决策得分率</w:t>
      </w:r>
      <w:r>
        <w:rPr>
          <w:rFonts w:hint="eastAsia" w:ascii="仿宋_GB2312" w:hAnsi="Times New Roman" w:cs="Times New Roman"/>
          <w:szCs w:val="24"/>
        </w:rPr>
        <w:t>75</w:t>
      </w:r>
      <w:r>
        <w:rPr>
          <w:rFonts w:ascii="仿宋_GB2312" w:hAnsi="Times New Roman" w:cs="Times New Roman"/>
          <w:szCs w:val="24"/>
        </w:rPr>
        <w:t>%</w:t>
      </w:r>
      <w:r>
        <w:rPr>
          <w:rFonts w:hint="eastAsia" w:ascii="仿宋_GB2312" w:hAnsi="Times New Roman" w:cs="Times New Roman"/>
          <w:szCs w:val="24"/>
        </w:rPr>
        <w:t>。2019年度新增两家关闭破产企业安置方案已经市政府审批通过。其中：①红星厂属事业单位，根据《韶关市人民政府关于韶关市红星综合厂关闭清算和职工安置有关问题的批复》（韶府〔2019〕2号）文：“市红星综合厂职工分流安置参照国有企业退出有关政策执行”，纳入本项目范围。②亿能公司的《广东亿能电力设备股份有限公司职工安置方案》已经韶关市人力资源和社会保障局研究后备案。两家企业的职工安置方案均于会议中讨论通过（《市政府常务会议纪要》（十四届49次））。</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两家新增关闭破产企业安置方案均对公司情况、职工的安置办法、职工安置费用测算等进行了说明，基本符合《韶关市关、停、破产及转制单位预缴社会保障类资金管理办法》（韶财社〔2003〕78号）、中共中央办公厅、国务院办公厅下发的《关于转发劳动和社会保障部等部门＜关于积极推进企业退休人员社会化管理服务工作的意见＞的通知》(中办发〔2003〕16号)等文件相关规定。</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根据《韶关市国有关闭、破产企业职工分流安置暂行办法》（韶府〔2002〕5号），关闭、破产企业职工分流安置工作程序中，主管部门应对于企业上报的安置方案进行可行性分析，但红星厂的主管部门民政部和亿能公司的主管部门国资委（由工贸公司代理执行）均未对其职工安置方案进行可行性分析。</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（2）目标设置进行了细化和量化，但未能体现决策意图，其完整性和合理性有待加强。</w:t>
      </w:r>
    </w:p>
    <w:p>
      <w:pPr>
        <w:adjustRightInd/>
        <w:snapToGrid/>
        <w:spacing w:line="240" w:lineRule="auto"/>
        <w:ind w:firstLine="640"/>
        <w:rPr>
          <w:rFonts w:ascii="仿宋_GB2312" w:hAnsi="Times New Roman" w:cs="Times New Roman"/>
          <w:szCs w:val="24"/>
        </w:rPr>
      </w:pPr>
      <w:bookmarkStart w:id="31" w:name="_Hlk44366802"/>
      <w:r>
        <w:rPr>
          <w:rFonts w:hint="eastAsia" w:ascii="仿宋_GB2312" w:hAnsi="Times New Roman" w:cs="Times New Roman"/>
          <w:szCs w:val="24"/>
        </w:rPr>
        <w:t>目标</w:t>
      </w:r>
      <w:r>
        <w:rPr>
          <w:rFonts w:ascii="仿宋_GB2312" w:hAnsi="Times New Roman" w:cs="Times New Roman"/>
          <w:szCs w:val="24"/>
        </w:rPr>
        <w:t>设置得分率</w:t>
      </w:r>
      <w:r>
        <w:rPr>
          <w:rFonts w:hint="eastAsia" w:ascii="仿宋_GB2312" w:hAnsi="Times New Roman" w:cs="Times New Roman"/>
          <w:szCs w:val="24"/>
        </w:rPr>
        <w:t>66.67</w:t>
      </w:r>
      <w:r>
        <w:rPr>
          <w:rFonts w:ascii="仿宋_GB2312" w:hAnsi="Times New Roman" w:cs="Times New Roman"/>
          <w:szCs w:val="24"/>
        </w:rPr>
        <w:t>%。</w:t>
      </w:r>
      <w:r>
        <w:rPr>
          <w:rFonts w:hint="eastAsia" w:ascii="仿宋_GB2312" w:hAnsi="Times New Roman" w:cs="Times New Roman"/>
          <w:szCs w:val="24"/>
        </w:rPr>
        <w:t>根据项目绩效自评基础信息表，</w:t>
      </w:r>
      <w:bookmarkEnd w:id="31"/>
      <w:r>
        <w:rPr>
          <w:rFonts w:hint="eastAsia" w:ascii="仿宋_GB2312" w:hAnsi="Times New Roman" w:cs="Times New Roman"/>
          <w:szCs w:val="24"/>
        </w:rPr>
        <w:t>项目设置了“养老保险代缴人数”等数量指标、“补助金发放率”等质量指标、“补助金发放及时性”等时效指标、“成本支出率”等成本指标、“关破企业养老、医疗保险代缴，生活费生活补贴发放”等社会效益指标以及满意度指标，绩效目标设置较为细化、量化，具有可衡量性。</w:t>
      </w:r>
      <w:bookmarkStart w:id="32" w:name="_Hlk44330214"/>
      <w:r>
        <w:rPr>
          <w:rFonts w:hint="eastAsia" w:ascii="仿宋_GB2312" w:hAnsi="Times New Roman" w:cs="Times New Roman"/>
          <w:szCs w:val="24"/>
        </w:rPr>
        <w:t>但其完整性和合理性有待加强，特别是效果指标设置不全面，指标设置未能体现决策意图。如补助资金及时足额发放对于保障“两退”工作正常运作的社会效益指标、关于退休职工社会化管理实施效率的指标等。</w:t>
      </w:r>
    </w:p>
    <w:bookmarkEnd w:id="32"/>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（3）项目管理办法较为完善，工作计划安排较为合理。</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保障措施得分率100%。项目具有相关项目管理、资金管理等制度保障，相关制度较为健全，相关补贴按月进行发放，工作计划安排也较为合理。韶关市企业关闭破产补助项目于2002年开始实施，为延续性民生项目，</w:t>
      </w:r>
      <w:bookmarkStart w:id="33" w:name="_Hlk44270053"/>
      <w:r>
        <w:rPr>
          <w:rFonts w:hint="eastAsia" w:ascii="仿宋_GB2312" w:hAnsi="Times New Roman" w:cs="Times New Roman"/>
          <w:szCs w:val="24"/>
        </w:rPr>
        <w:t>相关部门先后设立制定了《韶关市国有关闭、破产企业职工分流安置暂行办法》（韶府〔2002〕5号）、《关于调整“退出”企业五年内退休人员基本生活费标准的通知》（韶府办〔2005〕24号）、《关于明确“两个退出”中几个具体问题的通知》（韶府〔2002〕140号）、《韶关市关、停、破产及转制单位预缴社会保障资金管理办法》（韶财社〔2003〕78号）、《关于转发积极推进我省企业退休人员社会化管理服务工作意见的通知》（韶劳社办〔2007〕69号）</w:t>
      </w:r>
      <w:bookmarkEnd w:id="33"/>
      <w:r>
        <w:rPr>
          <w:rFonts w:hint="eastAsia" w:ascii="仿宋_GB2312" w:hAnsi="Times New Roman" w:cs="Times New Roman"/>
          <w:szCs w:val="24"/>
        </w:rPr>
        <w:t>等项目管理、资金管理相关办法，相关制度保障较为完善。社保和医保的代缴、生活费和生活补助的发放均按规定于每月15日前发放到位，计划安排较为合理。</w:t>
      </w:r>
    </w:p>
    <w:p>
      <w:pPr>
        <w:adjustRightInd/>
        <w:snapToGrid/>
        <w:spacing w:line="240" w:lineRule="auto"/>
        <w:ind w:firstLine="643"/>
        <w:outlineLvl w:val="2"/>
        <w:rPr>
          <w:rFonts w:ascii="仿宋_GB2312" w:hAnsi="Times New Roman" w:cs="Times New Roman"/>
          <w:b/>
          <w:bCs/>
          <w:szCs w:val="24"/>
        </w:rPr>
      </w:pPr>
      <w:bookmarkStart w:id="34" w:name="_Toc536094120"/>
      <w:r>
        <w:rPr>
          <w:rFonts w:hint="eastAsia" w:ascii="仿宋_GB2312" w:hAnsi="Times New Roman" w:cs="Times New Roman"/>
          <w:b/>
          <w:bCs/>
          <w:szCs w:val="24"/>
        </w:rPr>
        <w:t>2.</w:t>
      </w:r>
      <w:bookmarkEnd w:id="34"/>
      <w:r>
        <w:rPr>
          <w:rFonts w:hint="eastAsia" w:ascii="仿宋_GB2312" w:hAnsi="Times New Roman" w:cs="Times New Roman"/>
          <w:b/>
          <w:bCs/>
          <w:szCs w:val="24"/>
        </w:rPr>
        <w:t>资金落实</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资金到位得分率100%。资金到位及时足额。企业关闭破产补助项目2019年申请预算资金11595万元，实际到位资金11595万元，资金到位率100%；根据资金支出明细账，资金到位及时。</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资金分配得分率</w:t>
      </w:r>
      <w:r>
        <w:rPr>
          <w:rFonts w:ascii="仿宋_GB2312" w:hAnsi="Times New Roman" w:cs="Times New Roman"/>
          <w:szCs w:val="24"/>
        </w:rPr>
        <w:t>100</w:t>
      </w:r>
      <w:r>
        <w:rPr>
          <w:rFonts w:hint="eastAsia" w:ascii="仿宋_GB2312" w:hAnsi="Times New Roman" w:cs="Times New Roman"/>
          <w:szCs w:val="24"/>
        </w:rPr>
        <w:t>%。资金分配方案测算依据清楚明确，资金规模与绩效目标相匹配。各费用基数根据韶关市2019年平均工资和最低生活费情况，结合《韶关市人民政府关于阶段性下调城镇职工医保单位缴费率的通知》（韶府〔2018〕18号）、《关于公布2018年社会保险年度企业职工基本养老保险基数的通知》（粤人社发〔2018〕107号）等相关政策文件进行实时调整，各类资金分配测算过程较为清晰，人员保有量和新增数量、代缴比例和基数、补贴发放标准等较为明确，资金规模根据扶持人数及对应标准测算，与绩效目标相符。</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扶持方向与绩效目标相匹配。资金扶持方向按《韶关市关、停、破产及转制单位预缴社会保障类资金管理办法》（韶财社〔2003〕78号）、《关于转发劳动和社会保障部等部门＜关于积极推进企业退休人员社会化管理服务工作的意见＞的通知》(中办发〔2003〕16号)等相关规定执行，扶持方向与绩效目标相匹配。</w:t>
      </w:r>
    </w:p>
    <w:p>
      <w:pPr>
        <w:adjustRightInd/>
        <w:snapToGrid/>
        <w:spacing w:line="240" w:lineRule="auto"/>
        <w:ind w:firstLine="640"/>
        <w:outlineLvl w:val="1"/>
        <w:rPr>
          <w:rFonts w:ascii="楷体_GB2312" w:hAnsi="楷体_GB2312" w:eastAsia="楷体_GB2312" w:cs="楷体_GB2312"/>
        </w:rPr>
      </w:pPr>
      <w:bookmarkStart w:id="35" w:name="_Toc19623160"/>
      <w:bookmarkStart w:id="36" w:name="_Toc21995524"/>
      <w:bookmarkStart w:id="37" w:name="_Toc21995292"/>
      <w:bookmarkStart w:id="38" w:name="_Toc54077310"/>
      <w:r>
        <w:rPr>
          <w:rFonts w:hint="eastAsia" w:ascii="楷体_GB2312" w:hAnsi="楷体_GB2312" w:eastAsia="楷体_GB2312" w:cs="楷体_GB2312"/>
        </w:rPr>
        <w:t>（二）</w:t>
      </w:r>
      <w:bookmarkEnd w:id="35"/>
      <w:bookmarkEnd w:id="36"/>
      <w:bookmarkEnd w:id="37"/>
      <w:r>
        <w:rPr>
          <w:rFonts w:hint="eastAsia" w:ascii="楷体_GB2312" w:hAnsi="楷体_GB2312" w:eastAsia="楷体_GB2312" w:cs="楷体_GB2312"/>
        </w:rPr>
        <w:t>项目过程</w:t>
      </w:r>
      <w:bookmarkEnd w:id="38"/>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项目过程的4项三级指标得分率如下（图2）：</w:t>
      </w:r>
    </w:p>
    <w:p>
      <w:pPr>
        <w:ind w:firstLine="0" w:firstLineChars="0"/>
        <w:jc w:val="center"/>
        <w:rPr>
          <w:rFonts w:ascii="仿宋_GB2312"/>
        </w:rPr>
      </w:pPr>
      <w:r>
        <w:drawing>
          <wp:inline distT="0" distB="0" distL="0" distR="0">
            <wp:extent cx="5875655" cy="2743200"/>
            <wp:effectExtent l="0" t="0" r="1079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adjustRightInd/>
        <w:snapToGrid/>
        <w:spacing w:line="240" w:lineRule="auto"/>
        <w:ind w:firstLine="562"/>
        <w:jc w:val="center"/>
        <w:rPr>
          <w:rFonts w:ascii="宋体" w:hAnsi="宋体" w:eastAsia="宋体" w:cs="宋体"/>
          <w:b/>
          <w:bCs/>
          <w:sz w:val="28"/>
          <w:szCs w:val="28"/>
        </w:rPr>
      </w:pPr>
      <w:r>
        <w:rPr>
          <w:rFonts w:hint="eastAsia" w:ascii="宋体" w:hAnsi="宋体" w:eastAsia="宋体" w:cs="宋体"/>
          <w:b/>
          <w:bCs/>
          <w:sz w:val="28"/>
          <w:szCs w:val="28"/>
        </w:rPr>
        <w:t>图2 项目过程的4项三级指标各指标得分率</w:t>
      </w:r>
    </w:p>
    <w:p>
      <w:pPr>
        <w:ind w:firstLine="0" w:firstLineChars="0"/>
        <w:jc w:val="center"/>
        <w:rPr>
          <w:rFonts w:ascii="仿宋_GB2312" w:hAnsi="Times New Roman"/>
          <w:b/>
          <w:color w:val="000000" w:themeColor="text1"/>
          <w:sz w:val="28"/>
          <w:szCs w:val="28"/>
          <w14:textFill>
            <w14:solidFill>
              <w14:schemeClr w14:val="tx1"/>
            </w14:solidFill>
          </w14:textFill>
        </w:rPr>
      </w:pPr>
    </w:p>
    <w:p>
      <w:pPr>
        <w:adjustRightInd/>
        <w:snapToGrid/>
        <w:spacing w:line="240" w:lineRule="auto"/>
        <w:ind w:firstLine="643"/>
        <w:outlineLvl w:val="2"/>
        <w:rPr>
          <w:rFonts w:ascii="仿宋_GB2312" w:hAnsi="Times New Roman" w:cs="Times New Roman"/>
          <w:b/>
          <w:bCs/>
          <w:szCs w:val="24"/>
        </w:rPr>
      </w:pPr>
      <w:bookmarkStart w:id="39" w:name="_Toc536094123"/>
      <w:r>
        <w:rPr>
          <w:rFonts w:hint="eastAsia" w:ascii="仿宋_GB2312" w:hAnsi="Times New Roman" w:cs="Times New Roman"/>
          <w:b/>
          <w:bCs/>
          <w:szCs w:val="24"/>
        </w:rPr>
        <w:t>1.</w:t>
      </w:r>
      <w:bookmarkEnd w:id="39"/>
      <w:r>
        <w:rPr>
          <w:rFonts w:hint="eastAsia" w:ascii="仿宋_GB2312" w:hAnsi="Times New Roman" w:cs="Times New Roman"/>
          <w:b/>
          <w:bCs/>
          <w:szCs w:val="24"/>
        </w:rPr>
        <w:t>资金管理</w:t>
      </w:r>
    </w:p>
    <w:p>
      <w:pPr>
        <w:adjustRightInd/>
        <w:snapToGrid/>
        <w:spacing w:line="240" w:lineRule="auto"/>
        <w:ind w:firstLine="640"/>
        <w:rPr>
          <w:rFonts w:ascii="仿宋_GB2312" w:hAnsi="Times New Roman" w:cs="Times New Roman"/>
          <w:szCs w:val="24"/>
        </w:rPr>
      </w:pPr>
      <w:bookmarkStart w:id="40" w:name="_Toc536094124"/>
      <w:r>
        <w:rPr>
          <w:rFonts w:hint="eastAsia" w:ascii="仿宋_GB2312" w:hAnsi="Times New Roman" w:cs="Times New Roman"/>
          <w:szCs w:val="24"/>
        </w:rPr>
        <w:t>（1）资金支出率为97.16%，预算编制准确性有待提高。</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资金</w:t>
      </w:r>
      <w:r>
        <w:rPr>
          <w:rFonts w:ascii="仿宋_GB2312" w:hAnsi="Times New Roman" w:cs="Times New Roman"/>
          <w:szCs w:val="24"/>
        </w:rPr>
        <w:t>支付得分率</w:t>
      </w:r>
      <w:r>
        <w:rPr>
          <w:rFonts w:hint="eastAsia" w:ascii="仿宋_GB2312" w:hAnsi="Times New Roman" w:cs="Times New Roman"/>
          <w:szCs w:val="24"/>
        </w:rPr>
        <w:t>97.16</w:t>
      </w:r>
      <w:r>
        <w:rPr>
          <w:rFonts w:ascii="仿宋_GB2312" w:hAnsi="Times New Roman" w:cs="Times New Roman"/>
          <w:szCs w:val="24"/>
        </w:rPr>
        <w:t>%。</w:t>
      </w:r>
      <w:r>
        <w:rPr>
          <w:rFonts w:hint="eastAsia" w:ascii="仿宋_GB2312" w:hAnsi="Times New Roman" w:cs="Times New Roman"/>
          <w:szCs w:val="24"/>
        </w:rPr>
        <w:t>根据《预计2019年市直新增关闭、破产、转制企业情况明细表》，2019年预计新增关闭破产企业6家，拟计提安置费用人数438人，申请预算资金</w:t>
      </w:r>
      <w:bookmarkStart w:id="41" w:name="_Hlk44918402"/>
      <w:r>
        <w:rPr>
          <w:rFonts w:hint="eastAsia" w:ascii="仿宋_GB2312" w:hAnsi="Times New Roman" w:cs="Times New Roman"/>
          <w:szCs w:val="24"/>
        </w:rPr>
        <w:t>11595</w:t>
      </w:r>
      <w:bookmarkEnd w:id="41"/>
      <w:r>
        <w:rPr>
          <w:rFonts w:hint="eastAsia" w:ascii="仿宋_GB2312" w:hAnsi="Times New Roman" w:cs="Times New Roman"/>
          <w:szCs w:val="24"/>
        </w:rPr>
        <w:t>万元。实际新增关闭破产企业2家，实际支出金额11265.99万元，资金支出率为97.16%，预算编制的准确性有待提高。</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（2）预算执行和事项支出较为合规，但会计核算规范性有待加强。</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支出</w:t>
      </w:r>
      <w:r>
        <w:rPr>
          <w:rFonts w:ascii="仿宋_GB2312" w:hAnsi="Times New Roman" w:cs="Times New Roman"/>
          <w:szCs w:val="24"/>
        </w:rPr>
        <w:t>规范性得分率</w:t>
      </w:r>
      <w:r>
        <w:rPr>
          <w:rFonts w:hint="eastAsia" w:ascii="仿宋_GB2312" w:hAnsi="Times New Roman" w:cs="Times New Roman"/>
          <w:szCs w:val="24"/>
        </w:rPr>
        <w:t>97.67</w:t>
      </w:r>
      <w:r>
        <w:rPr>
          <w:rFonts w:ascii="仿宋_GB2312" w:hAnsi="Times New Roman" w:cs="Times New Roman"/>
          <w:szCs w:val="24"/>
        </w:rPr>
        <w:t>%。</w:t>
      </w:r>
      <w:r>
        <w:rPr>
          <w:rFonts w:hint="eastAsia" w:ascii="仿宋_GB2312" w:hAnsi="Times New Roman" w:cs="Times New Roman"/>
          <w:szCs w:val="24"/>
        </w:rPr>
        <w:t>项目资金管理、费用标准等均按有关制度规定执行，事项支出较为合规。根据支出明细账及现场核查情况，项目按月代缴养老保险和医疗保险、按月发放生活费和生活补贴。</w:t>
      </w:r>
      <w:bookmarkStart w:id="42" w:name="_Hlk44262527"/>
      <w:r>
        <w:rPr>
          <w:rFonts w:hint="eastAsia" w:ascii="仿宋_GB2312" w:hAnsi="Times New Roman" w:cs="Times New Roman"/>
          <w:szCs w:val="24"/>
        </w:rPr>
        <w:t>其中，养老保险和医疗保险代缴比例和基数均按照《韶关市各险种2019社保年度缴费标准表》执行；生活费和生活补贴每月发放标准按当地的城镇居民最低生活费标准计发</w:t>
      </w:r>
      <w:bookmarkEnd w:id="42"/>
      <w:r>
        <w:rPr>
          <w:rFonts w:hint="eastAsia" w:ascii="仿宋_GB2312" w:hAnsi="Times New Roman" w:cs="Times New Roman"/>
          <w:szCs w:val="24"/>
        </w:rPr>
        <w:t>。</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但</w:t>
      </w:r>
      <w:bookmarkStart w:id="43" w:name="_Hlk44317865"/>
      <w:r>
        <w:rPr>
          <w:rFonts w:hint="eastAsia" w:ascii="仿宋_GB2312" w:hAnsi="Times New Roman" w:cs="Times New Roman"/>
          <w:szCs w:val="24"/>
        </w:rPr>
        <w:t>项目会计核算规范性有待提高。根据现场核查财务凭证，2019年度的生活补贴与养老金一起发放至个人，该支付凭证未将实际发放到个人的银行批量付款总回单放至附件，而仅将向财政归垫的付款回单作为附件后附，会计核算规范性有待加强。</w:t>
      </w:r>
      <w:bookmarkEnd w:id="43"/>
    </w:p>
    <w:bookmarkEnd w:id="40"/>
    <w:p>
      <w:pPr>
        <w:adjustRightInd/>
        <w:snapToGrid/>
        <w:spacing w:line="240" w:lineRule="auto"/>
        <w:ind w:firstLine="643"/>
        <w:outlineLvl w:val="2"/>
        <w:rPr>
          <w:rFonts w:ascii="仿宋_GB2312" w:hAnsi="Times New Roman" w:cs="Times New Roman"/>
          <w:b/>
          <w:bCs/>
          <w:szCs w:val="24"/>
        </w:rPr>
      </w:pPr>
      <w:r>
        <w:rPr>
          <w:rFonts w:hint="eastAsia" w:ascii="仿宋_GB2312" w:hAnsi="Times New Roman" w:cs="Times New Roman"/>
          <w:b/>
          <w:bCs/>
          <w:szCs w:val="24"/>
        </w:rPr>
        <w:t>2.事项管理</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（1）项目实施程序与文件规定程序存在一定出入。</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实施</w:t>
      </w:r>
      <w:r>
        <w:rPr>
          <w:rFonts w:ascii="仿宋_GB2312" w:hAnsi="Times New Roman" w:cs="Times New Roman"/>
          <w:szCs w:val="24"/>
        </w:rPr>
        <w:t>程序</w:t>
      </w:r>
      <w:r>
        <w:rPr>
          <w:rFonts w:hint="eastAsia" w:ascii="仿宋_GB2312" w:hAnsi="Times New Roman" w:cs="Times New Roman"/>
          <w:szCs w:val="24"/>
        </w:rPr>
        <w:t>得分率50</w:t>
      </w:r>
      <w:r>
        <w:rPr>
          <w:rFonts w:ascii="仿宋_GB2312" w:hAnsi="Times New Roman" w:cs="Times New Roman"/>
          <w:szCs w:val="24"/>
        </w:rPr>
        <w:t>%。</w:t>
      </w:r>
      <w:r>
        <w:rPr>
          <w:rFonts w:hint="eastAsia" w:ascii="仿宋_GB2312" w:hAnsi="Times New Roman" w:cs="Times New Roman"/>
          <w:szCs w:val="24"/>
        </w:rPr>
        <w:t>根据《韶关市国有关闭、破产企业职工分流安置暂行办法》（韶府</w:t>
      </w:r>
      <w:bookmarkStart w:id="44" w:name="_Hlk44263379"/>
      <w:r>
        <w:rPr>
          <w:rFonts w:hint="eastAsia" w:ascii="仿宋_GB2312" w:hAnsi="Times New Roman" w:cs="Times New Roman"/>
          <w:szCs w:val="24"/>
        </w:rPr>
        <w:t>〔2002〕</w:t>
      </w:r>
      <w:bookmarkEnd w:id="44"/>
      <w:r>
        <w:rPr>
          <w:rFonts w:hint="eastAsia" w:ascii="仿宋_GB2312" w:hAnsi="Times New Roman" w:cs="Times New Roman"/>
          <w:szCs w:val="24"/>
        </w:rPr>
        <w:t>5号）文件，关闭、破产企业申请政府适当补贴职工安置费用的审核程序应为“企业上报安置方案-主管部门进行可行性分析-向市财政局、市人社局上报破产企业名单后拨款发放”。但2019年度新增两个关闭破产企业中，红星厂企业主管部门为民政局，亿能企业主管部门为国资委（由工贸公司代理执行），两个企业安置方案均由工贸公司制定，公示后报市政府审批，再报市人社局核准核发，实施程序缺乏主管部门可行性分析，与文件要求不符。</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（2）项目监管机制不够完善，各级业务主管部门对下属街道工作缺乏有效的检查。</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管理</w:t>
      </w:r>
      <w:r>
        <w:rPr>
          <w:rFonts w:ascii="仿宋_GB2312" w:hAnsi="Times New Roman" w:cs="Times New Roman"/>
          <w:szCs w:val="24"/>
        </w:rPr>
        <w:t>情况得分率</w:t>
      </w:r>
      <w:r>
        <w:rPr>
          <w:rFonts w:hint="eastAsia" w:ascii="仿宋_GB2312" w:hAnsi="Times New Roman" w:cs="Times New Roman"/>
          <w:szCs w:val="24"/>
        </w:rPr>
        <w:t>50</w:t>
      </w:r>
      <w:r>
        <w:rPr>
          <w:rFonts w:ascii="仿宋_GB2312" w:hAnsi="Times New Roman" w:cs="Times New Roman"/>
          <w:szCs w:val="24"/>
        </w:rPr>
        <w:t>%。</w:t>
      </w:r>
      <w:r>
        <w:rPr>
          <w:rFonts w:hint="eastAsia" w:ascii="仿宋_GB2312" w:hAnsi="Times New Roman" w:cs="Times New Roman"/>
          <w:szCs w:val="24"/>
        </w:rPr>
        <w:t>市人社局对于可能自然死亡的补助对象有生存认证的核查，即每年由补助对象本人进行签字核验一次。此外，还有三种方式规避补助多发的风险：①根据《关于印发&lt;广东省人力资源和社会保障厅关于企业职工基本养老的经办规程&gt;的通知》（粤人社规〔2019〕27号）的要求，参保单位、参保人数家属应及时向社保经办机构申报；②对接公安局、民政局的死亡人员信息，进行大数据比对；③如仍有出现多发部分将在死亡抚恤金、丧葬费中追回。</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但项目监管机制不够完善。一是监管职能的分离可能导致由于信息沟通不畅而产生多发、发错等风险。例如国资委对安置人员的真实性进行核验，由民政局对正常减员情况进行统计等。二是未见对属地管理机构的监管材料。根据《关于转发积极推进我省企业退休人员社会化管理服务工作的意见》（韶劳社办〔2007〕69号）文件，企业退休人员的日常管理服务工作转入户籍所在地或常住地的社区管理，实行社会化管理服务，如企业退休人员社会化管理科对下属十四个街道社会代缴代付工作开展检查、监控和督促整改的过程材料等，但未见相关佐证材料。</w:t>
      </w:r>
    </w:p>
    <w:p>
      <w:pPr>
        <w:adjustRightInd/>
        <w:snapToGrid/>
        <w:spacing w:line="240" w:lineRule="auto"/>
        <w:ind w:firstLine="640"/>
        <w:outlineLvl w:val="1"/>
        <w:rPr>
          <w:rFonts w:ascii="楷体_GB2312" w:hAnsi="楷体_GB2312" w:eastAsia="楷体_GB2312" w:cs="楷体_GB2312"/>
        </w:rPr>
      </w:pPr>
      <w:bookmarkStart w:id="45" w:name="_Toc21995525"/>
      <w:bookmarkStart w:id="46" w:name="_Toc21995293"/>
      <w:bookmarkStart w:id="47" w:name="_Toc19623161"/>
      <w:bookmarkStart w:id="48" w:name="_Toc54077311"/>
      <w:r>
        <w:rPr>
          <w:rFonts w:hint="eastAsia" w:ascii="楷体_GB2312" w:hAnsi="楷体_GB2312" w:eastAsia="楷体_GB2312" w:cs="楷体_GB2312"/>
        </w:rPr>
        <w:t>（三）</w:t>
      </w:r>
      <w:bookmarkEnd w:id="45"/>
      <w:bookmarkEnd w:id="46"/>
      <w:bookmarkEnd w:id="47"/>
      <w:r>
        <w:rPr>
          <w:rFonts w:hint="eastAsia" w:ascii="楷体_GB2312" w:hAnsi="楷体_GB2312" w:eastAsia="楷体_GB2312" w:cs="楷体_GB2312"/>
        </w:rPr>
        <w:t>项目产出</w:t>
      </w:r>
      <w:bookmarkEnd w:id="48"/>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项目产出的4项三级指标得分率如下（图3）：</w:t>
      </w:r>
    </w:p>
    <w:p>
      <w:pPr>
        <w:ind w:firstLine="0" w:firstLineChars="0"/>
        <w:jc w:val="center"/>
        <w:rPr>
          <w:rFonts w:ascii="仿宋_GB2312"/>
        </w:rPr>
      </w:pPr>
      <w:r>
        <w:drawing>
          <wp:inline distT="0" distB="0" distL="0" distR="0">
            <wp:extent cx="5676265" cy="2997835"/>
            <wp:effectExtent l="0" t="0" r="635"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adjustRightInd/>
        <w:snapToGrid/>
        <w:spacing w:line="240" w:lineRule="auto"/>
        <w:ind w:firstLine="562"/>
        <w:jc w:val="center"/>
        <w:rPr>
          <w:rFonts w:ascii="宋体" w:hAnsi="宋体" w:eastAsia="宋体" w:cs="宋体"/>
          <w:b/>
          <w:bCs/>
          <w:sz w:val="28"/>
          <w:szCs w:val="28"/>
        </w:rPr>
      </w:pPr>
      <w:r>
        <w:rPr>
          <w:rFonts w:hint="eastAsia" w:ascii="宋体" w:hAnsi="宋体" w:eastAsia="宋体" w:cs="宋体"/>
          <w:b/>
          <w:bCs/>
          <w:sz w:val="28"/>
          <w:szCs w:val="28"/>
        </w:rPr>
        <w:t>图3 项目产出的4项三级指标各指标得分率</w:t>
      </w:r>
    </w:p>
    <w:p>
      <w:pPr>
        <w:adjustRightInd/>
        <w:snapToGrid/>
        <w:spacing w:line="240" w:lineRule="auto"/>
        <w:ind w:firstLine="643"/>
        <w:outlineLvl w:val="2"/>
        <w:rPr>
          <w:rFonts w:ascii="仿宋_GB2312" w:hAnsi="Times New Roman" w:cs="Times New Roman"/>
          <w:b/>
          <w:bCs/>
          <w:szCs w:val="24"/>
        </w:rPr>
      </w:pPr>
      <w:r>
        <w:rPr>
          <w:rFonts w:hint="eastAsia" w:ascii="仿宋_GB2312" w:hAnsi="Times New Roman" w:cs="Times New Roman"/>
          <w:b/>
          <w:bCs/>
          <w:szCs w:val="24"/>
        </w:rPr>
        <w:t>1.经济性</w:t>
      </w:r>
    </w:p>
    <w:p>
      <w:pPr>
        <w:adjustRightInd/>
        <w:snapToGrid/>
        <w:spacing w:line="240" w:lineRule="auto"/>
        <w:ind w:firstLine="640"/>
        <w:rPr>
          <w:rFonts w:ascii="仿宋_GB2312" w:hAnsi="Times New Roman" w:cs="Times New Roman"/>
          <w:szCs w:val="24"/>
        </w:rPr>
      </w:pPr>
      <w:bookmarkStart w:id="49" w:name="_Hlk17705819"/>
      <w:r>
        <w:rPr>
          <w:rFonts w:hint="eastAsia" w:ascii="仿宋_GB2312" w:hAnsi="Times New Roman" w:cs="Times New Roman"/>
          <w:szCs w:val="24"/>
        </w:rPr>
        <w:t>预算</w:t>
      </w:r>
      <w:r>
        <w:rPr>
          <w:rFonts w:ascii="仿宋_GB2312" w:hAnsi="Times New Roman" w:cs="Times New Roman"/>
          <w:szCs w:val="24"/>
        </w:rPr>
        <w:t>控制得分率</w:t>
      </w:r>
      <w:r>
        <w:rPr>
          <w:rFonts w:hint="eastAsia" w:ascii="仿宋_GB2312" w:hAnsi="Times New Roman" w:cs="Times New Roman"/>
          <w:szCs w:val="24"/>
        </w:rPr>
        <w:t>100</w:t>
      </w:r>
      <w:r>
        <w:rPr>
          <w:rFonts w:ascii="仿宋_GB2312" w:hAnsi="Times New Roman" w:cs="Times New Roman"/>
          <w:szCs w:val="24"/>
        </w:rPr>
        <w:t>%。</w:t>
      </w:r>
      <w:r>
        <w:rPr>
          <w:rFonts w:hint="eastAsia" w:ascii="仿宋_GB2312" w:hAnsi="Times New Roman" w:cs="Times New Roman"/>
          <w:szCs w:val="24"/>
        </w:rPr>
        <w:t>在预算执行进度与事项完成进度基本匹配的前提下，实际支出未超预算。项目预算金额为11595.00万元，项目实际支出金额为11265.99万元，实际支出未超预算，预算控制情况较好。</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成本</w:t>
      </w:r>
      <w:r>
        <w:rPr>
          <w:rFonts w:ascii="仿宋_GB2312" w:hAnsi="Times New Roman" w:cs="Times New Roman"/>
          <w:szCs w:val="24"/>
        </w:rPr>
        <w:t>控制得分率</w:t>
      </w:r>
      <w:r>
        <w:rPr>
          <w:rFonts w:hint="eastAsia" w:ascii="仿宋_GB2312" w:hAnsi="Times New Roman" w:cs="Times New Roman"/>
          <w:szCs w:val="24"/>
        </w:rPr>
        <w:t>100</w:t>
      </w:r>
      <w:r>
        <w:rPr>
          <w:rFonts w:ascii="仿宋_GB2312" w:hAnsi="Times New Roman" w:cs="Times New Roman"/>
          <w:szCs w:val="24"/>
        </w:rPr>
        <w:t>%。</w:t>
      </w:r>
      <w:r>
        <w:rPr>
          <w:rFonts w:hint="eastAsia" w:ascii="仿宋_GB2312" w:hAnsi="Times New Roman" w:cs="Times New Roman"/>
          <w:szCs w:val="24"/>
        </w:rPr>
        <w:t>补贴差额依据充分，支出标准较为明确。养老保险和医疗保险代缴比例和基数均按照《韶关市各险种2019社保年度缴费标准表》执行，生活费和生活补贴每月发放标准按当地的城镇居民最低生活费标准计发，未见多发或少发情况。</w:t>
      </w:r>
    </w:p>
    <w:bookmarkEnd w:id="49"/>
    <w:p>
      <w:pPr>
        <w:adjustRightInd/>
        <w:snapToGrid/>
        <w:spacing w:line="240" w:lineRule="auto"/>
        <w:ind w:firstLine="643"/>
        <w:outlineLvl w:val="2"/>
        <w:rPr>
          <w:rFonts w:ascii="仿宋_GB2312" w:hAnsi="Times New Roman" w:cs="Times New Roman"/>
          <w:b/>
          <w:bCs/>
          <w:szCs w:val="24"/>
        </w:rPr>
      </w:pPr>
      <w:r>
        <w:rPr>
          <w:rFonts w:hint="eastAsia" w:ascii="仿宋_GB2312" w:hAnsi="Times New Roman" w:cs="Times New Roman"/>
          <w:b/>
          <w:bCs/>
          <w:szCs w:val="24"/>
        </w:rPr>
        <w:t>2.效率性</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完成</w:t>
      </w:r>
      <w:r>
        <w:rPr>
          <w:rFonts w:ascii="仿宋_GB2312" w:hAnsi="Times New Roman" w:cs="Times New Roman"/>
          <w:szCs w:val="24"/>
        </w:rPr>
        <w:t>进度</w:t>
      </w:r>
      <w:r>
        <w:rPr>
          <w:rFonts w:hint="eastAsia" w:ascii="仿宋_GB2312" w:hAnsi="Times New Roman" w:cs="Times New Roman"/>
          <w:szCs w:val="24"/>
        </w:rPr>
        <w:t>和</w:t>
      </w:r>
      <w:r>
        <w:rPr>
          <w:rFonts w:ascii="仿宋_GB2312" w:hAnsi="Times New Roman" w:cs="Times New Roman"/>
          <w:szCs w:val="24"/>
        </w:rPr>
        <w:t>完成质量得分率</w:t>
      </w:r>
      <w:r>
        <w:rPr>
          <w:rFonts w:hint="eastAsia" w:ascii="仿宋_GB2312" w:hAnsi="Times New Roman" w:cs="Times New Roman"/>
          <w:szCs w:val="24"/>
        </w:rPr>
        <w:t>100</w:t>
      </w:r>
      <w:r>
        <w:rPr>
          <w:rFonts w:ascii="仿宋_GB2312" w:hAnsi="Times New Roman" w:cs="Times New Roman"/>
          <w:szCs w:val="24"/>
        </w:rPr>
        <w:t>%。</w:t>
      </w:r>
      <w:r>
        <w:rPr>
          <w:rFonts w:hint="eastAsia" w:ascii="仿宋_GB2312" w:hAnsi="Times New Roman" w:cs="Times New Roman"/>
          <w:szCs w:val="24"/>
        </w:rPr>
        <w:t>项目资金代缴代发及时足额，且根据相关法规及时进行了调整。一是各类补助按应缴人数做到了及时足额发放（详见表2）。二是项目及时对发放人数和标准进行了调整。根据2018年保有量和2019年新增人数测算，对2019年对当年的发放人数进行了测算调整；医疗保险、养老保险、生活费和生活补贴的基数和标准根据韶关市2019年平均工资和最低生活费情况，结合《韶关市人民政府关于阶段性下调城镇职工医保单位缴费率的通知》（韶府〔2018〕18号）、《关于公布2018年社会保险年度企业职工基本养老保险基数的通知》（粤人社发〔2018〕107号）等相关政策文件进行实时调整。</w:t>
      </w:r>
    </w:p>
    <w:p>
      <w:pPr>
        <w:adjustRightInd/>
        <w:snapToGrid/>
        <w:spacing w:line="240" w:lineRule="auto"/>
        <w:ind w:firstLine="640"/>
        <w:outlineLvl w:val="1"/>
        <w:rPr>
          <w:rFonts w:ascii="楷体_GB2312" w:hAnsi="楷体_GB2312" w:eastAsia="楷体_GB2312" w:cs="楷体_GB2312"/>
        </w:rPr>
      </w:pPr>
      <w:bookmarkStart w:id="50" w:name="_Toc54077312"/>
      <w:r>
        <w:rPr>
          <w:rFonts w:hint="eastAsia" w:ascii="楷体_GB2312" w:hAnsi="楷体_GB2312" w:eastAsia="楷体_GB2312" w:cs="楷体_GB2312"/>
        </w:rPr>
        <w:t>（四）项目效益</w:t>
      </w:r>
      <w:bookmarkEnd w:id="50"/>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项目效益的4项三级指标得分率如下（图4）：</w:t>
      </w:r>
    </w:p>
    <w:p>
      <w:pPr>
        <w:ind w:firstLine="0" w:firstLineChars="0"/>
        <w:jc w:val="center"/>
        <w:rPr>
          <w:rFonts w:ascii="仿宋_GB2312"/>
        </w:rPr>
      </w:pPr>
      <w:r>
        <w:drawing>
          <wp:inline distT="0" distB="0" distL="0" distR="0">
            <wp:extent cx="5685155" cy="2912745"/>
            <wp:effectExtent l="0" t="0" r="10795" b="19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adjustRightInd/>
        <w:snapToGrid/>
        <w:spacing w:line="240" w:lineRule="auto"/>
        <w:ind w:firstLine="562"/>
        <w:jc w:val="center"/>
        <w:rPr>
          <w:rFonts w:ascii="宋体" w:hAnsi="宋体" w:eastAsia="宋体" w:cs="宋体"/>
          <w:b/>
          <w:bCs/>
          <w:sz w:val="28"/>
          <w:szCs w:val="28"/>
        </w:rPr>
      </w:pPr>
      <w:r>
        <w:rPr>
          <w:rFonts w:hint="eastAsia" w:ascii="宋体" w:hAnsi="宋体" w:eastAsia="宋体" w:cs="宋体"/>
          <w:b/>
          <w:bCs/>
          <w:sz w:val="28"/>
          <w:szCs w:val="28"/>
        </w:rPr>
        <w:t>图4 项目产出的4项三级指标各指标得分率</w:t>
      </w:r>
    </w:p>
    <w:p>
      <w:pPr>
        <w:adjustRightInd/>
        <w:snapToGrid/>
        <w:spacing w:line="240" w:lineRule="auto"/>
        <w:ind w:firstLine="643"/>
        <w:outlineLvl w:val="2"/>
        <w:rPr>
          <w:rFonts w:ascii="仿宋_GB2312" w:hAnsi="Times New Roman" w:cs="Times New Roman"/>
          <w:b/>
          <w:bCs/>
          <w:szCs w:val="24"/>
        </w:rPr>
      </w:pPr>
      <w:r>
        <w:rPr>
          <w:rFonts w:hint="eastAsia" w:ascii="仿宋_GB2312" w:hAnsi="Times New Roman" w:cs="Times New Roman"/>
          <w:b/>
          <w:bCs/>
          <w:szCs w:val="24"/>
        </w:rPr>
        <w:t>1.效果性</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（1）项目能够保障“两个退出”工作的顺利开展，但缺少企业处置收益与安置成本的分析。</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经济</w:t>
      </w:r>
      <w:r>
        <w:rPr>
          <w:rFonts w:ascii="仿宋_GB2312" w:hAnsi="Times New Roman" w:cs="Times New Roman"/>
          <w:szCs w:val="24"/>
        </w:rPr>
        <w:t>效益得分率</w:t>
      </w:r>
      <w:r>
        <w:rPr>
          <w:rFonts w:hint="eastAsia" w:ascii="仿宋_GB2312" w:hAnsi="Times New Roman" w:cs="Times New Roman"/>
          <w:szCs w:val="24"/>
        </w:rPr>
        <w:t>60</w:t>
      </w:r>
      <w:r>
        <w:rPr>
          <w:rFonts w:ascii="仿宋_GB2312" w:hAnsi="Times New Roman" w:cs="Times New Roman"/>
          <w:szCs w:val="24"/>
        </w:rPr>
        <w:t>%。</w:t>
      </w:r>
      <w:r>
        <w:rPr>
          <w:rFonts w:hint="eastAsia" w:ascii="仿宋_GB2312" w:hAnsi="Times New Roman" w:cs="Times New Roman"/>
          <w:szCs w:val="24"/>
        </w:rPr>
        <w:t>建立国有企业破产制度是国有企业改革的一项重要内容，它的成效如何直接影响到市场经济持续健康发展。国有企业关闭破产工作的核心是“人往哪里去，钱从哪里来”，在进行职工安置、做好社会保险接续的同时，还应保障破产财产处置工作，防止国有资产流失。《韶关市国有关闭、破产企业职工分流安置暂行办法》的通知（韶府〔2002〕5号）文件中也明确关闭、破产企业职工安置费用的来源应首先来自于破产关闭企业，不足部分由财政资金进行补贴。但未见企业主管等</w:t>
      </w:r>
      <w:r>
        <w:rPr>
          <w:rFonts w:ascii="仿宋_GB2312" w:hAnsi="Times New Roman" w:cs="Times New Roman"/>
          <w:szCs w:val="24"/>
        </w:rPr>
        <w:t>相关部门</w:t>
      </w:r>
      <w:r>
        <w:rPr>
          <w:rFonts w:hint="eastAsia" w:ascii="仿宋_GB2312" w:hAnsi="Times New Roman" w:cs="Times New Roman"/>
          <w:szCs w:val="24"/>
        </w:rPr>
        <w:t>对于土地收储、资产变现等收益能否偿付安置成本的分析材料，韶关市关闭破产实施进度、计划安排、资金缺口等也不明确。</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（2）项目有利于保障补助对象的基本生活、维护社会稳定，但存在个别投诉行为，社会化管理服务有待加强。</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社会</w:t>
      </w:r>
      <w:r>
        <w:rPr>
          <w:rFonts w:ascii="仿宋_GB2312" w:hAnsi="Times New Roman" w:cs="Times New Roman"/>
          <w:szCs w:val="24"/>
        </w:rPr>
        <w:t>效益得分率</w:t>
      </w:r>
      <w:r>
        <w:rPr>
          <w:rFonts w:hint="eastAsia" w:ascii="仿宋_GB2312" w:hAnsi="Times New Roman" w:cs="Times New Roman"/>
          <w:szCs w:val="24"/>
        </w:rPr>
        <w:t>86.67</w:t>
      </w:r>
      <w:r>
        <w:rPr>
          <w:rFonts w:ascii="仿宋_GB2312" w:hAnsi="Times New Roman" w:cs="Times New Roman"/>
          <w:szCs w:val="24"/>
        </w:rPr>
        <w:t>%。</w:t>
      </w:r>
      <w:r>
        <w:rPr>
          <w:rFonts w:hint="eastAsia" w:ascii="仿宋_GB2312" w:hAnsi="Times New Roman" w:cs="Times New Roman"/>
          <w:szCs w:val="24"/>
        </w:rPr>
        <w:t>医疗保险、养老保险缴费基数和比例按照相关政策文件和韶关市2018年平均工资进行代缴，生活费和生活补贴按照韶关市最低生活补贴标准进行发放，一定程度上能够保障补助对象的基本生活、维护社会稳定。资金及时足额发放，对于资金发放问题无重大投诉上访情况。</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根据现场调研，政策文件出台背景为2002年，当时的国企待遇与现时不同，政府对关闭破产国企职工的补助义务和责任也不同，个别职工要求诉求与现行补助标准存在一定差距，存在个别投诉现象。</w:t>
      </w:r>
    </w:p>
    <w:p>
      <w:pPr>
        <w:adjustRightInd/>
        <w:snapToGrid/>
        <w:spacing w:line="240" w:lineRule="auto"/>
        <w:ind w:firstLine="640"/>
        <w:rPr>
          <w:rFonts w:ascii="仿宋_GB2312" w:hAnsi="Times New Roman" w:cs="Times New Roman"/>
          <w:szCs w:val="24"/>
        </w:rPr>
      </w:pPr>
      <w:bookmarkStart w:id="51" w:name="_Hlk44272738"/>
      <w:r>
        <w:rPr>
          <w:rFonts w:hint="eastAsia" w:ascii="仿宋_GB2312" w:hAnsi="Times New Roman" w:cs="Times New Roman"/>
          <w:szCs w:val="24"/>
        </w:rPr>
        <w:t>关闭破产企业职工社会化管理服务工作尚存在业务数据未畅联互通的问题</w:t>
      </w:r>
      <w:bookmarkEnd w:id="51"/>
      <w:r>
        <w:rPr>
          <w:rFonts w:hint="eastAsia" w:ascii="仿宋_GB2312" w:hAnsi="Times New Roman" w:cs="Times New Roman"/>
          <w:szCs w:val="24"/>
        </w:rPr>
        <w:t>，医保系统中难以查询到缴费年限等相关数据，不利于社会化管理服务工作的开展。</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（3）项目管理办法和工作机制延续性较好，但未见人员结构的分析。</w:t>
      </w:r>
    </w:p>
    <w:p>
      <w:pPr>
        <w:adjustRightInd/>
        <w:snapToGrid/>
        <w:spacing w:line="240" w:lineRule="auto"/>
        <w:ind w:firstLine="640"/>
      </w:pPr>
      <w:r>
        <w:rPr>
          <w:rFonts w:hint="eastAsia" w:ascii="仿宋_GB2312" w:hAnsi="Times New Roman" w:cs="Times New Roman"/>
          <w:szCs w:val="24"/>
        </w:rPr>
        <w:t>可持续</w:t>
      </w:r>
      <w:r>
        <w:rPr>
          <w:rFonts w:ascii="仿宋_GB2312" w:hAnsi="Times New Roman" w:cs="Times New Roman"/>
          <w:szCs w:val="24"/>
        </w:rPr>
        <w:t>发展得分率</w:t>
      </w:r>
      <w:r>
        <w:rPr>
          <w:rFonts w:hint="eastAsia" w:ascii="仿宋_GB2312" w:hAnsi="Times New Roman" w:cs="Times New Roman"/>
          <w:szCs w:val="24"/>
        </w:rPr>
        <w:t>60</w:t>
      </w:r>
      <w:r>
        <w:rPr>
          <w:rFonts w:ascii="仿宋_GB2312" w:hAnsi="Times New Roman" w:cs="Times New Roman"/>
          <w:szCs w:val="24"/>
        </w:rPr>
        <w:t>%。</w:t>
      </w:r>
      <w:r>
        <w:rPr>
          <w:rFonts w:hint="eastAsia" w:ascii="仿宋_GB2312" w:hAnsi="Times New Roman" w:cs="Times New Roman"/>
          <w:szCs w:val="24"/>
        </w:rPr>
        <w:t>企业关闭破产补助政策于2002年开始实施，延续至今已形成一套管理办法及工作机制，包括《韶关市国有关闭、破产企业职工分流安置暂行办法》（韶府〔2002〕5号）、《韶关市关、停、破产及转制单位预缴社会保障资金管理办法》（韶财社〔2003〕78号）等相关制度文件，并根据国家和省相关文件进行制度更新和完善，如《关于转发积极推进我省企业退休人员社会化管理服务工作意见的通知》（韶劳社办〔2007〕69号）等，项目运作基本顺利，有助于解决计划关破企业解决职工安置问题。但未见项目自2002年实施至今对于人员的保有量和结构的数据统计。例如每年各代缴代发费用对应人数，较之前年增加、减少的数量，对应人员具体情况的总结等。</w:t>
      </w:r>
    </w:p>
    <w:p>
      <w:pPr>
        <w:adjustRightInd/>
        <w:snapToGrid/>
        <w:spacing w:line="240" w:lineRule="auto"/>
        <w:ind w:firstLine="643"/>
        <w:outlineLvl w:val="2"/>
        <w:rPr>
          <w:rFonts w:ascii="仿宋_GB2312" w:hAnsi="Times New Roman" w:cs="Times New Roman"/>
          <w:b/>
          <w:bCs/>
          <w:szCs w:val="24"/>
        </w:rPr>
      </w:pPr>
      <w:r>
        <w:rPr>
          <w:rFonts w:hint="eastAsia" w:ascii="仿宋_GB2312" w:hAnsi="Times New Roman" w:cs="Times New Roman"/>
          <w:b/>
          <w:bCs/>
          <w:szCs w:val="24"/>
        </w:rPr>
        <w:t>2.公平性</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满意度</w:t>
      </w:r>
      <w:r>
        <w:rPr>
          <w:rFonts w:ascii="仿宋_GB2312" w:hAnsi="Times New Roman" w:cs="Times New Roman"/>
          <w:szCs w:val="24"/>
        </w:rPr>
        <w:t>得分率</w:t>
      </w:r>
      <w:r>
        <w:rPr>
          <w:rFonts w:hint="eastAsia" w:ascii="仿宋_GB2312" w:hAnsi="Times New Roman" w:cs="Times New Roman"/>
          <w:szCs w:val="24"/>
        </w:rPr>
        <w:t>80</w:t>
      </w:r>
      <w:r>
        <w:rPr>
          <w:rFonts w:ascii="仿宋_GB2312" w:hAnsi="Times New Roman" w:cs="Times New Roman"/>
          <w:szCs w:val="24"/>
        </w:rPr>
        <w:t>%。</w:t>
      </w:r>
      <w:r>
        <w:rPr>
          <w:rFonts w:hint="eastAsia" w:ascii="仿宋_GB2312" w:hAnsi="Times New Roman" w:cs="Times New Roman"/>
          <w:szCs w:val="24"/>
        </w:rPr>
        <w:t>中大咨询对亿能公司5年内退休人员进行了电话回访，回访普遍反馈养老保险和医疗保险均及时代缴、生活费和生活补贴均及时发放。但其中部分人员对补助标准不太满意，认为依据的政策文件较老，与现时物价水平存在差异。</w:t>
      </w:r>
    </w:p>
    <w:p>
      <w:pPr>
        <w:pStyle w:val="2"/>
        <w:spacing w:line="240" w:lineRule="auto"/>
        <w:ind w:firstLine="640"/>
      </w:pPr>
      <w:bookmarkStart w:id="52" w:name="_Toc21995526"/>
      <w:bookmarkStart w:id="53" w:name="_Toc19623162"/>
      <w:bookmarkStart w:id="54" w:name="_Toc54077313"/>
      <w:bookmarkStart w:id="55" w:name="_Toc21995294"/>
      <w:r>
        <w:rPr>
          <w:rFonts w:hint="eastAsia"/>
        </w:rPr>
        <w:t>三、评价结论</w:t>
      </w:r>
      <w:bookmarkEnd w:id="52"/>
      <w:bookmarkEnd w:id="53"/>
      <w:bookmarkEnd w:id="54"/>
      <w:bookmarkEnd w:id="55"/>
    </w:p>
    <w:p>
      <w:pPr>
        <w:adjustRightInd/>
        <w:snapToGrid/>
        <w:spacing w:line="240" w:lineRule="auto"/>
        <w:ind w:firstLine="640"/>
        <w:rPr>
          <w:rFonts w:ascii="仿宋_GB2312" w:hAnsi="Times New Roman"/>
          <w:color w:val="000000" w:themeColor="text1"/>
          <w:szCs w:val="32"/>
          <w14:textFill>
            <w14:solidFill>
              <w14:schemeClr w14:val="tx1"/>
            </w14:solidFill>
          </w14:textFill>
        </w:rPr>
      </w:pPr>
      <w:r>
        <w:rPr>
          <w:rFonts w:hint="eastAsia" w:ascii="仿宋_GB2312" w:hAnsi="Times New Roman" w:cs="Times New Roman"/>
          <w:szCs w:val="24"/>
        </w:rPr>
        <w:t>综上，基于现有评价材料，结合书面评价、现场调研情况，韶关市2019年度企业关闭破产补助项目绩效评价得分为85.33分，绩效等级均为“良”。</w:t>
      </w:r>
      <w:bookmarkStart w:id="56" w:name="_Hlk44396766"/>
      <w:r>
        <w:rPr>
          <w:rFonts w:hint="eastAsia" w:ascii="仿宋_GB2312" w:hAnsi="Times New Roman" w:cs="Times New Roman"/>
          <w:szCs w:val="24"/>
        </w:rPr>
        <w:t>项目目标基本完成，市社保局及时足额代缴养老和医疗保险、发放生活费和生活补贴，有力保障了“两个退出”工作的顺利开展，保障了补助对象的基本生活，维护了社会稳定和谐。</w:t>
      </w:r>
      <w:bookmarkEnd w:id="56"/>
    </w:p>
    <w:p>
      <w:pPr>
        <w:pStyle w:val="2"/>
        <w:spacing w:line="240" w:lineRule="auto"/>
        <w:ind w:firstLine="640"/>
      </w:pPr>
      <w:bookmarkStart w:id="57" w:name="_Toc54077314"/>
      <w:r>
        <w:rPr>
          <w:rFonts w:hint="eastAsia"/>
        </w:rPr>
        <w:t>四、主要绩效</w:t>
      </w:r>
      <w:bookmarkEnd w:id="57"/>
    </w:p>
    <w:p>
      <w:pPr>
        <w:adjustRightInd/>
        <w:snapToGrid/>
        <w:spacing w:line="240" w:lineRule="auto"/>
        <w:ind w:firstLine="640"/>
        <w:outlineLvl w:val="1"/>
        <w:rPr>
          <w:rFonts w:ascii="楷体_GB2312" w:hAnsi="楷体_GB2312" w:eastAsia="楷体_GB2312" w:cs="楷体_GB2312"/>
        </w:rPr>
      </w:pPr>
      <w:bookmarkStart w:id="58" w:name="_Toc54077315"/>
      <w:r>
        <w:rPr>
          <w:rFonts w:hint="eastAsia" w:ascii="楷体_GB2312" w:hAnsi="楷体_GB2312" w:eastAsia="楷体_GB2312" w:cs="楷体_GB2312"/>
        </w:rPr>
        <w:t>（一）保障了“两个退出”工作顺利开展。</w:t>
      </w:r>
      <w:bookmarkEnd w:id="58"/>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项目对困难的国有企业自筹和社会筹集不足的部分，经劳动保障部门和财政部门审核后，由财政给予保证，以确保国有企业下岗职工基本生活费的发放。项目实施有力保障了国有资本从竞争性行业退出、国有劣势企业从市场退出的工作中的人员稳定，促进了市场资源的优化配置和经济结构的调整。</w:t>
      </w:r>
    </w:p>
    <w:p>
      <w:pPr>
        <w:adjustRightInd/>
        <w:snapToGrid/>
        <w:spacing w:line="240" w:lineRule="auto"/>
        <w:ind w:firstLine="640"/>
        <w:outlineLvl w:val="1"/>
        <w:rPr>
          <w:rFonts w:ascii="楷体_GB2312" w:hAnsi="楷体_GB2312" w:eastAsia="楷体_GB2312" w:cs="楷体_GB2312"/>
        </w:rPr>
      </w:pPr>
      <w:bookmarkStart w:id="59" w:name="_Toc54077316"/>
      <w:r>
        <w:rPr>
          <w:rFonts w:hint="eastAsia" w:ascii="楷体_GB2312" w:hAnsi="楷体_GB2312" w:eastAsia="楷体_GB2312" w:cs="楷体_GB2312"/>
        </w:rPr>
        <w:t>（二）保障补助对象基本生活，推动社会大局的稳定。</w:t>
      </w:r>
      <w:bookmarkEnd w:id="59"/>
    </w:p>
    <w:p>
      <w:pPr>
        <w:adjustRightInd/>
        <w:snapToGrid/>
        <w:spacing w:line="240" w:lineRule="auto"/>
        <w:ind w:firstLine="640"/>
        <w:rPr>
          <w:rFonts w:ascii="仿宋_GB2312" w:hAnsi="Times New Roman" w:cs="Times New Roman"/>
          <w:szCs w:val="24"/>
        </w:rPr>
      </w:pPr>
      <w:r>
        <w:rPr>
          <w:rFonts w:hint="eastAsia"/>
          <w:color w:val="333333"/>
        </w:rPr>
        <w:t>企业关闭破产有关政策，对维护广大职工群众切身利益，保持企业和社会稳定，发挥了重要作用。</w:t>
      </w:r>
      <w:r>
        <w:rPr>
          <w:rFonts w:hint="eastAsia" w:ascii="仿宋_GB2312" w:hAnsi="Times New Roman" w:cs="Times New Roman"/>
          <w:szCs w:val="24"/>
        </w:rPr>
        <w:t>项目2019年的各费用基数根据韶关市2019年平均工资和最低生活费情况，结合《韶关市人民政府关于阶段性下调城镇职工医保单位缴费率的通知》（韶府〔2018〕18号）、《关于公布2018年社会保险年度企业职工基本养老保险基数的通知》（粤人社发〔2018〕107号）等相关政策文件进行实时调整。该费用标准下，能为补助对象的基本生活提供必要保障，维护和保障了其基本生存权，有效推动了社会大局的稳定。</w:t>
      </w:r>
    </w:p>
    <w:p>
      <w:pPr>
        <w:adjustRightInd/>
        <w:snapToGrid/>
        <w:spacing w:line="240" w:lineRule="auto"/>
        <w:ind w:firstLine="640"/>
        <w:outlineLvl w:val="1"/>
        <w:rPr>
          <w:rFonts w:ascii="楷体_GB2312" w:hAnsi="楷体_GB2312" w:eastAsia="楷体_GB2312" w:cs="楷体_GB2312"/>
        </w:rPr>
      </w:pPr>
      <w:bookmarkStart w:id="60" w:name="_Toc54077317"/>
      <w:r>
        <w:rPr>
          <w:rFonts w:hint="eastAsia" w:ascii="楷体_GB2312" w:hAnsi="楷体_GB2312" w:eastAsia="楷体_GB2312" w:cs="楷体_GB2312"/>
        </w:rPr>
        <w:t>（三）促进社会公平，体现与民共享发展成果。</w:t>
      </w:r>
      <w:bookmarkEnd w:id="60"/>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建国以来，国有企业对国家经济发挥了重要作用，尤其资源型国有企业不但为税收作出了重大贡献，更是我国支柱产业的的重要支撑。我国经济高速发展离不开一系列的改革举措，将改革发展带来的税收增长，一部分用于对关闭破产企业职工进行补助的民生项目，有利于促进社会公平，也使得关闭破产企业职工能共享祖国发展成果。</w:t>
      </w:r>
    </w:p>
    <w:p>
      <w:pPr>
        <w:pStyle w:val="2"/>
        <w:spacing w:line="240" w:lineRule="auto"/>
        <w:ind w:firstLine="640"/>
      </w:pPr>
      <w:bookmarkStart w:id="61" w:name="_Toc21995527"/>
      <w:bookmarkStart w:id="62" w:name="_Toc19623163"/>
      <w:bookmarkStart w:id="63" w:name="_Toc21995295"/>
      <w:bookmarkStart w:id="64" w:name="_Toc54077318"/>
      <w:r>
        <w:rPr>
          <w:rFonts w:hint="eastAsia"/>
        </w:rPr>
        <w:t>五、</w:t>
      </w:r>
      <w:bookmarkEnd w:id="61"/>
      <w:bookmarkEnd w:id="62"/>
      <w:bookmarkEnd w:id="63"/>
      <w:r>
        <w:rPr>
          <w:rFonts w:hint="eastAsia"/>
        </w:rPr>
        <w:t>存在问题</w:t>
      </w:r>
      <w:bookmarkEnd w:id="64"/>
    </w:p>
    <w:p>
      <w:pPr>
        <w:adjustRightInd/>
        <w:snapToGrid/>
        <w:spacing w:line="240" w:lineRule="auto"/>
        <w:ind w:firstLine="640"/>
        <w:outlineLvl w:val="1"/>
        <w:rPr>
          <w:rFonts w:hint="eastAsia" w:ascii="楷体_GB2312" w:hAnsi="楷体_GB2312" w:eastAsia="楷体_GB2312" w:cs="楷体_GB2312"/>
          <w:lang w:eastAsia="zh-CN"/>
        </w:rPr>
      </w:pPr>
      <w:bookmarkStart w:id="65" w:name="_Toc21995297"/>
      <w:bookmarkStart w:id="66" w:name="_Toc24326304"/>
      <w:bookmarkStart w:id="67" w:name="_Toc21995529"/>
      <w:bookmarkStart w:id="68" w:name="_Toc19623165"/>
      <w:bookmarkStart w:id="69" w:name="_Toc45180557"/>
      <w:bookmarkStart w:id="70" w:name="_Toc54077319"/>
      <w:bookmarkStart w:id="71" w:name="_Toc19623164"/>
      <w:bookmarkStart w:id="72" w:name="_Toc24326303"/>
      <w:bookmarkStart w:id="73" w:name="_Toc21995296"/>
      <w:bookmarkStart w:id="74" w:name="_Toc21995528"/>
      <w:r>
        <w:rPr>
          <w:rFonts w:hint="eastAsia" w:ascii="楷体_GB2312" w:hAnsi="楷体_GB2312" w:eastAsia="楷体_GB2312" w:cs="楷体_GB2312"/>
        </w:rPr>
        <w:t>（一）</w:t>
      </w:r>
      <w:bookmarkEnd w:id="65"/>
      <w:bookmarkEnd w:id="66"/>
      <w:bookmarkEnd w:id="67"/>
      <w:bookmarkEnd w:id="68"/>
      <w:r>
        <w:rPr>
          <w:rFonts w:hint="eastAsia" w:ascii="楷体_GB2312" w:hAnsi="楷体_GB2312" w:eastAsia="楷体_GB2312" w:cs="楷体_GB2312"/>
        </w:rPr>
        <w:t>监管联动机制有待提高，部门工作衔接不够高效</w:t>
      </w:r>
      <w:bookmarkEnd w:id="69"/>
      <w:bookmarkEnd w:id="70"/>
      <w:r>
        <w:rPr>
          <w:rFonts w:hint="eastAsia" w:ascii="楷体_GB2312" w:hAnsi="楷体_GB2312" w:eastAsia="楷体_GB2312" w:cs="楷体_GB2312"/>
          <w:lang w:eastAsia="zh-CN"/>
        </w:rPr>
        <w:t>。</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1.企业主管部门未对职工安置方案及企业处置收益进行分析，难以保障安置方案的合理性。</w:t>
      </w:r>
    </w:p>
    <w:p>
      <w:pPr>
        <w:adjustRightInd/>
        <w:snapToGrid/>
        <w:spacing w:line="240" w:lineRule="auto"/>
        <w:ind w:firstLine="643"/>
        <w:rPr>
          <w:rFonts w:ascii="仿宋_GB2312" w:hAnsi="Times New Roman" w:cs="Times New Roman"/>
          <w:szCs w:val="24"/>
        </w:rPr>
      </w:pPr>
      <w:r>
        <w:rPr>
          <w:rFonts w:hint="eastAsia" w:ascii="仿宋_GB2312" w:hAnsi="Times New Roman" w:cs="Times New Roman"/>
          <w:b/>
          <w:szCs w:val="24"/>
        </w:rPr>
        <w:t>安置方案及相关材料仅解决了“人往哪里去”的问题，未明确“钱从哪里来”，更未见对于土地收储、资产变现等收益能否偿付安置成本的分析材料。</w:t>
      </w:r>
      <w:r>
        <w:rPr>
          <w:rFonts w:hint="eastAsia" w:ascii="仿宋_GB2312" w:hAnsi="Times New Roman" w:cs="Times New Roman"/>
          <w:szCs w:val="24"/>
        </w:rPr>
        <w:t>根据《韶关市国有关闭、破产企业职工分流安置暂行办法》（韶府〔2002〕5号），关闭破产企业用于安置职工的费用应首先来源于企业破产清算或子企业资产变现，不足部分由财政适当补贴。该文规定“在企业上报后，企业主管部门应对安置方案进行可行性分析”。据现场核查及访谈，两个企业安置方案由企业制定，工贸公司审核后上报市国资委，公示后，报市政府审批，然后再报市人社局核准核发。未见工贸公司（企业主管部门）对其安置方案开展可行性分析，安置方案合理性有待论证。</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2.</w:t>
      </w:r>
      <w:bookmarkStart w:id="75" w:name="_Hlk44316215"/>
      <w:r>
        <w:rPr>
          <w:rFonts w:hint="eastAsia" w:ascii="仿宋_GB2312" w:hAnsi="Times New Roman" w:cs="Times New Roman"/>
          <w:szCs w:val="24"/>
        </w:rPr>
        <w:t>未与国资委衔接“两个退出”进程，实际实施的关闭破产企业与年初预计实施的企业存在差异，影响了预算编制的准确性。</w:t>
      </w:r>
      <w:bookmarkEnd w:id="75"/>
    </w:p>
    <w:p>
      <w:pPr>
        <w:adjustRightInd/>
        <w:snapToGrid/>
        <w:spacing w:line="240" w:lineRule="auto"/>
        <w:ind w:firstLine="643"/>
        <w:rPr>
          <w:rFonts w:ascii="仿宋_GB2312" w:hAnsi="Times New Roman" w:cs="Times New Roman"/>
          <w:szCs w:val="24"/>
        </w:rPr>
      </w:pPr>
      <w:r>
        <w:rPr>
          <w:rFonts w:hint="eastAsia" w:ascii="仿宋_GB2312" w:hAnsi="Times New Roman" w:cs="Times New Roman"/>
          <w:b/>
          <w:szCs w:val="24"/>
        </w:rPr>
        <w:t>关闭破产企业计划与实际实施数量存在差异，影响预算编制的准确。</w:t>
      </w:r>
      <w:r>
        <w:rPr>
          <w:rFonts w:hint="eastAsia" w:ascii="仿宋_GB2312" w:hAnsi="Times New Roman" w:cs="Times New Roman"/>
          <w:szCs w:val="24"/>
        </w:rPr>
        <w:t>根据《2019年度市关闭破产企业资金预算审核表》及《预计2019年市直新增关闭、破产、转制企业情况明细表》，2019年预计新增关闭破产企业6家，申请预算资金11595万元。但由于实际仅执行新增了2家关闭破产企业，实际支出金额11265.99万元，资金支出率为97.16%。</w:t>
      </w:r>
    </w:p>
    <w:p>
      <w:pPr>
        <w:adjustRightInd/>
        <w:snapToGrid/>
        <w:spacing w:line="240" w:lineRule="auto"/>
        <w:ind w:firstLine="643"/>
        <w:rPr>
          <w:rFonts w:ascii="仿宋_GB2312" w:hAnsi="Times New Roman" w:cs="Times New Roman"/>
          <w:szCs w:val="24"/>
        </w:rPr>
      </w:pPr>
      <w:r>
        <w:rPr>
          <w:rFonts w:hint="eastAsia" w:ascii="仿宋_GB2312" w:hAnsi="Times New Roman" w:cs="Times New Roman"/>
          <w:b/>
          <w:szCs w:val="24"/>
        </w:rPr>
        <w:t>市社保局与国资委之间相关对接不足，导致预算编制不准确。</w:t>
      </w:r>
      <w:r>
        <w:rPr>
          <w:rFonts w:hint="eastAsia" w:ascii="仿宋_GB2312" w:hAnsi="Times New Roman" w:cs="Times New Roman"/>
          <w:szCs w:val="24"/>
        </w:rPr>
        <w:t>“两个退出”的工作整体规划由国资委负责，但未见两部门（市社保局和国资委）对于韶关市关闭破产企业的整体规划、实施进度和资金缺口进行对接。因此，关闭破产企业补助仅以年度进行工作计划，对于未来的工作预测和指导稍显不足。事实上，年度工作计划对接上，也存在实际实施的关闭破产企业数与年初预计实施的企业数不同，导致预算编制不够准确的现实影响。</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3.项目监管力度不够，存在错发漏发风险。</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一是市人社局相关监管工作执行不足。①根据人社部发〔2009〕52号文</w:t>
      </w:r>
      <w:r>
        <w:rPr>
          <w:rStyle w:val="40"/>
          <w:rFonts w:ascii="仿宋_GB2312" w:hAnsi="Times New Roman" w:cs="Times New Roman"/>
          <w:szCs w:val="24"/>
        </w:rPr>
        <w:footnoteReference w:id="3"/>
      </w:r>
      <w:r>
        <w:rPr>
          <w:rFonts w:hint="eastAsia" w:ascii="仿宋_GB2312" w:hAnsi="Times New Roman" w:cs="Times New Roman"/>
          <w:szCs w:val="24"/>
        </w:rPr>
        <w:t>，市人社局应对企业开展调查，防止有缴费能力的企业</w:t>
      </w:r>
      <w:r>
        <w:rPr>
          <w:rFonts w:ascii="仿宋_GB2312" w:hAnsi="Times New Roman" w:cs="Times New Roman"/>
          <w:szCs w:val="24"/>
        </w:rPr>
        <w:t>逃避</w:t>
      </w:r>
      <w:r>
        <w:rPr>
          <w:rFonts w:hint="eastAsia" w:ascii="仿宋_GB2312" w:hAnsi="Times New Roman" w:cs="Times New Roman"/>
          <w:szCs w:val="24"/>
        </w:rPr>
        <w:t>为职工缴纳医</w:t>
      </w:r>
      <w:r>
        <w:rPr>
          <w:rFonts w:ascii="仿宋_GB2312" w:hAnsi="Times New Roman" w:cs="Times New Roman"/>
          <w:szCs w:val="24"/>
        </w:rPr>
        <w:t>保的责任</w:t>
      </w:r>
      <w:r>
        <w:rPr>
          <w:rFonts w:hint="eastAsia" w:ascii="仿宋_GB2312" w:hAnsi="Times New Roman" w:cs="Times New Roman"/>
          <w:szCs w:val="24"/>
        </w:rPr>
        <w:t>，但未见相关佐证。②根据韶劳社办〔2007〕69号文</w:t>
      </w:r>
      <w:r>
        <w:rPr>
          <w:rStyle w:val="40"/>
          <w:rFonts w:ascii="仿宋_GB2312" w:hAnsi="Times New Roman" w:cs="Times New Roman"/>
          <w:szCs w:val="24"/>
        </w:rPr>
        <w:footnoteReference w:id="4"/>
      </w:r>
      <w:r>
        <w:rPr>
          <w:rFonts w:hint="eastAsia" w:ascii="仿宋_GB2312" w:hAnsi="Times New Roman" w:cs="Times New Roman"/>
          <w:szCs w:val="24"/>
        </w:rPr>
        <w:t>，企业退休人员的日常管理服务工作应实行社会化管理服务，如企业退休人员社会化管理科对下属十四个街道社会代缴代付工作开展检查、监控和督促整改的过程材料等，但未见相关佐证。</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二是资金补助对象的真实性和准确性由不同部门进行监管，存在一定的信息风险。项目由国资委对安置人员的真实性进行核验，规避冒领顶替的风险；由民政局对正常减员情况进行统计，规避多发风险；由市社保局对人员信息真实性进行核对，规避错发风险。监管职能的分离可能导致由于信息沟通不畅而产生多发、发错等风险。</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三是未见项目自2002年实施至今对于</w:t>
      </w:r>
      <w:bookmarkStart w:id="76" w:name="_Hlk54026226"/>
      <w:r>
        <w:rPr>
          <w:rFonts w:hint="eastAsia" w:ascii="仿宋_GB2312" w:hAnsi="Times New Roman" w:cs="Times New Roman"/>
          <w:szCs w:val="24"/>
        </w:rPr>
        <w:t>人员的保有量和结构</w:t>
      </w:r>
      <w:bookmarkEnd w:id="76"/>
      <w:r>
        <w:rPr>
          <w:rFonts w:hint="eastAsia" w:ascii="仿宋_GB2312" w:hAnsi="Times New Roman" w:cs="Times New Roman"/>
          <w:szCs w:val="24"/>
        </w:rPr>
        <w:t>的数据统计。例如每年各代缴代发费用对应人数，较之前年增加、减少的数量，对应人员具体情况等，未见相关统计分析。</w:t>
      </w:r>
    </w:p>
    <w:p>
      <w:pPr>
        <w:adjustRightInd/>
        <w:snapToGrid/>
        <w:spacing w:line="240" w:lineRule="auto"/>
        <w:ind w:firstLine="640"/>
        <w:outlineLvl w:val="1"/>
        <w:rPr>
          <w:rFonts w:hint="eastAsia" w:ascii="楷体_GB2312" w:hAnsi="楷体_GB2312" w:eastAsia="楷体_GB2312" w:cs="楷体_GB2312"/>
          <w:lang w:eastAsia="zh-CN"/>
        </w:rPr>
      </w:pPr>
      <w:bookmarkStart w:id="77" w:name="_Toc45180559"/>
      <w:bookmarkStart w:id="78" w:name="_Toc54077320"/>
      <w:r>
        <w:rPr>
          <w:rFonts w:hint="eastAsia" w:ascii="楷体_GB2312" w:hAnsi="楷体_GB2312" w:eastAsia="楷体_GB2312" w:cs="楷体_GB2312"/>
        </w:rPr>
        <w:t>（二）会计核算规范有待加强</w:t>
      </w:r>
      <w:bookmarkEnd w:id="77"/>
      <w:r>
        <w:rPr>
          <w:rFonts w:hint="eastAsia" w:ascii="楷体_GB2312" w:hAnsi="楷体_GB2312" w:eastAsia="楷体_GB2312" w:cs="楷体_GB2312"/>
        </w:rPr>
        <w:t>，资金</w:t>
      </w:r>
      <w:r>
        <w:rPr>
          <w:rFonts w:ascii="楷体_GB2312" w:hAnsi="楷体_GB2312" w:eastAsia="楷体_GB2312" w:cs="楷体_GB2312"/>
        </w:rPr>
        <w:t>使用</w:t>
      </w:r>
      <w:r>
        <w:rPr>
          <w:rFonts w:hint="eastAsia" w:ascii="楷体_GB2312" w:hAnsi="楷体_GB2312" w:eastAsia="楷体_GB2312" w:cs="楷体_GB2312"/>
        </w:rPr>
        <w:t>安全难以</w:t>
      </w:r>
      <w:r>
        <w:rPr>
          <w:rFonts w:ascii="楷体_GB2312" w:hAnsi="楷体_GB2312" w:eastAsia="楷体_GB2312" w:cs="楷体_GB2312"/>
        </w:rPr>
        <w:t>保障</w:t>
      </w:r>
      <w:bookmarkEnd w:id="78"/>
      <w:r>
        <w:rPr>
          <w:rFonts w:hint="eastAsia" w:ascii="楷体_GB2312" w:hAnsi="楷体_GB2312" w:eastAsia="楷体_GB2312" w:cs="楷体_GB2312"/>
          <w:lang w:eastAsia="zh-CN"/>
        </w:rPr>
        <w:t>。</w:t>
      </w:r>
    </w:p>
    <w:p>
      <w:pPr>
        <w:adjustRightInd/>
        <w:snapToGrid/>
        <w:spacing w:line="240" w:lineRule="auto"/>
        <w:ind w:firstLine="640"/>
        <w:rPr>
          <w:rFonts w:ascii="仿宋_GB2312" w:hAnsi="Times New Roman" w:cs="Times New Roman"/>
          <w:color w:val="auto"/>
          <w:szCs w:val="24"/>
        </w:rPr>
      </w:pPr>
      <w:r>
        <w:rPr>
          <w:rFonts w:hint="eastAsia" w:ascii="仿宋_GB2312" w:hAnsi="Times New Roman" w:cs="Times New Roman"/>
          <w:szCs w:val="24"/>
        </w:rPr>
        <w:t>一是会计核算规范性须加强。据现场财务凭证核查，2019年度的生活补贴费发放的记账凭证后附为向财政归垫的付款回单，实际发放到个人的银行批量付款的总回单未放至账本中，不符合</w:t>
      </w:r>
      <w:r>
        <w:rPr>
          <w:rFonts w:hint="eastAsia" w:ascii="仿宋_GB2312" w:hAnsi="Times New Roman" w:cs="Times New Roman"/>
          <w:color w:val="auto"/>
          <w:szCs w:val="24"/>
        </w:rPr>
        <w:t>《中华人民共和国会计法》第十四条</w:t>
      </w:r>
      <w:r>
        <w:rPr>
          <w:rStyle w:val="40"/>
          <w:rFonts w:ascii="仿宋_GB2312" w:hAnsi="Times New Roman" w:cs="Times New Roman"/>
          <w:color w:val="auto"/>
          <w:szCs w:val="24"/>
        </w:rPr>
        <w:footnoteReference w:id="5"/>
      </w:r>
      <w:r>
        <w:rPr>
          <w:rFonts w:hint="eastAsia" w:ascii="仿宋_GB2312" w:hAnsi="Times New Roman" w:cs="Times New Roman"/>
          <w:color w:val="auto"/>
          <w:szCs w:val="24"/>
        </w:rPr>
        <w:t>的有关规定。</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color w:val="auto"/>
          <w:szCs w:val="24"/>
        </w:rPr>
        <w:t>二是</w:t>
      </w:r>
      <w:r>
        <w:rPr>
          <w:rFonts w:hint="eastAsia" w:ascii="仿宋_GB2312" w:hAnsi="Times New Roman" w:cs="Times New Roman"/>
          <w:color w:val="auto"/>
          <w:szCs w:val="24"/>
          <w:lang w:eastAsia="zh-CN"/>
        </w:rPr>
        <w:t>资金拨付存在隐患</w:t>
      </w:r>
      <w:r>
        <w:rPr>
          <w:rFonts w:hint="eastAsia" w:ascii="仿宋_GB2312" w:hAnsi="Times New Roman" w:cs="Times New Roman"/>
          <w:color w:val="auto"/>
          <w:szCs w:val="24"/>
        </w:rPr>
        <w:t>。由于每年人大批准相关预算</w:t>
      </w:r>
      <w:r>
        <w:rPr>
          <w:rFonts w:hint="eastAsia" w:ascii="仿宋_GB2312" w:hAnsi="Times New Roman" w:cs="Times New Roman"/>
          <w:color w:val="auto"/>
          <w:szCs w:val="24"/>
          <w:lang w:eastAsia="zh-CN"/>
        </w:rPr>
        <w:t>预计</w:t>
      </w:r>
      <w:r>
        <w:rPr>
          <w:rFonts w:hint="eastAsia" w:ascii="仿宋_GB2312" w:hAnsi="Times New Roman" w:cs="Times New Roman"/>
          <w:color w:val="auto"/>
          <w:szCs w:val="24"/>
        </w:rPr>
        <w:t>在</w:t>
      </w:r>
      <w:r>
        <w:rPr>
          <w:rFonts w:hint="eastAsia" w:ascii="仿宋_GB2312" w:hAnsi="Times New Roman" w:cs="Times New Roman"/>
          <w:color w:val="auto"/>
          <w:szCs w:val="24"/>
          <w:lang w:val="en-US" w:eastAsia="zh-CN"/>
        </w:rPr>
        <w:t>2</w:t>
      </w:r>
      <w:r>
        <w:rPr>
          <w:rFonts w:hint="eastAsia" w:ascii="仿宋_GB2312" w:hAnsi="Times New Roman" w:cs="Times New Roman"/>
          <w:color w:val="auto"/>
          <w:szCs w:val="24"/>
        </w:rPr>
        <w:t>月</w:t>
      </w:r>
      <w:r>
        <w:rPr>
          <w:rFonts w:hint="eastAsia" w:ascii="仿宋_GB2312" w:hAnsi="Times New Roman" w:cs="Times New Roman"/>
          <w:color w:val="auto"/>
          <w:szCs w:val="24"/>
          <w:lang w:eastAsia="zh-CN"/>
        </w:rPr>
        <w:t>份左右</w:t>
      </w:r>
      <w:r>
        <w:rPr>
          <w:rFonts w:hint="eastAsia" w:ascii="仿宋_GB2312" w:hAnsi="Times New Roman" w:cs="Times New Roman"/>
          <w:color w:val="auto"/>
          <w:szCs w:val="24"/>
        </w:rPr>
        <w:t>，1月为保证企业关闭破产相关人员医保费、养老费的缴交和生活费、生活补贴依时发放，市社保局使用财政资金先行垫付发放养老金，再从安置账户中归垫。在预算未获批复的情况下</w:t>
      </w:r>
      <w:r>
        <w:rPr>
          <w:rFonts w:hint="eastAsia" w:ascii="仿宋_GB2312" w:hAnsi="Times New Roman" w:cs="Times New Roman"/>
          <w:color w:val="auto"/>
          <w:szCs w:val="24"/>
          <w:lang w:eastAsia="zh-CN"/>
        </w:rPr>
        <w:t>，</w:t>
      </w:r>
      <w:r>
        <w:rPr>
          <w:rFonts w:hint="eastAsia" w:ascii="仿宋_GB2312" w:hAnsi="Times New Roman" w:cs="Times New Roman"/>
          <w:color w:val="auto"/>
          <w:szCs w:val="24"/>
        </w:rPr>
        <w:t>提前申请资金</w:t>
      </w:r>
      <w:bookmarkStart w:id="116" w:name="_GoBack"/>
      <w:bookmarkEnd w:id="116"/>
      <w:r>
        <w:rPr>
          <w:rFonts w:hint="eastAsia" w:ascii="仿宋_GB2312" w:hAnsi="Times New Roman" w:cs="Times New Roman"/>
          <w:color w:val="auto"/>
          <w:szCs w:val="24"/>
          <w:lang w:eastAsia="zh-CN"/>
        </w:rPr>
        <w:t>总量</w:t>
      </w:r>
      <w:r>
        <w:rPr>
          <w:rFonts w:hint="eastAsia" w:ascii="仿宋_GB2312" w:hAnsi="Times New Roman" w:cs="Times New Roman"/>
          <w:color w:val="auto"/>
          <w:szCs w:val="24"/>
        </w:rPr>
        <w:t>80%</w:t>
      </w:r>
      <w:r>
        <w:rPr>
          <w:rFonts w:hint="eastAsia" w:ascii="仿宋_GB2312" w:hAnsi="Times New Roman" w:cs="Times New Roman"/>
          <w:color w:val="auto"/>
          <w:szCs w:val="24"/>
          <w:lang w:eastAsia="zh-CN"/>
        </w:rPr>
        <w:t>，比例较高，</w:t>
      </w:r>
      <w:r>
        <w:rPr>
          <w:rFonts w:hint="eastAsia" w:ascii="仿宋_GB2312" w:hAnsi="Times New Roman" w:cs="Times New Roman"/>
          <w:color w:val="auto"/>
          <w:szCs w:val="24"/>
        </w:rPr>
        <w:t>存在一定的资金隐患，会有被挪用的风险</w:t>
      </w:r>
      <w:r>
        <w:rPr>
          <w:rFonts w:hint="eastAsia" w:ascii="仿宋_GB2312" w:hAnsi="Times New Roman" w:cs="Times New Roman"/>
          <w:color w:val="auto"/>
          <w:szCs w:val="24"/>
          <w:lang w:eastAsia="zh-CN"/>
        </w:rPr>
        <w:t>。</w:t>
      </w:r>
      <w:r>
        <w:rPr>
          <w:rFonts w:hint="eastAsia" w:ascii="仿宋_GB2312" w:hAnsi="Times New Roman" w:cs="Times New Roman"/>
          <w:color w:val="auto"/>
          <w:szCs w:val="24"/>
        </w:rPr>
        <w:t>同时，占用了财政资金，降低市级财政资金调配周转效</w:t>
      </w:r>
      <w:r>
        <w:rPr>
          <w:rFonts w:hint="eastAsia" w:ascii="仿宋_GB2312" w:hAnsi="Times New Roman" w:cs="Times New Roman"/>
          <w:szCs w:val="24"/>
        </w:rPr>
        <w:t>率。</w:t>
      </w:r>
    </w:p>
    <w:bookmarkEnd w:id="71"/>
    <w:bookmarkEnd w:id="72"/>
    <w:bookmarkEnd w:id="73"/>
    <w:bookmarkEnd w:id="74"/>
    <w:p>
      <w:pPr>
        <w:adjustRightInd/>
        <w:snapToGrid/>
        <w:spacing w:line="240" w:lineRule="auto"/>
        <w:ind w:firstLine="640"/>
        <w:outlineLvl w:val="1"/>
        <w:rPr>
          <w:rFonts w:hint="eastAsia" w:ascii="楷体_GB2312" w:hAnsi="楷体_GB2312" w:eastAsia="楷体_GB2312" w:cs="楷体_GB2312"/>
          <w:lang w:eastAsia="zh-CN"/>
        </w:rPr>
      </w:pPr>
      <w:bookmarkStart w:id="79" w:name="_Toc24326305"/>
      <w:bookmarkStart w:id="80" w:name="_Toc21995530"/>
      <w:bookmarkStart w:id="81" w:name="_Toc21995298"/>
      <w:bookmarkStart w:id="82" w:name="_Toc45180560"/>
      <w:bookmarkStart w:id="83" w:name="_Toc54077321"/>
      <w:r>
        <w:rPr>
          <w:rFonts w:hint="eastAsia" w:ascii="楷体_GB2312" w:hAnsi="楷体_GB2312" w:eastAsia="楷体_GB2312" w:cs="楷体_GB2312"/>
        </w:rPr>
        <w:t>（三）</w:t>
      </w:r>
      <w:bookmarkEnd w:id="79"/>
      <w:bookmarkEnd w:id="80"/>
      <w:bookmarkEnd w:id="81"/>
      <w:r>
        <w:rPr>
          <w:rFonts w:hint="eastAsia" w:ascii="楷体_GB2312" w:hAnsi="楷体_GB2312" w:eastAsia="楷体_GB2312" w:cs="楷体_GB2312"/>
        </w:rPr>
        <w:t>绩效指标设置不够全面，资金目的反映有待</w:t>
      </w:r>
      <w:r>
        <w:rPr>
          <w:rFonts w:ascii="楷体_GB2312" w:hAnsi="楷体_GB2312" w:eastAsia="楷体_GB2312" w:cs="楷体_GB2312"/>
        </w:rPr>
        <w:t>提高</w:t>
      </w:r>
      <w:bookmarkEnd w:id="82"/>
      <w:bookmarkEnd w:id="83"/>
      <w:r>
        <w:rPr>
          <w:rFonts w:hint="eastAsia" w:ascii="楷体_GB2312" w:hAnsi="楷体_GB2312" w:eastAsia="楷体_GB2312" w:cs="楷体_GB2312"/>
          <w:lang w:eastAsia="zh-CN"/>
        </w:rPr>
        <w:t>。</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根据项目绩效自评基础信息表，项目效果指标设置不全，未能充分体现资金目的。就目前绩效指标设置情况而言，项目单位设置的绩效指标仅反映了相关补贴人数，未能</w:t>
      </w:r>
      <w:r>
        <w:rPr>
          <w:rFonts w:ascii="仿宋_GB2312" w:hAnsi="Times New Roman" w:cs="Times New Roman"/>
          <w:szCs w:val="24"/>
        </w:rPr>
        <w:t>全面反映项目</w:t>
      </w:r>
      <w:r>
        <w:rPr>
          <w:rFonts w:hint="eastAsia" w:ascii="仿宋_GB2312" w:hAnsi="Times New Roman" w:cs="Times New Roman"/>
          <w:szCs w:val="24"/>
        </w:rPr>
        <w:t>社会</w:t>
      </w:r>
      <w:r>
        <w:rPr>
          <w:rFonts w:ascii="仿宋_GB2312" w:hAnsi="Times New Roman" w:cs="Times New Roman"/>
          <w:szCs w:val="24"/>
        </w:rPr>
        <w:t>、经济效益。</w:t>
      </w:r>
    </w:p>
    <w:p>
      <w:pPr>
        <w:pStyle w:val="2"/>
        <w:spacing w:line="240" w:lineRule="auto"/>
        <w:ind w:firstLine="640"/>
      </w:pPr>
      <w:bookmarkStart w:id="84" w:name="_Toc54077322"/>
      <w:bookmarkStart w:id="85" w:name="_Toc19623168"/>
      <w:bookmarkStart w:id="86" w:name="_Toc21995532"/>
      <w:bookmarkStart w:id="87" w:name="_Toc21995300"/>
      <w:r>
        <w:rPr>
          <w:rFonts w:hint="eastAsia"/>
        </w:rPr>
        <w:t>六、建议</w:t>
      </w:r>
      <w:bookmarkEnd w:id="84"/>
      <w:bookmarkEnd w:id="85"/>
      <w:bookmarkEnd w:id="86"/>
      <w:bookmarkEnd w:id="87"/>
    </w:p>
    <w:p>
      <w:pPr>
        <w:adjustRightInd/>
        <w:snapToGrid/>
        <w:spacing w:line="240" w:lineRule="auto"/>
        <w:ind w:firstLine="640"/>
        <w:outlineLvl w:val="1"/>
        <w:rPr>
          <w:rFonts w:hint="eastAsia" w:ascii="楷体_GB2312" w:hAnsi="楷体_GB2312" w:eastAsia="楷体_GB2312" w:cs="楷体_GB2312"/>
          <w:lang w:eastAsia="zh-CN"/>
        </w:rPr>
      </w:pPr>
      <w:bookmarkStart w:id="88" w:name="_Toc21995533"/>
      <w:bookmarkStart w:id="89" w:name="_Toc24326308"/>
      <w:bookmarkStart w:id="90" w:name="_Toc21995301"/>
      <w:bookmarkStart w:id="91" w:name="_Toc19623169"/>
      <w:bookmarkStart w:id="92" w:name="_Toc54077323"/>
      <w:bookmarkStart w:id="93" w:name="_Toc45180562"/>
      <w:r>
        <w:rPr>
          <w:rFonts w:hint="eastAsia" w:ascii="楷体_GB2312" w:hAnsi="楷体_GB2312" w:eastAsia="楷体_GB2312" w:cs="楷体_GB2312"/>
        </w:rPr>
        <w:t>（一）</w:t>
      </w:r>
      <w:bookmarkEnd w:id="88"/>
      <w:bookmarkEnd w:id="89"/>
      <w:bookmarkEnd w:id="90"/>
      <w:bookmarkEnd w:id="91"/>
      <w:bookmarkStart w:id="94" w:name="_Hlk44398489"/>
      <w:r>
        <w:rPr>
          <w:rFonts w:hint="eastAsia" w:ascii="楷体_GB2312" w:hAnsi="楷体_GB2312" w:eastAsia="楷体_GB2312" w:cs="楷体_GB2312"/>
        </w:rPr>
        <w:t>规范项目实施流程，建立关联部门联动机制</w:t>
      </w:r>
      <w:bookmarkEnd w:id="92"/>
      <w:bookmarkEnd w:id="93"/>
      <w:bookmarkEnd w:id="94"/>
      <w:r>
        <w:rPr>
          <w:rFonts w:hint="eastAsia" w:ascii="楷体_GB2312" w:hAnsi="楷体_GB2312" w:eastAsia="楷体_GB2312" w:cs="楷体_GB2312"/>
          <w:lang w:eastAsia="zh-CN"/>
        </w:rPr>
        <w:t>。</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韶关市国有关闭、破产企业职工分流安置暂行办法》（韶府〔2002〕5号）执行已有18年，随着政策环节的改变及相关部门职能改革，该文件对于企业关闭破产工作的指导性也逐渐减弱，建议由国资委牵头，联合人社部门及其他关联部门，对该政策进行修订，明确流程，划分权责，包括但不限于：</w:t>
      </w:r>
    </w:p>
    <w:p>
      <w:pPr>
        <w:adjustRightInd/>
        <w:snapToGrid/>
        <w:spacing w:line="240" w:lineRule="auto"/>
        <w:ind w:firstLine="643"/>
        <w:rPr>
          <w:rFonts w:ascii="仿宋_GB2312" w:hAnsi="Times New Roman" w:cs="Times New Roman"/>
          <w:b/>
          <w:szCs w:val="24"/>
        </w:rPr>
      </w:pPr>
      <w:r>
        <w:rPr>
          <w:rFonts w:hint="eastAsia" w:ascii="仿宋_GB2312" w:hAnsi="Times New Roman" w:cs="Times New Roman"/>
          <w:b/>
          <w:szCs w:val="24"/>
        </w:rPr>
        <w:t>1.明确企业主管部门对职工安置方案的可行性分析要求，企业主管部门应对相关安置费用的收入支出进行分析。</w:t>
      </w:r>
      <w:r>
        <w:rPr>
          <w:rFonts w:hint="eastAsia" w:ascii="仿宋_GB2312" w:hAnsi="Times New Roman" w:cs="Times New Roman"/>
          <w:szCs w:val="24"/>
        </w:rPr>
        <w:t>企业主管部门对职工安置方案进行可行性分析，具体可参考《劳动和社会保障部关于做好关闭破产国有企业职工安置方案审核工作的通知》(劳社部函〔2003〕35号)对于企业人员基本情况、安置渠道及所需费用、离退休人员管理服务、工伤职工抚恤等方面提出风险分析建议，并对安置费用来源进行预估确认，就资金缺口进行说明。</w:t>
      </w:r>
    </w:p>
    <w:p>
      <w:pPr>
        <w:adjustRightInd/>
        <w:snapToGrid/>
        <w:spacing w:line="240" w:lineRule="auto"/>
        <w:ind w:firstLine="643"/>
        <w:rPr>
          <w:rFonts w:ascii="仿宋_GB2312" w:hAnsi="Times New Roman" w:cs="Times New Roman"/>
          <w:b/>
          <w:szCs w:val="24"/>
        </w:rPr>
      </w:pPr>
      <w:r>
        <w:rPr>
          <w:rFonts w:hint="eastAsia" w:ascii="仿宋_GB2312" w:hAnsi="Times New Roman" w:cs="Times New Roman"/>
          <w:b/>
          <w:szCs w:val="24"/>
        </w:rPr>
        <w:t>2.加强与国资委对接，掌握企业关闭破产计划和进程，加强项目预算管理。</w:t>
      </w:r>
      <w:bookmarkStart w:id="95" w:name="_Hlk23861189"/>
      <w:r>
        <w:rPr>
          <w:rFonts w:hint="eastAsia" w:ascii="仿宋_GB2312" w:hAnsi="Times New Roman" w:cs="Times New Roman"/>
          <w:szCs w:val="24"/>
        </w:rPr>
        <w:t>国资委作为“两个退出”工作和企业关闭破产补助政策制定的牵头部门，负责韶关市企业关闭破产的整体规划，市社保局应于每年底与国资委对接韶关市企业关闭破产实施进度和资金缺口，为来年预算及近几年的工作规划提供编制依据。</w:t>
      </w:r>
    </w:p>
    <w:p>
      <w:pPr>
        <w:adjustRightInd/>
        <w:snapToGrid/>
        <w:spacing w:line="240" w:lineRule="auto"/>
        <w:ind w:firstLine="643"/>
        <w:rPr>
          <w:rFonts w:ascii="仿宋_GB2312" w:hAnsi="Times New Roman" w:cs="Times New Roman"/>
          <w:b/>
          <w:szCs w:val="24"/>
        </w:rPr>
      </w:pPr>
      <w:r>
        <w:rPr>
          <w:rFonts w:hint="eastAsia" w:ascii="仿宋_GB2312" w:hAnsi="Times New Roman" w:cs="Times New Roman"/>
          <w:b/>
          <w:szCs w:val="24"/>
        </w:rPr>
        <w:t>3.统筹项目监管职责，建立部门联动机制。</w:t>
      </w:r>
      <w:r>
        <w:rPr>
          <w:rFonts w:hint="eastAsia" w:ascii="仿宋_GB2312" w:hAnsi="Times New Roman" w:cs="Times New Roman"/>
          <w:szCs w:val="24"/>
        </w:rPr>
        <w:t>一是成立相关工作小组，统筹和明确各部门在企业关闭破产补助工作钟的监管职能。市人社局应按“人社部发〔2009〕52号”文的要求，联合国资委对企业清偿情况进行调研，防止有缴费能力的企业逃避城镇职工基本医疗保险的缴费责任，保障企业关闭破产补助工作的资金来源；社会化管理科也应对下属十四个街道的相关工作加强监管；其他相关部门也可通过信息共享互通及相关联席会议加强信息沟通，规避错发多发风险。</w:t>
      </w:r>
      <w:bookmarkEnd w:id="95"/>
      <w:bookmarkStart w:id="96" w:name="_Toc21995302"/>
      <w:bookmarkStart w:id="97" w:name="_Toc19623170"/>
      <w:bookmarkStart w:id="98" w:name="_Toc24326309"/>
      <w:bookmarkStart w:id="99" w:name="_Toc21995534"/>
      <w:r>
        <w:rPr>
          <w:rFonts w:hint="eastAsia" w:ascii="仿宋_GB2312" w:hAnsi="Times New Roman" w:cs="Times New Roman"/>
          <w:szCs w:val="24"/>
        </w:rPr>
        <w:t>二是建议及时对工作进行复盘。每年年末开展工作总结，总结本年度项目工作成效，重点归纳本年度工作中存在的问题，研究解决方式和实施经验，依此加强与关联部门的对接沟通，落实解决，优化工作绩效。</w:t>
      </w:r>
    </w:p>
    <w:p>
      <w:pPr>
        <w:adjustRightInd/>
        <w:snapToGrid/>
        <w:spacing w:line="240" w:lineRule="auto"/>
        <w:ind w:firstLine="640"/>
        <w:outlineLvl w:val="1"/>
        <w:rPr>
          <w:rFonts w:hint="eastAsia" w:ascii="楷体_GB2312" w:hAnsi="楷体_GB2312" w:eastAsia="楷体_GB2312" w:cs="楷体_GB2312"/>
          <w:lang w:eastAsia="zh-CN"/>
        </w:rPr>
      </w:pPr>
      <w:bookmarkStart w:id="100" w:name="_Toc45180564"/>
      <w:bookmarkStart w:id="101" w:name="_Toc54077324"/>
      <w:r>
        <w:rPr>
          <w:rFonts w:hint="eastAsia" w:ascii="楷体_GB2312" w:hAnsi="楷体_GB2312" w:eastAsia="楷体_GB2312" w:cs="楷体_GB2312"/>
        </w:rPr>
        <w:t>（二）</w:t>
      </w:r>
      <w:bookmarkEnd w:id="96"/>
      <w:bookmarkEnd w:id="97"/>
      <w:bookmarkEnd w:id="98"/>
      <w:bookmarkEnd w:id="99"/>
      <w:bookmarkStart w:id="102" w:name="_Hlk44398502"/>
      <w:r>
        <w:rPr>
          <w:rFonts w:hint="eastAsia" w:ascii="楷体_GB2312" w:hAnsi="楷体_GB2312" w:eastAsia="楷体_GB2312" w:cs="楷体_GB2312"/>
        </w:rPr>
        <w:t>加强项目资金管理，提前申请部分资金下达</w:t>
      </w:r>
      <w:bookmarkEnd w:id="100"/>
      <w:bookmarkEnd w:id="101"/>
      <w:bookmarkEnd w:id="102"/>
      <w:r>
        <w:rPr>
          <w:rFonts w:hint="eastAsia" w:ascii="楷体_GB2312" w:hAnsi="楷体_GB2312" w:eastAsia="楷体_GB2312" w:cs="楷体_GB2312"/>
          <w:lang w:eastAsia="zh-CN"/>
        </w:rPr>
        <w:t>。</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szCs w:val="24"/>
        </w:rPr>
        <w:t>一是会计核算规范性方面，建议根据所提问题规范记账凭证的管理工作。由于2020年更换新系统支付，市社保局将在系统将人员名单上报后，由省财厅于每月10日统一发放相关补助，可以有效避免会计核算不规范问题。</w:t>
      </w:r>
    </w:p>
    <w:p>
      <w:pPr>
        <w:adjustRightInd/>
        <w:snapToGrid/>
        <w:spacing w:line="240" w:lineRule="auto"/>
        <w:ind w:firstLine="640"/>
        <w:rPr>
          <w:rFonts w:ascii="仿宋_GB2312" w:hAnsi="Times New Roman" w:cs="Times New Roman"/>
          <w:szCs w:val="24"/>
        </w:rPr>
      </w:pPr>
      <w:r>
        <w:rPr>
          <w:rFonts w:hint="eastAsia" w:ascii="仿宋_GB2312" w:hAnsi="Times New Roman" w:cs="Times New Roman"/>
          <w:color w:val="auto"/>
          <w:szCs w:val="24"/>
        </w:rPr>
        <w:t>二是提前申请第一季度资金下达，保障民生项目资金支出。项目属于民生项目，为保障资金的按时下达，提前请款是必要的，建议每年末市社保局可预先预估下一年度第一季度的资金使用量，在预算上报的同时向财政申请提前下达1-3月的所需预算资金，将预算资金关系理顺。</w:t>
      </w:r>
    </w:p>
    <w:p>
      <w:pPr>
        <w:adjustRightInd/>
        <w:snapToGrid/>
        <w:spacing w:line="240" w:lineRule="auto"/>
        <w:ind w:firstLine="640"/>
        <w:outlineLvl w:val="1"/>
        <w:rPr>
          <w:rFonts w:hint="eastAsia" w:ascii="楷体_GB2312" w:hAnsi="楷体_GB2312" w:eastAsia="楷体_GB2312" w:cs="楷体_GB2312"/>
          <w:lang w:eastAsia="zh-CN"/>
        </w:rPr>
      </w:pPr>
      <w:bookmarkStart w:id="103" w:name="_Toc21995303"/>
      <w:bookmarkStart w:id="104" w:name="_Toc45180565"/>
      <w:bookmarkStart w:id="105" w:name="_Toc24326310"/>
      <w:bookmarkStart w:id="106" w:name="_Toc21995535"/>
      <w:bookmarkStart w:id="107" w:name="_Toc54077325"/>
      <w:r>
        <w:rPr>
          <w:rFonts w:hint="eastAsia" w:ascii="楷体_GB2312" w:hAnsi="楷体_GB2312" w:eastAsia="楷体_GB2312" w:cs="楷体_GB2312"/>
        </w:rPr>
        <w:t>（三）</w:t>
      </w:r>
      <w:bookmarkStart w:id="108" w:name="_Hlk44398513"/>
      <w:r>
        <w:rPr>
          <w:rFonts w:hint="eastAsia" w:ascii="楷体_GB2312" w:hAnsi="楷体_GB2312" w:eastAsia="楷体_GB2312" w:cs="楷体_GB2312"/>
        </w:rPr>
        <w:t>提高绩效管理意识</w:t>
      </w:r>
      <w:bookmarkEnd w:id="103"/>
      <w:bookmarkEnd w:id="104"/>
      <w:bookmarkEnd w:id="105"/>
      <w:bookmarkEnd w:id="106"/>
      <w:bookmarkEnd w:id="108"/>
      <w:r>
        <w:rPr>
          <w:rFonts w:hint="eastAsia" w:ascii="楷体_GB2312" w:hAnsi="楷体_GB2312" w:eastAsia="楷体_GB2312" w:cs="楷体_GB2312"/>
        </w:rPr>
        <w:t>，完善</w:t>
      </w:r>
      <w:r>
        <w:rPr>
          <w:rFonts w:ascii="楷体_GB2312" w:hAnsi="楷体_GB2312" w:eastAsia="楷体_GB2312" w:cs="楷体_GB2312"/>
        </w:rPr>
        <w:t>项目效益指标</w:t>
      </w:r>
      <w:r>
        <w:rPr>
          <w:rFonts w:hint="eastAsia" w:ascii="楷体_GB2312" w:hAnsi="楷体_GB2312" w:eastAsia="楷体_GB2312" w:cs="楷体_GB2312"/>
        </w:rPr>
        <w:t>设置</w:t>
      </w:r>
      <w:bookmarkEnd w:id="107"/>
      <w:r>
        <w:rPr>
          <w:rFonts w:hint="eastAsia" w:ascii="楷体_GB2312" w:hAnsi="楷体_GB2312" w:eastAsia="楷体_GB2312" w:cs="楷体_GB2312"/>
          <w:lang w:eastAsia="zh-CN"/>
        </w:rPr>
        <w:t>。</w:t>
      </w:r>
    </w:p>
    <w:p>
      <w:pPr>
        <w:adjustRightInd/>
        <w:snapToGrid/>
        <w:spacing w:line="240" w:lineRule="auto"/>
        <w:ind w:firstLine="640"/>
      </w:pPr>
      <w:r>
        <w:rPr>
          <w:rFonts w:hint="eastAsia" w:ascii="仿宋_GB2312" w:hAnsi="Times New Roman" w:cs="Times New Roman"/>
          <w:szCs w:val="24"/>
        </w:rPr>
        <w:t>根据项目政策目的，分析本项目属于哪个政策环节，发挥了什么作用，据此提炼效益指标。本项目政策意义关键体现在两个方面：一是经济上需推动计划关破企业的实施进程，保障韶关市市场经济发展；二是为被安置职工提供必要的保障，确保社会稳定、和谐。据此，结合本项目主要为代缴代发，因此就“及时足额发放”、“保障补助对象的基本生活”、“维护社会稳定”等方面设置对应效益指标，以全面反映项目绩效。</w:t>
      </w:r>
      <w:bookmarkStart w:id="109" w:name="_Toc19623171"/>
      <w:bookmarkStart w:id="110" w:name="_Toc19623173"/>
    </w:p>
    <w:bookmarkEnd w:id="109"/>
    <w:bookmarkEnd w:id="110"/>
    <w:p>
      <w:pPr>
        <w:adjustRightInd/>
        <w:snapToGrid/>
        <w:spacing w:line="240" w:lineRule="auto"/>
        <w:ind w:firstLine="640"/>
        <w:rPr>
          <w:rFonts w:ascii="仿宋_GB2312" w:hAnsi="Times New Roman" w:cs="Times New Roman"/>
          <w:szCs w:val="24"/>
        </w:rPr>
        <w:sectPr>
          <w:footerReference r:id="rId12" w:type="default"/>
          <w:footnotePr>
            <w:numFmt w:val="decimalEnclosedCircleChinese"/>
            <w:numRestart w:val="eachPage"/>
          </w:footnotePr>
          <w:pgSz w:w="11906" w:h="16838"/>
          <w:pgMar w:top="2041" w:right="1418" w:bottom="1418" w:left="1531" w:header="851" w:footer="992" w:gutter="0"/>
          <w:pgNumType w:fmt="numberInDash" w:start="1"/>
          <w:cols w:space="425" w:num="1"/>
          <w:docGrid w:type="lines" w:linePitch="312" w:charSpace="0"/>
        </w:sectPr>
      </w:pPr>
    </w:p>
    <w:p>
      <w:pPr>
        <w:adjustRightInd/>
        <w:snapToGrid/>
        <w:spacing w:line="240" w:lineRule="auto"/>
        <w:ind w:left="0" w:leftChars="0" w:firstLine="0" w:firstLineChars="0"/>
        <w:outlineLvl w:val="1"/>
        <w:rPr>
          <w:rFonts w:hint="eastAsia" w:ascii="黑体" w:hAnsi="黑体" w:eastAsia="黑体" w:cs="黑体"/>
        </w:rPr>
      </w:pPr>
      <w:bookmarkStart w:id="111" w:name="_Toc54077327"/>
      <w:r>
        <w:rPr>
          <w:rFonts w:hint="eastAsia" w:ascii="黑体" w:hAnsi="黑体" w:eastAsia="黑体" w:cs="黑体"/>
        </w:rPr>
        <w:t>附件1</w:t>
      </w:r>
      <w:bookmarkEnd w:id="111"/>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sz w:val="44"/>
        </w:rPr>
      </w:pPr>
      <w:r>
        <w:rPr>
          <w:rFonts w:hint="eastAsia" w:ascii="宋体" w:hAnsi="宋体" w:eastAsia="宋体"/>
          <w:b/>
          <w:sz w:val="44"/>
        </w:rPr>
        <w:t>韶关市2019年度企业关闭破产补助项目绩效评分表</w:t>
      </w:r>
    </w:p>
    <w:tbl>
      <w:tblPr>
        <w:tblStyle w:val="32"/>
        <w:tblW w:w="15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658"/>
        <w:gridCol w:w="770"/>
        <w:gridCol w:w="719"/>
        <w:gridCol w:w="687"/>
        <w:gridCol w:w="659"/>
        <w:gridCol w:w="1042"/>
        <w:gridCol w:w="668"/>
        <w:gridCol w:w="3445"/>
        <w:gridCol w:w="771"/>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865" w:type="dxa"/>
            <w:gridSpan w:val="8"/>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评价指标</w:t>
            </w:r>
          </w:p>
        </w:tc>
        <w:tc>
          <w:tcPr>
            <w:tcW w:w="3445"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评分标准</w:t>
            </w:r>
          </w:p>
        </w:tc>
        <w:tc>
          <w:tcPr>
            <w:tcW w:w="77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评审得分</w:t>
            </w:r>
          </w:p>
        </w:tc>
        <w:tc>
          <w:tcPr>
            <w:tcW w:w="4964"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20"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一级指标</w:t>
            </w:r>
          </w:p>
        </w:tc>
        <w:tc>
          <w:tcPr>
            <w:tcW w:w="1489"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二级指标</w:t>
            </w:r>
          </w:p>
        </w:tc>
        <w:tc>
          <w:tcPr>
            <w:tcW w:w="134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三级指标</w:t>
            </w:r>
          </w:p>
        </w:tc>
        <w:tc>
          <w:tcPr>
            <w:tcW w:w="171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四级指标</w:t>
            </w:r>
          </w:p>
        </w:tc>
        <w:tc>
          <w:tcPr>
            <w:tcW w:w="3445"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b/>
                <w:bCs/>
                <w:kern w:val="0"/>
                <w:sz w:val="20"/>
                <w:szCs w:val="20"/>
              </w:rPr>
            </w:pPr>
          </w:p>
        </w:tc>
        <w:tc>
          <w:tcPr>
            <w:tcW w:w="771"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b/>
                <w:bCs/>
                <w:kern w:val="0"/>
                <w:sz w:val="20"/>
                <w:szCs w:val="20"/>
              </w:rPr>
            </w:pPr>
          </w:p>
        </w:tc>
        <w:tc>
          <w:tcPr>
            <w:tcW w:w="496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名称</w:t>
            </w:r>
          </w:p>
        </w:tc>
        <w:tc>
          <w:tcPr>
            <w:tcW w:w="6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权重（%）</w:t>
            </w:r>
          </w:p>
        </w:tc>
        <w:tc>
          <w:tcPr>
            <w:tcW w:w="7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名称</w:t>
            </w:r>
          </w:p>
        </w:tc>
        <w:tc>
          <w:tcPr>
            <w:tcW w:w="71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权重（%）</w:t>
            </w:r>
          </w:p>
        </w:tc>
        <w:tc>
          <w:tcPr>
            <w:tcW w:w="68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名称</w:t>
            </w:r>
          </w:p>
        </w:tc>
        <w:tc>
          <w:tcPr>
            <w:tcW w:w="6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权重（%）</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名称</w:t>
            </w:r>
          </w:p>
        </w:tc>
        <w:tc>
          <w:tcPr>
            <w:tcW w:w="66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权重（%）</w:t>
            </w:r>
          </w:p>
        </w:tc>
        <w:tc>
          <w:tcPr>
            <w:tcW w:w="3445"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b/>
                <w:bCs/>
                <w:kern w:val="0"/>
                <w:sz w:val="20"/>
                <w:szCs w:val="20"/>
              </w:rPr>
            </w:pPr>
          </w:p>
        </w:tc>
        <w:tc>
          <w:tcPr>
            <w:tcW w:w="771"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b/>
                <w:bCs/>
                <w:kern w:val="0"/>
                <w:sz w:val="20"/>
                <w:szCs w:val="20"/>
              </w:rPr>
            </w:pPr>
          </w:p>
        </w:tc>
        <w:tc>
          <w:tcPr>
            <w:tcW w:w="496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662"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投入</w:t>
            </w:r>
          </w:p>
        </w:tc>
        <w:tc>
          <w:tcPr>
            <w:tcW w:w="658"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20</w:t>
            </w:r>
          </w:p>
        </w:tc>
        <w:tc>
          <w:tcPr>
            <w:tcW w:w="77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项目立项</w:t>
            </w:r>
          </w:p>
        </w:tc>
        <w:tc>
          <w:tcPr>
            <w:tcW w:w="719"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12</w:t>
            </w:r>
          </w:p>
        </w:tc>
        <w:tc>
          <w:tcPr>
            <w:tcW w:w="68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论证决策</w:t>
            </w:r>
          </w:p>
        </w:tc>
        <w:tc>
          <w:tcPr>
            <w:tcW w:w="6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4</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论证充分性</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4</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反映历史补贴安置程序是否合法合规。</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1.2019年新增安置职工经充分论证政府审批的得1分；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2.企业主管部门进行了可行性分析的得1分；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3.补贴对象具备安置方案的得2分。</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2019年新增两家企业职工安置方案基本符合《韶关市关、停、破产及转制单位预缴社会保障类资金管理办法》（韶财社〔2003〕78号）、中共中央办公厅、国务院办公厅下发的《关于转发劳动和社会保障部等部门＜关于积极推进企业退休人员社会化管理服务工作的意见＞的通知》(中办发〔2003〕16号)等文件相关规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其中：《韶关市人民政府关于韶关市红星综合厂关闭清算和职工安置有关问题的批复》（韶府复〔2019〕2号）、《广东亿能电力设备股份有限公司职工安置方案》均于《市政府常务会议纪要》（十四届49次）会议中讨论通过。但未见企业主管部门对安置方案等进行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目标设置</w:t>
            </w:r>
          </w:p>
        </w:tc>
        <w:tc>
          <w:tcPr>
            <w:tcW w:w="659"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6</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完整性</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2</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依据绩效目标申报表等相关基础信息和证据判断目标设置的完整性，即是否包含总目标和阶段性目标，是否包括预期提供补贴对象数量、结构、补贴数额，预期达到的效果性指标，目标设置完整得2分；设置了绩效目标但目标不完整的得1分；未设置绩效目标不得分。</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1</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根据项目申报信息、自评报告等，项目绩效目标设置不够完整，特别是效果指标设置不全面。结合本项目相关政策目标，本项目效果关键体现在两个方面，一是经济上需推动计划关破企业的实施进程，进而推动韶关市市场经济发展；二是为被安置职工提供必要的保障，确保社会稳定、和谐。就目前绩效指标设置情况而言，这两方面都未能通过所设置的指标得到较好的反映，比如，在对被安置职工的保障效果方面缺少安置措施的可接受程度的指标（异议发生率、仲裁发生率），在安置措施对推动“两退”的力度方面缺少关于关破企业进程完成程度的指标（关破企业计划完成率）、关于退休职工社会化管理实施效率的指标（被安置退休职工社会化管理覆盖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合理性</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2</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依据绩效目标申报表相关基础信息和证据判断目标设置的相关性，即绩效目标是否与资金或项目属性特点、支出内容相关，体现决策意图，同时合乎客观实际，目标设置合理的得2分，其他情况酌情给分。</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1</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根据项目申报信息、自评报告等，绩效目标设置不够合理，未能完整体现决策意图。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可衡量性</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2</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依据绩效目标申报表相关基础信息和证据判断目标设置的可衡量性，即绩效目标设置是否有数据支撑、是否有可衡量性的产出和效果指标，绩效目标进行了量化、可衡量的得2分，其他情况酌情给分。</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2</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根据项目申报信息、自评报告等，设有可衡量的绩效指标。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保障措施</w:t>
            </w:r>
          </w:p>
        </w:tc>
        <w:tc>
          <w:tcPr>
            <w:tcW w:w="659"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2</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制度完整性</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1</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具有相关的制度保障且制度保障完整的得1分，具有相关制度保障但不完整的得0.5分，不具备相关制度保障的得0分。</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1</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本项目为延续性的民生项目，有《韶关市国有关闭、破产企业职工分流安置暂行办法》（韶府〔2002〕5号）、《韶关市关、停、破产及转制单位预缴社会保障资金管理办法》（韶财社〔2003〕78号等管理办法，财务相关管理办法、内控制度较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计划安排合理性</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1</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工作实际进度与工作进度计划基本相符的得满分，其他情况酌情给分，主要依据年初工作计划和工作总结等项目进展材料作出判断。</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1</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社保和</w:t>
            </w:r>
            <w:r>
              <w:rPr>
                <w:rFonts w:ascii="宋体" w:hAnsi="宋体" w:eastAsia="宋体" w:cs="宋体"/>
                <w:kern w:val="0"/>
                <w:sz w:val="20"/>
                <w:szCs w:val="20"/>
              </w:rPr>
              <w:t>医保代缴</w:t>
            </w:r>
            <w:r>
              <w:rPr>
                <w:rFonts w:hint="eastAsia" w:ascii="宋体" w:hAnsi="宋体" w:eastAsia="宋体" w:cs="宋体"/>
                <w:kern w:val="0"/>
                <w:sz w:val="20"/>
                <w:szCs w:val="20"/>
              </w:rPr>
              <w:t>、</w:t>
            </w:r>
            <w:r>
              <w:rPr>
                <w:rFonts w:ascii="宋体" w:hAnsi="宋体" w:eastAsia="宋体" w:cs="宋体"/>
                <w:kern w:val="0"/>
                <w:sz w:val="20"/>
                <w:szCs w:val="20"/>
              </w:rPr>
              <w:t>生活费和生活补助</w:t>
            </w:r>
            <w:r>
              <w:rPr>
                <w:rFonts w:hint="eastAsia" w:ascii="宋体" w:hAnsi="宋体" w:eastAsia="宋体" w:cs="宋体"/>
                <w:kern w:val="0"/>
                <w:sz w:val="20"/>
                <w:szCs w:val="20"/>
              </w:rPr>
              <w:t>发放均于</w:t>
            </w:r>
            <w:r>
              <w:rPr>
                <w:rFonts w:ascii="宋体" w:hAnsi="宋体" w:eastAsia="宋体" w:cs="宋体"/>
                <w:kern w:val="0"/>
                <w:sz w:val="20"/>
                <w:szCs w:val="20"/>
              </w:rPr>
              <w:t>每月</w:t>
            </w:r>
            <w:r>
              <w:rPr>
                <w:rFonts w:hint="eastAsia" w:ascii="宋体" w:hAnsi="宋体" w:eastAsia="宋体" w:cs="宋体"/>
                <w:kern w:val="0"/>
                <w:sz w:val="20"/>
                <w:szCs w:val="20"/>
              </w:rPr>
              <w:t>15日</w:t>
            </w:r>
            <w:r>
              <w:rPr>
                <w:rFonts w:ascii="宋体" w:hAnsi="宋体" w:eastAsia="宋体" w:cs="宋体"/>
                <w:kern w:val="0"/>
                <w:sz w:val="20"/>
                <w:szCs w:val="20"/>
              </w:rPr>
              <w:t>前发放到位，计划安排较为合理。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资金落实</w:t>
            </w:r>
          </w:p>
        </w:tc>
        <w:tc>
          <w:tcPr>
            <w:tcW w:w="719"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8</w:t>
            </w:r>
          </w:p>
        </w:tc>
        <w:tc>
          <w:tcPr>
            <w:tcW w:w="68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资金到位</w:t>
            </w:r>
          </w:p>
        </w:tc>
        <w:tc>
          <w:tcPr>
            <w:tcW w:w="659"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5</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资金到位率</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1.各类来源的资金足额到位的，得3分；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2.各类来源的资金未足额到位的，按实际到位金额/应到位金额*指标分值。</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根据资金支出明细表，各类资金足额到位。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资金到位及时性</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2</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1.各类来源的资金及时到位的，得2分；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2.各类来源的资金及时到位的，按实际及时到位的金额/应及时到位的金额*指标分值。</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2</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根据资金支出明细表，各类资金及时到位。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资金分配</w:t>
            </w:r>
          </w:p>
        </w:tc>
        <w:tc>
          <w:tcPr>
            <w:tcW w:w="6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资金分配合理性</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资金分配方案测算依据清楚明确，资金规模和扶持方向与绩效目标相匹配的得3分，其他情况酌情给分。</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1.资金扶持方向按《韶关市关、停、破产及转制单位预缴社会保障类资金管理办法》（韶财社〔2003〕78号）等相关规定执行，扶持方向与绩效目标向匹配。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2.根据《2019年度市关闭破产企业资金预算审核表》，各类资金分配测算过程较为清晰，人员保有量和新增数量、代缴比例和基数、补贴发放标准等较为明确。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62"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过程</w:t>
            </w:r>
          </w:p>
        </w:tc>
        <w:tc>
          <w:tcPr>
            <w:tcW w:w="658"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20</w:t>
            </w:r>
          </w:p>
        </w:tc>
        <w:tc>
          <w:tcPr>
            <w:tcW w:w="77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资金管理</w:t>
            </w:r>
          </w:p>
        </w:tc>
        <w:tc>
          <w:tcPr>
            <w:tcW w:w="719"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12</w:t>
            </w:r>
          </w:p>
        </w:tc>
        <w:tc>
          <w:tcPr>
            <w:tcW w:w="68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资金支付</w:t>
            </w:r>
          </w:p>
        </w:tc>
        <w:tc>
          <w:tcPr>
            <w:tcW w:w="6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6</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资金支出率</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6</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资金支出率=“支付额/预算额度”，根据资金支出率*100*分值资金支出率计算核定得分，同时综合考虑工作进度，以及是否垫资或履行支付手续而影响支出率等因素适当调整最后得分。</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5.83</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项目预算额度为11595万元，项目支出额为11265.99万元，资金支出率为97.16%，资金支出率得分为5.83（11265.99/11595*6）。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支出规范性</w:t>
            </w:r>
          </w:p>
        </w:tc>
        <w:tc>
          <w:tcPr>
            <w:tcW w:w="659"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6</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预算执行规范性</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2</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按规定履行调整报批手续或未发生调整的，且按事项完成进度支付资金的得2分；资金调整无相关手续或未按事项完成进度支付的不得分，其他情况酌情扣分。</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2</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依据相关支付凭证，预算执行规范，未发生预算调整情况，且按事项完成进度支付资金。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事项支出的合规性</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2</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资金管理、费用标准、支付均符合有关制度规定的得2分，超范围、超标准支出，虚列支出，截留挤占、挪用资金的，以及其他不符合制度规定支出的，视情节严重情况扣分，直至扣到0分。</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2</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医保和养老保险代缴比例和基数均按照《韶关市各险种2019社保年度缴费标准表》执行，生活费和生活补贴每月发放标准较为明确，事项支出较为合规。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会计核算规范性</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2</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规范执行会计核算制度得2分，未按规定设专账核算，或支出凭证不符合规定，或其他核算不规范的，出现一次扣0.5分，直至扣到0分。</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1.5</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根据现场核查财务凭证，凭证批量代发的总回单未放至账本中，会计核算规范性有待加强。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事项管理</w:t>
            </w:r>
          </w:p>
        </w:tc>
        <w:tc>
          <w:tcPr>
            <w:tcW w:w="719"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8</w:t>
            </w:r>
          </w:p>
        </w:tc>
        <w:tc>
          <w:tcPr>
            <w:tcW w:w="68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实施程序</w:t>
            </w:r>
          </w:p>
        </w:tc>
        <w:tc>
          <w:tcPr>
            <w:tcW w:w="6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4</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程序规范性</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4</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根据相关管理制度判断财政适当补贴的职工安置费是否遵循了相关程序进行申报，程序完整的得4分，其他情况根据所提供的证据作出判断酌情给分。</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2</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实施程序与相关文件不符。根据《韶关市国有关闭、破产企业职工分流安置暂行办法》（韶府〔2002〕5号）文件，项目实施程序应为企业上报-主管部门进行可行性分析-向市财政局、市人社局上报破产企业名单等，但2019年度新增两个关闭破产企业中：红星厂企业主管部门为民政局，亿能企业主管部门为国资委（由工贸公司代理执行），根据调研，该两个企业安置方案均由工贸公司制定，公示后报市政府审批，再报市人社局核准核发，实施程序与相关文件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管理情况</w:t>
            </w:r>
          </w:p>
        </w:tc>
        <w:tc>
          <w:tcPr>
            <w:tcW w:w="659"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4</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监管机制有效性</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2</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资金使用单位或基层资金管理单位建立有效管理机制，且执行情况良好得2分，具体根据监管单位的监管材料、报告、整改意见等信息证据作出判断并核定分数。</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1</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市社保局对于可能死亡的补助对象有生存认证的核查措施，但监管机制不够完善，主要依托于其他部门开展监管，市社保局监管机制不完善。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按监管机制实施管理</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2</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各级业务主管部门按规定对企业退休人员社会化管理科下属十四个街道社会代缴代付工作开展有效的检查、监控、督促整改的得2分，具体根据所提供的信息证据作出判断。</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1</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资金是由市社保局直接拨到个人账户及直接上缴，各街道对于代缴代付工作的检查与整改工作有待加强。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62"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产出</w:t>
            </w:r>
          </w:p>
        </w:tc>
        <w:tc>
          <w:tcPr>
            <w:tcW w:w="658"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30</w:t>
            </w:r>
          </w:p>
        </w:tc>
        <w:tc>
          <w:tcPr>
            <w:tcW w:w="77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经济性</w:t>
            </w:r>
          </w:p>
        </w:tc>
        <w:tc>
          <w:tcPr>
            <w:tcW w:w="719"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5</w:t>
            </w:r>
          </w:p>
        </w:tc>
        <w:tc>
          <w:tcPr>
            <w:tcW w:w="68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预算控制</w:t>
            </w:r>
          </w:p>
        </w:tc>
        <w:tc>
          <w:tcPr>
            <w:tcW w:w="6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预算控制</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在预算执行进度与事项完成进度基本匹配的前提下，实际支出未超过预算计划的，得满分；实际支出超过预算的，或者支出未能保障事项相应完成进度的，根据理由说明等信息证据酌情给分；支出超预算且无相关原因说明的不得分。</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项目预算额度为11595万元，项目支出额为11265.99万元，实际支出未超预算。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成本控制</w:t>
            </w:r>
          </w:p>
        </w:tc>
        <w:tc>
          <w:tcPr>
            <w:tcW w:w="6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2</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成本节约</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2</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补贴差额规模依据充分，做好补助发放人员统计工作，严格按补贴标准进行发放，未有多发或少发情况发生的得2分，具体根据补贴的发放情况等信息证据作出判断。</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2</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养老保险和医疗保险代缴比例和基数均按照《韶关市各险种2019社保年度缴费标准表》执行，生活费和生活补贴每月发放标准按当地的城镇居民最低生活费标准计发，支出标准较为明确。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效率性</w:t>
            </w:r>
          </w:p>
        </w:tc>
        <w:tc>
          <w:tcPr>
            <w:tcW w:w="719"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25</w:t>
            </w:r>
          </w:p>
        </w:tc>
        <w:tc>
          <w:tcPr>
            <w:tcW w:w="68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完成进度</w:t>
            </w:r>
          </w:p>
        </w:tc>
        <w:tc>
          <w:tcPr>
            <w:tcW w:w="659"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16</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时效指标</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4</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按规定及时代缴医疗和养老保险，及时发放补助的得4分，具体根据发放时间以及发放说明等信息证据作出判断。</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4</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根据支付凭证，补贴及时发放。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养老保险代缴人数</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养老保险代缴人数与关闭破产企业应缴养老保险人数统计情况相符3分，其他根据实际，结合未完成原因说明进行核定，但最高不能超过分值上限为：实际代缴人数/应缴人数*100%*3</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养老保险代缴人数根据2018年基数及2019年新增人数测算，应缴人数与实缴人数相符。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医疗保险代缴人数</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医疗保险代缴人数与关闭破产企业应缴医疗保险人数统计情况相符3分，其他根据实际，结合未完成原因说明进行核定，但最高不能超过分值上限为：实际代缴人数/应缴人数*100%*3。</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医疗保险代缴人数根据2018年基数及2019年新增人数测算，应缴人数与实缴人数相符。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代发生活费人数</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生活费实际代发人数与关闭破产企业统计应发人数相符的得3分，其他根据实际，结合未完成原因说明进行核定，但最高不能超过分值上限为：实际代缴人数/应缴人数*100%*3。</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生活费代发人数根据2018年基数及2019年新增人数测算，应缴人数与实缴人数相符。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代发生活补贴人数</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生活补贴实际代发人数与关闭破产企业统计应发人数相符3分，其他根据实际，结合未完成原因说明进行核定，但最高不能超过分值上限为：实际代发人数/应发人数*100%*3。</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生活补贴代发人数根据2018年基数及2019年新增人数测算，应缴人数与实缴人数相符。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完成质量</w:t>
            </w:r>
          </w:p>
        </w:tc>
        <w:tc>
          <w:tcPr>
            <w:tcW w:w="659"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9</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补助金发放率</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实际发放金额/应发放金额*100%，得分按补助金发放率*分值确定。</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资金足额按时发放，补助金发放率为100%。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补助金发放标准核定准确性</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补助金发放人数的统计依据以及发放标准核定依据均有相关说明及佐证材料的得3分，其他情况酌情给分。</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1.根据现场核查，项目2002年实施至今对于人员的保有量情况和结构性进行了分析比较，预算申请时分析了人员退休情况，补助金人数统计依据较为明确。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2.医保和养老保险代缴比例和基数、生活费和生活补贴每月发放标准较为明确。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补助金按相关标准发放</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核对检查补助金发放情况，补助金按相关标准进行发放的得3分，未按相关标准进行发放的不得分。</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医保和养老保险代缴比例和基数均按照《韶关市各险种2019社保年度缴费标准表》执行，生活费和生活补贴每月发放标准较为明确，按照相关标准进行发放。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62"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效益</w:t>
            </w:r>
          </w:p>
        </w:tc>
        <w:tc>
          <w:tcPr>
            <w:tcW w:w="658"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30</w:t>
            </w:r>
          </w:p>
        </w:tc>
        <w:tc>
          <w:tcPr>
            <w:tcW w:w="77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效果性</w:t>
            </w:r>
          </w:p>
        </w:tc>
        <w:tc>
          <w:tcPr>
            <w:tcW w:w="719"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25</w:t>
            </w:r>
          </w:p>
        </w:tc>
        <w:tc>
          <w:tcPr>
            <w:tcW w:w="68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经济效益</w:t>
            </w:r>
          </w:p>
        </w:tc>
        <w:tc>
          <w:tcPr>
            <w:tcW w:w="6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5</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经济效益</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5</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有效保障“两个退出”工作的顺利开展，维护市场经济的持续健康发展的得5分，其他情况酌情给分，依据双退办的工作报告等相关信息证据作出判断。</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能够保障“两个退出”工作的顺利开展，但未见对于土地收储、资产变现等收益能否偿付安置成本的分析材料。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社会效益</w:t>
            </w:r>
          </w:p>
        </w:tc>
        <w:tc>
          <w:tcPr>
            <w:tcW w:w="659"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15</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bookmarkStart w:id="112" w:name="_Hlk44351919"/>
            <w:r>
              <w:rPr>
                <w:rFonts w:hint="eastAsia" w:ascii="宋体" w:hAnsi="宋体" w:eastAsia="宋体" w:cs="宋体"/>
                <w:kern w:val="0"/>
                <w:sz w:val="20"/>
                <w:szCs w:val="20"/>
              </w:rPr>
              <w:t>保障补助对象的基本生活</w:t>
            </w:r>
            <w:bookmarkEnd w:id="112"/>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5</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以当地最低生活标准等相关数据为参考，补助金发放能够保障关闭破产企业人员基本生活的得5分，具体依据保障补助对象的跟踪调查或投诉情况等相关信息证据作出判断。</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5</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医保和养老保险代缴比例和基数均按照《韶关市各险种2019社保年度缴费标准表》执行，生活费和生活补贴每月发放标准较为明确，能够保障补助对象的基本生活。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104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bookmarkStart w:id="113" w:name="_Hlk44351934"/>
            <w:r>
              <w:rPr>
                <w:rFonts w:hint="eastAsia" w:ascii="宋体" w:hAnsi="宋体" w:eastAsia="宋体" w:cs="宋体"/>
                <w:kern w:val="0"/>
                <w:sz w:val="20"/>
                <w:szCs w:val="20"/>
              </w:rPr>
              <w:t>维护社会稳定</w:t>
            </w:r>
            <w:bookmarkEnd w:id="113"/>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5</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因补助发放不及时、发放不公等导致的投诉、上访等情况为0次的得5分；有重大投诉、上访情况，造成不良社会影响的不得分；其他依据投诉、上访记录等相关信息证据及实际情况酌情扣分。</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4</w:t>
            </w:r>
          </w:p>
        </w:tc>
        <w:tc>
          <w:tcPr>
            <w:tcW w:w="496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项目存在个别投诉行为。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104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5</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推进关闭破产企业职工社会化管理服务的得5分，具体根据关闭破产企业补贴的发放单位、关闭破产企业职工的管理情况等相关信息证据作出判断。</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4</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项目推进了关闭破产企业职工社会化管理服务，但存在业务数据未畅通的问题，医保系统中难以查询相关缴费数据，社会化管理服务有待加强。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8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可持续发展</w:t>
            </w:r>
          </w:p>
        </w:tc>
        <w:tc>
          <w:tcPr>
            <w:tcW w:w="6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5</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bookmarkStart w:id="114" w:name="_Hlk44351954"/>
            <w:r>
              <w:rPr>
                <w:rFonts w:hint="eastAsia" w:ascii="宋体" w:hAnsi="宋体" w:eastAsia="宋体" w:cs="宋体"/>
                <w:kern w:val="0"/>
                <w:sz w:val="20"/>
                <w:szCs w:val="20"/>
              </w:rPr>
              <w:t>政策、机构可持续</w:t>
            </w:r>
            <w:bookmarkEnd w:id="114"/>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5</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反映专项资金的后续政策、资金、人员机构安排和管理措施等影响事项持续发展的因素，进行年度总结且根据实施经验不断完善相关制度的得满分，其他依据制度、机构改善情况作出判断。</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49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政策延续至今将近20年，已形成一套管理办法及工作机制，运作基本顺利，有助于多家计划关破企业解决职工安置问题，但未见项目自2002年实施至今对于人员的保有量和结构的数据统计。例如每年各代缴代发费用对应人数，较之前年增加、减少的数量，对应人员具体情况的总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6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p>
        </w:tc>
        <w:tc>
          <w:tcPr>
            <w:tcW w:w="7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公平性</w:t>
            </w:r>
          </w:p>
        </w:tc>
        <w:tc>
          <w:tcPr>
            <w:tcW w:w="71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5</w:t>
            </w:r>
          </w:p>
        </w:tc>
        <w:tc>
          <w:tcPr>
            <w:tcW w:w="68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满意度</w:t>
            </w:r>
          </w:p>
        </w:tc>
        <w:tc>
          <w:tcPr>
            <w:tcW w:w="6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5</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服务对象满意度</w:t>
            </w:r>
          </w:p>
        </w:tc>
        <w:tc>
          <w:tcPr>
            <w:tcW w:w="66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5</w:t>
            </w:r>
          </w:p>
        </w:tc>
        <w:tc>
          <w:tcPr>
            <w:tcW w:w="3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根据满意度调查（监管部门开展的）、中介暗访等情况酌情对该项目的公平公正性予以评分，满意度得分=服务对象满意度*5。</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4</w:t>
            </w:r>
          </w:p>
        </w:tc>
        <w:tc>
          <w:tcPr>
            <w:tcW w:w="496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项目存在个别投诉行为。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197" w:type="dxa"/>
            <w:gridSpan w:val="7"/>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合计</w:t>
            </w:r>
          </w:p>
        </w:tc>
        <w:tc>
          <w:tcPr>
            <w:tcW w:w="66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100</w:t>
            </w:r>
          </w:p>
        </w:tc>
        <w:tc>
          <w:tcPr>
            <w:tcW w:w="344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7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eastAsia="宋体" w:cs="宋体"/>
                <w:kern w:val="0"/>
                <w:sz w:val="20"/>
                <w:szCs w:val="20"/>
              </w:rPr>
            </w:pPr>
            <w:r>
              <w:rPr>
                <w:rFonts w:hint="eastAsia" w:ascii="宋体" w:hAnsi="宋体" w:eastAsia="宋体" w:cs="宋体"/>
                <w:kern w:val="0"/>
                <w:sz w:val="20"/>
                <w:szCs w:val="20"/>
              </w:rPr>
              <w:t>85.33</w:t>
            </w:r>
          </w:p>
        </w:tc>
        <w:tc>
          <w:tcPr>
            <w:tcW w:w="4964"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r>
    </w:tbl>
    <w:p>
      <w:pPr>
        <w:ind w:firstLine="0" w:firstLineChars="0"/>
        <w:rPr>
          <w:sz w:val="21"/>
          <w:szCs w:val="21"/>
          <w:u w:val="single"/>
        </w:rPr>
      </w:pPr>
    </w:p>
    <w:p>
      <w:pPr>
        <w:ind w:firstLine="0" w:firstLineChars="0"/>
        <w:rPr>
          <w:u w:val="single"/>
        </w:rPr>
        <w:sectPr>
          <w:footnotePr>
            <w:numRestart w:val="eachPage"/>
          </w:footnotePr>
          <w:pgSz w:w="16838" w:h="11906" w:orient="landscape"/>
          <w:pgMar w:top="1174" w:right="1440" w:bottom="1174" w:left="1440" w:header="851" w:footer="709" w:gutter="0"/>
          <w:pgNumType w:fmt="numberInDash"/>
          <w:cols w:space="0" w:num="1"/>
          <w:rtlGutter w:val="0"/>
          <w:docGrid w:linePitch="312" w:charSpace="0"/>
        </w:sectPr>
      </w:pPr>
    </w:p>
    <w:p>
      <w:pPr>
        <w:adjustRightInd/>
        <w:snapToGrid/>
        <w:spacing w:line="240" w:lineRule="auto"/>
        <w:ind w:left="0" w:leftChars="0" w:firstLine="0" w:firstLineChars="0"/>
        <w:outlineLvl w:val="1"/>
        <w:rPr>
          <w:rFonts w:hint="eastAsia" w:ascii="黑体" w:hAnsi="黑体" w:eastAsia="黑体" w:cs="黑体"/>
        </w:rPr>
      </w:pPr>
      <w:bookmarkStart w:id="115" w:name="_Toc54077328"/>
      <w:r>
        <w:rPr>
          <w:rFonts w:hint="eastAsia" w:ascii="黑体" w:hAnsi="黑体" w:eastAsia="黑体" w:cs="黑体"/>
        </w:rPr>
        <w:t>附件2</w:t>
      </w:r>
      <w:bookmarkEnd w:id="115"/>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b/>
          <w:sz w:val="44"/>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sz w:val="44"/>
        </w:rPr>
      </w:pPr>
      <w:r>
        <w:rPr>
          <w:rFonts w:hint="eastAsia" w:ascii="宋体" w:hAnsi="宋体" w:eastAsia="宋体"/>
          <w:b/>
          <w:sz w:val="44"/>
        </w:rPr>
        <w:t>评价会议专家名单</w:t>
      </w:r>
    </w:p>
    <w:tbl>
      <w:tblPr>
        <w:tblStyle w:val="32"/>
        <w:tblW w:w="8500" w:type="dxa"/>
        <w:jc w:val="center"/>
        <w:tblLayout w:type="fixed"/>
        <w:tblCellMar>
          <w:top w:w="0" w:type="dxa"/>
          <w:left w:w="108" w:type="dxa"/>
          <w:bottom w:w="0" w:type="dxa"/>
          <w:right w:w="108" w:type="dxa"/>
        </w:tblCellMar>
      </w:tblPr>
      <w:tblGrid>
        <w:gridCol w:w="1696"/>
        <w:gridCol w:w="2512"/>
        <w:gridCol w:w="4292"/>
      </w:tblGrid>
      <w:tr>
        <w:tblPrEx>
          <w:tblCellMar>
            <w:top w:w="0" w:type="dxa"/>
            <w:left w:w="108" w:type="dxa"/>
            <w:bottom w:w="0" w:type="dxa"/>
            <w:right w:w="108" w:type="dxa"/>
          </w:tblCellMar>
        </w:tblPrEx>
        <w:trPr>
          <w:trHeight w:val="567"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rPr>
                <w:rFonts w:ascii="宋体" w:hAnsi="宋体" w:eastAsia="宋体" w:cs="宋体"/>
                <w:b/>
                <w:color w:val="000000" w:themeColor="text1"/>
                <w:kern w:val="0"/>
                <w:szCs w:val="32"/>
                <w14:textFill>
                  <w14:solidFill>
                    <w14:schemeClr w14:val="tx1"/>
                  </w14:solidFill>
                </w14:textFill>
              </w:rPr>
            </w:pPr>
            <w:r>
              <w:rPr>
                <w:rFonts w:hint="eastAsia" w:ascii="宋体" w:hAnsi="宋体" w:eastAsia="宋体" w:cs="宋体"/>
                <w:b/>
                <w:color w:val="000000" w:themeColor="text1"/>
                <w:kern w:val="0"/>
                <w:szCs w:val="32"/>
                <w14:textFill>
                  <w14:solidFill>
                    <w14:schemeClr w14:val="tx1"/>
                  </w14:solidFill>
                </w14:textFill>
              </w:rPr>
              <w:t>姓名</w:t>
            </w:r>
          </w:p>
        </w:tc>
        <w:tc>
          <w:tcPr>
            <w:tcW w:w="2512" w:type="dxa"/>
            <w:tcBorders>
              <w:top w:val="single" w:color="auto" w:sz="4" w:space="0"/>
              <w:left w:val="nil"/>
              <w:bottom w:val="single" w:color="auto" w:sz="4" w:space="0"/>
              <w:right w:val="single" w:color="auto" w:sz="4" w:space="0"/>
            </w:tcBorders>
            <w:shd w:val="clear" w:color="auto" w:fill="auto"/>
            <w:vAlign w:val="center"/>
          </w:tcPr>
          <w:p>
            <w:pPr>
              <w:widowControl/>
              <w:snapToGrid/>
              <w:spacing w:line="240" w:lineRule="auto"/>
              <w:ind w:firstLine="0" w:firstLineChars="0"/>
              <w:jc w:val="center"/>
              <w:rPr>
                <w:rFonts w:ascii="宋体" w:hAnsi="宋体" w:eastAsia="宋体" w:cs="宋体"/>
                <w:b/>
                <w:color w:val="000000" w:themeColor="text1"/>
                <w:kern w:val="0"/>
                <w:szCs w:val="32"/>
                <w14:textFill>
                  <w14:solidFill>
                    <w14:schemeClr w14:val="tx1"/>
                  </w14:solidFill>
                </w14:textFill>
              </w:rPr>
            </w:pPr>
            <w:r>
              <w:rPr>
                <w:rFonts w:hint="eastAsia" w:ascii="宋体" w:hAnsi="宋体" w:eastAsia="宋体" w:cs="宋体"/>
                <w:b/>
                <w:color w:val="000000" w:themeColor="text1"/>
                <w:kern w:val="0"/>
                <w:szCs w:val="32"/>
                <w14:textFill>
                  <w14:solidFill>
                    <w14:schemeClr w14:val="tx1"/>
                  </w14:solidFill>
                </w14:textFill>
              </w:rPr>
              <w:t>单位</w:t>
            </w:r>
          </w:p>
        </w:tc>
        <w:tc>
          <w:tcPr>
            <w:tcW w:w="4292" w:type="dxa"/>
            <w:tcBorders>
              <w:top w:val="single" w:color="auto" w:sz="4" w:space="0"/>
              <w:left w:val="nil"/>
              <w:bottom w:val="single" w:color="auto" w:sz="4" w:space="0"/>
              <w:right w:val="single" w:color="auto" w:sz="4" w:space="0"/>
            </w:tcBorders>
            <w:shd w:val="clear" w:color="auto" w:fill="auto"/>
            <w:vAlign w:val="center"/>
          </w:tcPr>
          <w:p>
            <w:pPr>
              <w:widowControl/>
              <w:snapToGrid/>
              <w:spacing w:line="240" w:lineRule="auto"/>
              <w:ind w:firstLine="0" w:firstLineChars="0"/>
              <w:jc w:val="center"/>
              <w:rPr>
                <w:rFonts w:ascii="宋体" w:hAnsi="宋体" w:eastAsia="宋体" w:cs="宋体"/>
                <w:b/>
                <w:color w:val="000000" w:themeColor="text1"/>
                <w:kern w:val="0"/>
                <w:szCs w:val="32"/>
                <w14:textFill>
                  <w14:solidFill>
                    <w14:schemeClr w14:val="tx1"/>
                  </w14:solidFill>
                </w14:textFill>
              </w:rPr>
            </w:pPr>
            <w:r>
              <w:rPr>
                <w:rFonts w:hint="eastAsia" w:ascii="宋体" w:hAnsi="宋体" w:eastAsia="宋体" w:cs="宋体"/>
                <w:b/>
                <w:color w:val="000000" w:themeColor="text1"/>
                <w:kern w:val="0"/>
                <w:szCs w:val="32"/>
                <w14:textFill>
                  <w14:solidFill>
                    <w14:schemeClr w14:val="tx1"/>
                  </w14:solidFill>
                </w14:textFill>
              </w:rPr>
              <w:t>项目角色</w:t>
            </w:r>
          </w:p>
        </w:tc>
      </w:tr>
      <w:tr>
        <w:tblPrEx>
          <w:tblCellMar>
            <w:top w:w="0" w:type="dxa"/>
            <w:left w:w="108" w:type="dxa"/>
            <w:bottom w:w="0" w:type="dxa"/>
            <w:right w:w="108" w:type="dxa"/>
          </w:tblCellMar>
        </w:tblPrEx>
        <w:trPr>
          <w:trHeight w:val="567" w:hRule="atLeast"/>
          <w:jc w:val="center"/>
        </w:trPr>
        <w:tc>
          <w:tcPr>
            <w:tcW w:w="1696" w:type="dxa"/>
            <w:tcBorders>
              <w:top w:val="nil"/>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rPr>
                <w:rFonts w:ascii="宋体" w:hAnsi="宋体" w:eastAsia="宋体" w:cs="宋体"/>
                <w:color w:val="000000" w:themeColor="text1"/>
                <w:kern w:val="0"/>
                <w:szCs w:val="32"/>
                <w14:textFill>
                  <w14:solidFill>
                    <w14:schemeClr w14:val="tx1"/>
                  </w14:solidFill>
                </w14:textFill>
              </w:rPr>
            </w:pPr>
            <w:r>
              <w:rPr>
                <w:rFonts w:hint="eastAsia" w:ascii="宋体" w:hAnsi="宋体" w:eastAsia="宋体" w:cs="宋体"/>
                <w:color w:val="000000" w:themeColor="text1"/>
                <w:kern w:val="0"/>
                <w:szCs w:val="32"/>
                <w14:textFill>
                  <w14:solidFill>
                    <w14:schemeClr w14:val="tx1"/>
                  </w14:solidFill>
                </w14:textFill>
              </w:rPr>
              <w:t>邓丽君</w:t>
            </w:r>
          </w:p>
        </w:tc>
        <w:tc>
          <w:tcPr>
            <w:tcW w:w="2512" w:type="dxa"/>
            <w:tcBorders>
              <w:top w:val="nil"/>
              <w:left w:val="nil"/>
              <w:bottom w:val="single" w:color="auto" w:sz="4" w:space="0"/>
              <w:right w:val="single" w:color="auto" w:sz="4" w:space="0"/>
            </w:tcBorders>
            <w:shd w:val="clear" w:color="auto" w:fill="auto"/>
            <w:vAlign w:val="center"/>
          </w:tcPr>
          <w:p>
            <w:pPr>
              <w:widowControl/>
              <w:snapToGrid/>
              <w:spacing w:line="240" w:lineRule="auto"/>
              <w:ind w:firstLine="0" w:firstLineChars="0"/>
              <w:jc w:val="center"/>
              <w:rPr>
                <w:rFonts w:ascii="宋体" w:hAnsi="宋体" w:eastAsia="宋体" w:cs="宋体"/>
                <w:color w:val="000000" w:themeColor="text1"/>
                <w:kern w:val="0"/>
                <w:szCs w:val="32"/>
                <w14:textFill>
                  <w14:solidFill>
                    <w14:schemeClr w14:val="tx1"/>
                  </w14:solidFill>
                </w14:textFill>
              </w:rPr>
            </w:pPr>
            <w:r>
              <w:rPr>
                <w:rFonts w:hint="eastAsia" w:ascii="宋体" w:hAnsi="宋体" w:eastAsia="宋体" w:cs="宋体"/>
                <w:color w:val="000000" w:themeColor="text1"/>
                <w:kern w:val="0"/>
                <w:szCs w:val="32"/>
                <w14:textFill>
                  <w14:solidFill>
                    <w14:schemeClr w14:val="tx1"/>
                  </w14:solidFill>
                </w14:textFill>
              </w:rPr>
              <w:t>中大咨询专家库</w:t>
            </w:r>
          </w:p>
        </w:tc>
        <w:tc>
          <w:tcPr>
            <w:tcW w:w="4292" w:type="dxa"/>
            <w:tcBorders>
              <w:top w:val="nil"/>
              <w:left w:val="nil"/>
              <w:bottom w:val="single" w:color="auto" w:sz="4" w:space="0"/>
              <w:right w:val="single" w:color="auto" w:sz="4" w:space="0"/>
            </w:tcBorders>
            <w:shd w:val="clear" w:color="auto" w:fill="auto"/>
            <w:vAlign w:val="center"/>
          </w:tcPr>
          <w:p>
            <w:pPr>
              <w:widowControl/>
              <w:snapToGrid/>
              <w:spacing w:line="240" w:lineRule="auto"/>
              <w:ind w:firstLine="0" w:firstLineChars="0"/>
              <w:jc w:val="center"/>
              <w:rPr>
                <w:rFonts w:ascii="宋体" w:hAnsi="宋体" w:eastAsia="宋体" w:cs="宋体"/>
                <w:color w:val="000000" w:themeColor="text1"/>
                <w:kern w:val="0"/>
                <w:szCs w:val="32"/>
                <w14:textFill>
                  <w14:solidFill>
                    <w14:schemeClr w14:val="tx1"/>
                  </w14:solidFill>
                </w14:textFill>
              </w:rPr>
            </w:pPr>
            <w:r>
              <w:rPr>
                <w:rFonts w:hint="eastAsia" w:ascii="宋体" w:hAnsi="宋体" w:eastAsia="宋体" w:cs="宋体"/>
                <w:color w:val="000000" w:themeColor="text1"/>
                <w:kern w:val="0"/>
                <w:szCs w:val="32"/>
                <w14:textFill>
                  <w14:solidFill>
                    <w14:schemeClr w14:val="tx1"/>
                  </w14:solidFill>
                </w14:textFill>
              </w:rPr>
              <w:t>财政绩效专家</w:t>
            </w:r>
          </w:p>
        </w:tc>
      </w:tr>
      <w:tr>
        <w:tblPrEx>
          <w:tblCellMar>
            <w:top w:w="0" w:type="dxa"/>
            <w:left w:w="108" w:type="dxa"/>
            <w:bottom w:w="0" w:type="dxa"/>
            <w:right w:w="108" w:type="dxa"/>
          </w:tblCellMar>
        </w:tblPrEx>
        <w:trPr>
          <w:trHeight w:val="567" w:hRule="atLeast"/>
          <w:jc w:val="center"/>
        </w:trPr>
        <w:tc>
          <w:tcPr>
            <w:tcW w:w="1696" w:type="dxa"/>
            <w:tcBorders>
              <w:top w:val="nil"/>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rPr>
                <w:rFonts w:ascii="宋体" w:hAnsi="宋体" w:eastAsia="宋体" w:cs="宋体"/>
                <w:color w:val="000000" w:themeColor="text1"/>
                <w:kern w:val="0"/>
                <w:szCs w:val="32"/>
                <w14:textFill>
                  <w14:solidFill>
                    <w14:schemeClr w14:val="tx1"/>
                  </w14:solidFill>
                </w14:textFill>
              </w:rPr>
            </w:pPr>
            <w:r>
              <w:rPr>
                <w:rFonts w:hint="eastAsia" w:ascii="宋体" w:hAnsi="宋体" w:eastAsia="宋体" w:cs="宋体"/>
                <w:color w:val="000000" w:themeColor="text1"/>
                <w:kern w:val="0"/>
                <w:szCs w:val="32"/>
                <w14:textFill>
                  <w14:solidFill>
                    <w14:schemeClr w14:val="tx1"/>
                  </w14:solidFill>
                </w14:textFill>
              </w:rPr>
              <w:t>周仲高</w:t>
            </w:r>
          </w:p>
        </w:tc>
        <w:tc>
          <w:tcPr>
            <w:tcW w:w="2512" w:type="dxa"/>
            <w:tcBorders>
              <w:top w:val="nil"/>
              <w:left w:val="nil"/>
              <w:bottom w:val="single" w:color="auto" w:sz="4" w:space="0"/>
              <w:right w:val="single" w:color="auto" w:sz="4" w:space="0"/>
            </w:tcBorders>
            <w:shd w:val="clear" w:color="auto" w:fill="auto"/>
            <w:vAlign w:val="center"/>
          </w:tcPr>
          <w:p>
            <w:pPr>
              <w:widowControl/>
              <w:snapToGrid/>
              <w:spacing w:line="240" w:lineRule="auto"/>
              <w:ind w:firstLine="0" w:firstLineChars="0"/>
              <w:jc w:val="center"/>
              <w:rPr>
                <w:rFonts w:ascii="宋体" w:hAnsi="宋体" w:eastAsia="宋体" w:cs="宋体"/>
                <w:color w:val="000000" w:themeColor="text1"/>
                <w:kern w:val="0"/>
                <w:szCs w:val="32"/>
                <w14:textFill>
                  <w14:solidFill>
                    <w14:schemeClr w14:val="tx1"/>
                  </w14:solidFill>
                </w14:textFill>
              </w:rPr>
            </w:pPr>
            <w:r>
              <w:rPr>
                <w:rFonts w:hint="eastAsia" w:ascii="宋体" w:hAnsi="宋体" w:eastAsia="宋体" w:cs="宋体"/>
                <w:color w:val="000000" w:themeColor="text1"/>
                <w:kern w:val="0"/>
                <w:szCs w:val="32"/>
                <w14:textFill>
                  <w14:solidFill>
                    <w14:schemeClr w14:val="tx1"/>
                  </w14:solidFill>
                </w14:textFill>
              </w:rPr>
              <w:t>中大咨询专家库</w:t>
            </w:r>
          </w:p>
        </w:tc>
        <w:tc>
          <w:tcPr>
            <w:tcW w:w="4292" w:type="dxa"/>
            <w:tcBorders>
              <w:top w:val="nil"/>
              <w:left w:val="nil"/>
              <w:bottom w:val="single" w:color="auto" w:sz="4" w:space="0"/>
              <w:right w:val="single" w:color="auto" w:sz="4" w:space="0"/>
            </w:tcBorders>
            <w:shd w:val="clear" w:color="auto" w:fill="auto"/>
            <w:vAlign w:val="center"/>
          </w:tcPr>
          <w:p>
            <w:pPr>
              <w:widowControl/>
              <w:snapToGrid/>
              <w:spacing w:line="240" w:lineRule="auto"/>
              <w:ind w:firstLine="0" w:firstLineChars="0"/>
              <w:jc w:val="center"/>
              <w:rPr>
                <w:rFonts w:ascii="宋体" w:hAnsi="宋体" w:eastAsia="宋体" w:cs="宋体"/>
                <w:color w:val="000000" w:themeColor="text1"/>
                <w:kern w:val="0"/>
                <w:szCs w:val="32"/>
                <w14:textFill>
                  <w14:solidFill>
                    <w14:schemeClr w14:val="tx1"/>
                  </w14:solidFill>
                </w14:textFill>
              </w:rPr>
            </w:pPr>
            <w:r>
              <w:rPr>
                <w:rFonts w:hint="eastAsia" w:ascii="宋体" w:hAnsi="宋体" w:eastAsia="宋体" w:cs="宋体"/>
                <w:color w:val="000000" w:themeColor="text1"/>
                <w:kern w:val="0"/>
                <w:szCs w:val="32"/>
                <w14:textFill>
                  <w14:solidFill>
                    <w14:schemeClr w14:val="tx1"/>
                  </w14:solidFill>
                </w14:textFill>
              </w:rPr>
              <w:t>社保行业专家</w:t>
            </w:r>
          </w:p>
        </w:tc>
      </w:tr>
      <w:tr>
        <w:tblPrEx>
          <w:tblCellMar>
            <w:top w:w="0" w:type="dxa"/>
            <w:left w:w="108" w:type="dxa"/>
            <w:bottom w:w="0" w:type="dxa"/>
            <w:right w:w="108" w:type="dxa"/>
          </w:tblCellMar>
        </w:tblPrEx>
        <w:trPr>
          <w:trHeight w:val="567" w:hRule="atLeast"/>
          <w:jc w:val="center"/>
        </w:trPr>
        <w:tc>
          <w:tcPr>
            <w:tcW w:w="1696" w:type="dxa"/>
            <w:tcBorders>
              <w:top w:val="nil"/>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rPr>
                <w:rFonts w:ascii="宋体" w:hAnsi="宋体" w:eastAsia="宋体" w:cs="宋体"/>
                <w:color w:val="000000" w:themeColor="text1"/>
                <w:kern w:val="0"/>
                <w:szCs w:val="32"/>
                <w14:textFill>
                  <w14:solidFill>
                    <w14:schemeClr w14:val="tx1"/>
                  </w14:solidFill>
                </w14:textFill>
              </w:rPr>
            </w:pPr>
            <w:r>
              <w:rPr>
                <w:rFonts w:hint="eastAsia" w:ascii="宋体" w:hAnsi="宋体" w:eastAsia="宋体" w:cs="宋体"/>
                <w:color w:val="000000" w:themeColor="text1"/>
                <w:kern w:val="0"/>
                <w:szCs w:val="32"/>
                <w14:textFill>
                  <w14:solidFill>
                    <w14:schemeClr w14:val="tx1"/>
                  </w14:solidFill>
                </w14:textFill>
              </w:rPr>
              <w:t>冯昀</w:t>
            </w:r>
          </w:p>
        </w:tc>
        <w:tc>
          <w:tcPr>
            <w:tcW w:w="2512" w:type="dxa"/>
            <w:tcBorders>
              <w:top w:val="nil"/>
              <w:left w:val="nil"/>
              <w:bottom w:val="single" w:color="auto" w:sz="4" w:space="0"/>
              <w:right w:val="single" w:color="auto" w:sz="4" w:space="0"/>
            </w:tcBorders>
            <w:shd w:val="clear" w:color="auto" w:fill="auto"/>
            <w:vAlign w:val="center"/>
          </w:tcPr>
          <w:p>
            <w:pPr>
              <w:widowControl/>
              <w:snapToGrid/>
              <w:spacing w:line="240" w:lineRule="auto"/>
              <w:ind w:firstLine="0" w:firstLineChars="0"/>
              <w:jc w:val="center"/>
              <w:rPr>
                <w:rFonts w:ascii="宋体" w:hAnsi="宋体" w:eastAsia="宋体" w:cs="宋体"/>
                <w:color w:val="000000" w:themeColor="text1"/>
                <w:kern w:val="0"/>
                <w:szCs w:val="32"/>
                <w14:textFill>
                  <w14:solidFill>
                    <w14:schemeClr w14:val="tx1"/>
                  </w14:solidFill>
                </w14:textFill>
              </w:rPr>
            </w:pPr>
            <w:r>
              <w:rPr>
                <w:rFonts w:hint="eastAsia" w:ascii="宋体" w:hAnsi="宋体" w:eastAsia="宋体" w:cs="宋体"/>
                <w:color w:val="000000" w:themeColor="text1"/>
                <w:kern w:val="0"/>
                <w:szCs w:val="32"/>
                <w14:textFill>
                  <w14:solidFill>
                    <w14:schemeClr w14:val="tx1"/>
                  </w14:solidFill>
                </w14:textFill>
              </w:rPr>
              <w:t>中大咨询专家库</w:t>
            </w:r>
          </w:p>
        </w:tc>
        <w:tc>
          <w:tcPr>
            <w:tcW w:w="4292" w:type="dxa"/>
            <w:tcBorders>
              <w:top w:val="nil"/>
              <w:left w:val="nil"/>
              <w:bottom w:val="single" w:color="auto" w:sz="4" w:space="0"/>
              <w:right w:val="single" w:color="auto" w:sz="4" w:space="0"/>
            </w:tcBorders>
            <w:shd w:val="clear" w:color="auto" w:fill="auto"/>
            <w:vAlign w:val="center"/>
          </w:tcPr>
          <w:p>
            <w:pPr>
              <w:widowControl/>
              <w:snapToGrid/>
              <w:spacing w:line="240" w:lineRule="auto"/>
              <w:ind w:firstLine="0" w:firstLineChars="0"/>
              <w:jc w:val="center"/>
              <w:rPr>
                <w:rFonts w:ascii="宋体" w:hAnsi="宋体" w:eastAsia="宋体" w:cs="宋体"/>
                <w:color w:val="000000" w:themeColor="text1"/>
                <w:kern w:val="0"/>
                <w:szCs w:val="32"/>
                <w14:textFill>
                  <w14:solidFill>
                    <w14:schemeClr w14:val="tx1"/>
                  </w14:solidFill>
                </w14:textFill>
              </w:rPr>
            </w:pPr>
            <w:r>
              <w:rPr>
                <w:rFonts w:hint="eastAsia" w:ascii="宋体" w:hAnsi="宋体" w:eastAsia="宋体" w:cs="宋体"/>
                <w:color w:val="000000" w:themeColor="text1"/>
                <w:kern w:val="0"/>
                <w:szCs w:val="32"/>
                <w14:textFill>
                  <w14:solidFill>
                    <w14:schemeClr w14:val="tx1"/>
                  </w14:solidFill>
                </w14:textFill>
              </w:rPr>
              <w:t>财务专家</w:t>
            </w:r>
          </w:p>
        </w:tc>
      </w:tr>
      <w:tr>
        <w:tblPrEx>
          <w:tblCellMar>
            <w:top w:w="0" w:type="dxa"/>
            <w:left w:w="108" w:type="dxa"/>
            <w:bottom w:w="0" w:type="dxa"/>
            <w:right w:w="108" w:type="dxa"/>
          </w:tblCellMar>
        </w:tblPrEx>
        <w:trPr>
          <w:trHeight w:val="567" w:hRule="atLeast"/>
          <w:jc w:val="center"/>
        </w:trPr>
        <w:tc>
          <w:tcPr>
            <w:tcW w:w="1696" w:type="dxa"/>
            <w:tcBorders>
              <w:top w:val="nil"/>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rPr>
                <w:rFonts w:ascii="宋体" w:hAnsi="宋体" w:eastAsia="宋体" w:cs="宋体"/>
                <w:color w:val="000000" w:themeColor="text1"/>
                <w:kern w:val="0"/>
                <w:szCs w:val="32"/>
                <w14:textFill>
                  <w14:solidFill>
                    <w14:schemeClr w14:val="tx1"/>
                  </w14:solidFill>
                </w14:textFill>
              </w:rPr>
            </w:pPr>
            <w:r>
              <w:rPr>
                <w:rFonts w:hint="eastAsia" w:ascii="宋体" w:hAnsi="宋体" w:eastAsia="宋体" w:cs="宋体"/>
                <w:color w:val="000000" w:themeColor="text1"/>
                <w:kern w:val="0"/>
                <w:szCs w:val="32"/>
                <w14:textFill>
                  <w14:solidFill>
                    <w14:schemeClr w14:val="tx1"/>
                  </w14:solidFill>
                </w14:textFill>
              </w:rPr>
              <w:t>颜文静</w:t>
            </w:r>
          </w:p>
        </w:tc>
        <w:tc>
          <w:tcPr>
            <w:tcW w:w="2512" w:type="dxa"/>
            <w:tcBorders>
              <w:top w:val="nil"/>
              <w:left w:val="nil"/>
              <w:bottom w:val="single" w:color="auto" w:sz="4" w:space="0"/>
              <w:right w:val="single" w:color="auto" w:sz="4" w:space="0"/>
            </w:tcBorders>
            <w:shd w:val="clear" w:color="auto" w:fill="auto"/>
            <w:vAlign w:val="center"/>
          </w:tcPr>
          <w:p>
            <w:pPr>
              <w:widowControl/>
              <w:snapToGrid/>
              <w:spacing w:line="240" w:lineRule="auto"/>
              <w:ind w:firstLine="0" w:firstLineChars="0"/>
              <w:jc w:val="center"/>
              <w:rPr>
                <w:rFonts w:ascii="宋体" w:hAnsi="宋体" w:eastAsia="宋体" w:cs="宋体"/>
                <w:color w:val="000000" w:themeColor="text1"/>
                <w:kern w:val="0"/>
                <w:szCs w:val="32"/>
                <w14:textFill>
                  <w14:solidFill>
                    <w14:schemeClr w14:val="tx1"/>
                  </w14:solidFill>
                </w14:textFill>
              </w:rPr>
            </w:pPr>
            <w:r>
              <w:rPr>
                <w:rFonts w:hint="eastAsia" w:ascii="宋体" w:hAnsi="宋体" w:eastAsia="宋体" w:cs="宋体"/>
                <w:color w:val="000000" w:themeColor="text1"/>
                <w:kern w:val="0"/>
                <w:szCs w:val="32"/>
                <w14:textFill>
                  <w14:solidFill>
                    <w14:schemeClr w14:val="tx1"/>
                  </w14:solidFill>
                </w14:textFill>
              </w:rPr>
              <w:t>中大咨询</w:t>
            </w:r>
          </w:p>
        </w:tc>
        <w:tc>
          <w:tcPr>
            <w:tcW w:w="4292" w:type="dxa"/>
            <w:tcBorders>
              <w:top w:val="nil"/>
              <w:left w:val="nil"/>
              <w:bottom w:val="single" w:color="auto" w:sz="4" w:space="0"/>
              <w:right w:val="single" w:color="auto" w:sz="4" w:space="0"/>
            </w:tcBorders>
            <w:shd w:val="clear" w:color="auto" w:fill="auto"/>
            <w:vAlign w:val="center"/>
          </w:tcPr>
          <w:p>
            <w:pPr>
              <w:widowControl/>
              <w:snapToGrid/>
              <w:spacing w:line="240" w:lineRule="auto"/>
              <w:ind w:firstLine="0" w:firstLineChars="0"/>
              <w:jc w:val="center"/>
              <w:rPr>
                <w:rFonts w:ascii="宋体" w:hAnsi="宋体" w:eastAsia="宋体" w:cs="宋体"/>
                <w:color w:val="000000" w:themeColor="text1"/>
                <w:kern w:val="0"/>
                <w:szCs w:val="32"/>
                <w14:textFill>
                  <w14:solidFill>
                    <w14:schemeClr w14:val="tx1"/>
                  </w14:solidFill>
                </w14:textFill>
              </w:rPr>
            </w:pPr>
            <w:r>
              <w:rPr>
                <w:rFonts w:hint="eastAsia" w:ascii="宋体" w:hAnsi="宋体" w:eastAsia="宋体" w:cs="宋体"/>
                <w:color w:val="000000" w:themeColor="text1"/>
                <w:kern w:val="0"/>
                <w:szCs w:val="32"/>
                <w14:textFill>
                  <w14:solidFill>
                    <w14:schemeClr w14:val="tx1"/>
                  </w14:solidFill>
                </w14:textFill>
              </w:rPr>
              <w:t>业务四部总监/项目实施总监</w:t>
            </w:r>
          </w:p>
        </w:tc>
      </w:tr>
      <w:tr>
        <w:tblPrEx>
          <w:tblCellMar>
            <w:top w:w="0" w:type="dxa"/>
            <w:left w:w="108" w:type="dxa"/>
            <w:bottom w:w="0" w:type="dxa"/>
            <w:right w:w="108" w:type="dxa"/>
          </w:tblCellMar>
        </w:tblPrEx>
        <w:trPr>
          <w:trHeight w:val="567"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rPr>
                <w:rFonts w:ascii="宋体" w:hAnsi="宋体" w:eastAsia="宋体" w:cs="宋体"/>
                <w:color w:val="000000" w:themeColor="text1"/>
                <w:kern w:val="0"/>
                <w:szCs w:val="32"/>
                <w14:textFill>
                  <w14:solidFill>
                    <w14:schemeClr w14:val="tx1"/>
                  </w14:solidFill>
                </w14:textFill>
              </w:rPr>
            </w:pPr>
            <w:r>
              <w:rPr>
                <w:rFonts w:hint="eastAsia" w:ascii="宋体" w:hAnsi="宋体" w:eastAsia="宋体" w:cs="宋体"/>
                <w:color w:val="000000" w:themeColor="text1"/>
                <w:kern w:val="0"/>
                <w:szCs w:val="32"/>
                <w14:textFill>
                  <w14:solidFill>
                    <w14:schemeClr w14:val="tx1"/>
                  </w14:solidFill>
                </w14:textFill>
              </w:rPr>
              <w:t>梁榕蓉</w:t>
            </w:r>
          </w:p>
        </w:tc>
        <w:tc>
          <w:tcPr>
            <w:tcW w:w="2512" w:type="dxa"/>
            <w:tcBorders>
              <w:top w:val="single" w:color="auto" w:sz="4" w:space="0"/>
              <w:left w:val="nil"/>
              <w:bottom w:val="single" w:color="auto" w:sz="4" w:space="0"/>
              <w:right w:val="single" w:color="auto" w:sz="4" w:space="0"/>
            </w:tcBorders>
            <w:shd w:val="clear" w:color="auto" w:fill="auto"/>
            <w:vAlign w:val="center"/>
          </w:tcPr>
          <w:p>
            <w:pPr>
              <w:widowControl/>
              <w:snapToGrid/>
              <w:spacing w:line="240" w:lineRule="auto"/>
              <w:ind w:firstLine="0" w:firstLineChars="0"/>
              <w:jc w:val="center"/>
              <w:rPr>
                <w:rFonts w:ascii="宋体" w:hAnsi="宋体" w:eastAsia="宋体" w:cs="宋体"/>
                <w:color w:val="000000" w:themeColor="text1"/>
                <w:kern w:val="0"/>
                <w:szCs w:val="32"/>
                <w14:textFill>
                  <w14:solidFill>
                    <w14:schemeClr w14:val="tx1"/>
                  </w14:solidFill>
                </w14:textFill>
              </w:rPr>
            </w:pPr>
            <w:r>
              <w:rPr>
                <w:rFonts w:hint="eastAsia" w:ascii="宋体" w:hAnsi="宋体" w:eastAsia="宋体" w:cs="宋体"/>
                <w:color w:val="000000" w:themeColor="text1"/>
                <w:kern w:val="0"/>
                <w:szCs w:val="32"/>
                <w14:textFill>
                  <w14:solidFill>
                    <w14:schemeClr w14:val="tx1"/>
                  </w14:solidFill>
                </w14:textFill>
              </w:rPr>
              <w:t>中大咨询</w:t>
            </w:r>
          </w:p>
        </w:tc>
        <w:tc>
          <w:tcPr>
            <w:tcW w:w="4292" w:type="dxa"/>
            <w:tcBorders>
              <w:top w:val="single" w:color="auto" w:sz="4" w:space="0"/>
              <w:left w:val="nil"/>
              <w:bottom w:val="single" w:color="auto" w:sz="4" w:space="0"/>
              <w:right w:val="single" w:color="auto" w:sz="4" w:space="0"/>
            </w:tcBorders>
            <w:shd w:val="clear" w:color="auto" w:fill="auto"/>
            <w:vAlign w:val="center"/>
          </w:tcPr>
          <w:p>
            <w:pPr>
              <w:widowControl/>
              <w:snapToGrid/>
              <w:spacing w:line="240" w:lineRule="auto"/>
              <w:ind w:firstLine="0" w:firstLineChars="0"/>
              <w:jc w:val="center"/>
              <w:rPr>
                <w:rFonts w:ascii="宋体" w:hAnsi="宋体" w:eastAsia="宋体" w:cs="宋体"/>
                <w:color w:val="000000" w:themeColor="text1"/>
                <w:kern w:val="0"/>
                <w:szCs w:val="32"/>
                <w14:textFill>
                  <w14:solidFill>
                    <w14:schemeClr w14:val="tx1"/>
                  </w14:solidFill>
                </w14:textFill>
              </w:rPr>
            </w:pPr>
            <w:r>
              <w:rPr>
                <w:rFonts w:hint="eastAsia" w:ascii="宋体" w:hAnsi="宋体" w:eastAsia="宋体" w:cs="宋体"/>
                <w:color w:val="000000" w:themeColor="text1"/>
                <w:kern w:val="0"/>
                <w:szCs w:val="32"/>
                <w14:textFill>
                  <w14:solidFill>
                    <w14:schemeClr w14:val="tx1"/>
                  </w14:solidFill>
                </w14:textFill>
              </w:rPr>
              <w:t>评审顾问/项目经理</w:t>
            </w:r>
          </w:p>
        </w:tc>
      </w:tr>
      <w:tr>
        <w:tblPrEx>
          <w:tblCellMar>
            <w:top w:w="0" w:type="dxa"/>
            <w:left w:w="108" w:type="dxa"/>
            <w:bottom w:w="0" w:type="dxa"/>
            <w:right w:w="108" w:type="dxa"/>
          </w:tblCellMar>
        </w:tblPrEx>
        <w:trPr>
          <w:trHeight w:val="567"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rPr>
                <w:rFonts w:ascii="宋体" w:hAnsi="宋体" w:eastAsia="宋体" w:cs="宋体"/>
                <w:color w:val="000000" w:themeColor="text1"/>
                <w:kern w:val="0"/>
                <w:szCs w:val="32"/>
                <w14:textFill>
                  <w14:solidFill>
                    <w14:schemeClr w14:val="tx1"/>
                  </w14:solidFill>
                </w14:textFill>
              </w:rPr>
            </w:pPr>
            <w:r>
              <w:rPr>
                <w:rFonts w:hint="eastAsia" w:ascii="宋体" w:hAnsi="宋体" w:eastAsia="宋体" w:cs="宋体"/>
                <w:color w:val="000000" w:themeColor="text1"/>
                <w:kern w:val="0"/>
                <w:szCs w:val="32"/>
                <w14:textFill>
                  <w14:solidFill>
                    <w14:schemeClr w14:val="tx1"/>
                  </w14:solidFill>
                </w14:textFill>
              </w:rPr>
              <w:t>许颖</w:t>
            </w:r>
          </w:p>
        </w:tc>
        <w:tc>
          <w:tcPr>
            <w:tcW w:w="2512" w:type="dxa"/>
            <w:tcBorders>
              <w:top w:val="single" w:color="auto" w:sz="4" w:space="0"/>
              <w:left w:val="nil"/>
              <w:bottom w:val="single" w:color="auto" w:sz="4" w:space="0"/>
              <w:right w:val="single" w:color="auto" w:sz="4" w:space="0"/>
            </w:tcBorders>
            <w:shd w:val="clear" w:color="auto" w:fill="auto"/>
            <w:vAlign w:val="center"/>
          </w:tcPr>
          <w:p>
            <w:pPr>
              <w:widowControl/>
              <w:snapToGrid/>
              <w:spacing w:line="240" w:lineRule="auto"/>
              <w:ind w:firstLine="0" w:firstLineChars="0"/>
              <w:jc w:val="center"/>
              <w:rPr>
                <w:rFonts w:ascii="宋体" w:hAnsi="宋体" w:eastAsia="宋体" w:cs="宋体"/>
                <w:color w:val="000000" w:themeColor="text1"/>
                <w:kern w:val="0"/>
                <w:szCs w:val="32"/>
                <w14:textFill>
                  <w14:solidFill>
                    <w14:schemeClr w14:val="tx1"/>
                  </w14:solidFill>
                </w14:textFill>
              </w:rPr>
            </w:pPr>
            <w:r>
              <w:rPr>
                <w:rFonts w:hint="eastAsia" w:ascii="宋体" w:hAnsi="宋体" w:eastAsia="宋体" w:cs="宋体"/>
                <w:color w:val="000000" w:themeColor="text1"/>
                <w:kern w:val="0"/>
                <w:szCs w:val="32"/>
                <w14:textFill>
                  <w14:solidFill>
                    <w14:schemeClr w14:val="tx1"/>
                  </w14:solidFill>
                </w14:textFill>
              </w:rPr>
              <w:t>中大咨询</w:t>
            </w:r>
          </w:p>
        </w:tc>
        <w:tc>
          <w:tcPr>
            <w:tcW w:w="4292" w:type="dxa"/>
            <w:tcBorders>
              <w:top w:val="single" w:color="auto" w:sz="4" w:space="0"/>
              <w:left w:val="nil"/>
              <w:bottom w:val="single" w:color="auto" w:sz="4" w:space="0"/>
              <w:right w:val="single" w:color="auto" w:sz="4" w:space="0"/>
            </w:tcBorders>
            <w:shd w:val="clear" w:color="auto" w:fill="auto"/>
            <w:vAlign w:val="center"/>
          </w:tcPr>
          <w:p>
            <w:pPr>
              <w:widowControl/>
              <w:snapToGrid/>
              <w:spacing w:line="240" w:lineRule="auto"/>
              <w:ind w:firstLine="0" w:firstLineChars="0"/>
              <w:jc w:val="center"/>
              <w:rPr>
                <w:rFonts w:ascii="宋体" w:hAnsi="宋体" w:eastAsia="宋体" w:cs="宋体"/>
                <w:color w:val="000000" w:themeColor="text1"/>
                <w:kern w:val="0"/>
                <w:szCs w:val="32"/>
                <w14:textFill>
                  <w14:solidFill>
                    <w14:schemeClr w14:val="tx1"/>
                  </w14:solidFill>
                </w14:textFill>
              </w:rPr>
            </w:pPr>
            <w:r>
              <w:rPr>
                <w:rFonts w:hint="eastAsia" w:ascii="宋体" w:hAnsi="宋体" w:eastAsia="宋体" w:cs="宋体"/>
                <w:color w:val="000000" w:themeColor="text1"/>
                <w:kern w:val="0"/>
                <w:szCs w:val="32"/>
                <w14:textFill>
                  <w14:solidFill>
                    <w14:schemeClr w14:val="tx1"/>
                  </w14:solidFill>
                </w14:textFill>
              </w:rPr>
              <w:t>助理评审顾问/项目成员</w:t>
            </w:r>
          </w:p>
        </w:tc>
      </w:tr>
    </w:tbl>
    <w:p>
      <w:pPr>
        <w:ind w:firstLineChars="0"/>
        <w:rPr>
          <w:rFonts w:ascii="Times New Roman" w:hAnsi="Times New Roman"/>
          <w:color w:val="000000" w:themeColor="text1"/>
          <w:szCs w:val="32"/>
          <w14:textFill>
            <w14:solidFill>
              <w14:schemeClr w14:val="tx1"/>
            </w14:solidFill>
          </w14:textFill>
        </w:rPr>
      </w:pPr>
    </w:p>
    <w:sectPr>
      <w:footnotePr>
        <w:numRestart w:val="eachPage"/>
      </w:footnotePr>
      <w:pgSz w:w="11906" w:h="16838"/>
      <w:pgMar w:top="1440" w:right="1797" w:bottom="1440" w:left="1797" w:header="851" w:footer="992" w:gutter="0"/>
      <w:pgNumType w:fmt="numberInDash"/>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Palatino Linotype"/>
    <w:panose1 w:val="02040503050406030204"/>
    <w:charset w:val="00"/>
    <w:family w:val="roman"/>
    <w:pitch w:val="default"/>
    <w:sig w:usb0="00000000" w:usb1="00000000" w:usb2="02000000" w:usb3="00000000" w:csb0="0000019F" w:csb1="00000000"/>
  </w:font>
  <w:font w:name="Calibri Light">
    <w:altName w:val="NumberOnly"/>
    <w:panose1 w:val="020F0302020204030204"/>
    <w:charset w:val="00"/>
    <w:family w:val="swiss"/>
    <w:pitch w:val="default"/>
    <w:sig w:usb0="00000000" w:usb1="00000000" w:usb2="00000009" w:usb3="00000000" w:csb0="000001FF" w:csb1="00000000"/>
  </w:font>
  <w:font w:name="Book Antiqua">
    <w:panose1 w:val="02040602050305030304"/>
    <w:charset w:val="00"/>
    <w:family w:val="roman"/>
    <w:pitch w:val="default"/>
    <w:sig w:usb0="00000287" w:usb1="00000000" w:usb2="00000000" w:usb3="00000000" w:csb0="2000009F" w:csb1="DFD70000"/>
  </w:font>
  <w:font w:name="仿宋">
    <w:altName w:val="微软雅黑"/>
    <w:panose1 w:val="02010609060101010101"/>
    <w:charset w:val="86"/>
    <w:family w:val="modern"/>
    <w:pitch w:val="default"/>
    <w:sig w:usb0="00000000" w:usb1="00000000"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00000287" w:usb1="00000000" w:usb2="00000000"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Palatino Linotype">
    <w:panose1 w:val="02040502050505030304"/>
    <w:charset w:val="00"/>
    <w:family w:val="auto"/>
    <w:pitch w:val="default"/>
    <w:sig w:usb0="E0000387" w:usb1="40000013" w:usb2="00000000" w:usb3="00000000" w:csb0="2000019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p>
  <w:p>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p>
  <w:p>
    <w:pPr>
      <w:pStyle w:val="2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0"/>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4"/>
        <w:ind w:firstLine="360"/>
        <w:rPr>
          <w:rFonts w:asciiTheme="minorEastAsia" w:hAnsiTheme="minorEastAsia" w:eastAsiaTheme="minorEastAsia"/>
        </w:rPr>
      </w:pPr>
      <w:r>
        <w:footnoteRef/>
      </w:r>
      <w:r>
        <w:rPr>
          <w:rFonts w:asciiTheme="minorEastAsia" w:hAnsiTheme="minorEastAsia" w:eastAsiaTheme="minorEastAsia"/>
        </w:rPr>
        <w:t xml:space="preserve"> </w:t>
      </w:r>
      <w:r>
        <w:rPr>
          <w:rFonts w:hint="eastAsia" w:asciiTheme="minorEastAsia" w:hAnsiTheme="minorEastAsia" w:eastAsiaTheme="minorEastAsia"/>
        </w:rPr>
        <w:t>原市政府颁发的《韶关市国有关闭、破产企业职工分流安置暂行办法》（韶府〔2001〕126号）同时废止。</w:t>
      </w:r>
    </w:p>
  </w:footnote>
  <w:footnote w:id="1">
    <w:p>
      <w:pPr>
        <w:pStyle w:val="24"/>
        <w:ind w:firstLine="360"/>
        <w:rPr>
          <w:rFonts w:asciiTheme="minorEastAsia" w:hAnsiTheme="minorEastAsia" w:eastAsiaTheme="minorEastAsia"/>
        </w:rPr>
      </w:pPr>
      <w:r>
        <w:rPr>
          <w:rFonts w:asciiTheme="minorEastAsia" w:hAnsiTheme="minorEastAsia" w:eastAsiaTheme="minorEastAsia"/>
        </w:rPr>
        <w:footnoteRef/>
      </w:r>
      <w:r>
        <w:rPr>
          <w:rFonts w:hint="eastAsia" w:asciiTheme="minorEastAsia" w:hAnsiTheme="minorEastAsia" w:eastAsiaTheme="minorEastAsia"/>
        </w:rPr>
        <w:t>根据《韶关市国有关闭、破产企业职工分流安置暂行办法》的通知（韶府〔2002〕5号），关闭破产企业职工分流安置程序为：制定职工分流安置方案-征求工会意见-企业主管部门审核-人社局（原劳动和社会保障局）核准备案-费用落实后，按批准方案分流职工。</w:t>
      </w:r>
    </w:p>
  </w:footnote>
  <w:footnote w:id="2">
    <w:p>
      <w:pPr>
        <w:pStyle w:val="24"/>
        <w:ind w:firstLine="400"/>
      </w:pPr>
      <w:r>
        <w:rPr>
          <w:sz w:val="20"/>
        </w:rPr>
        <w:footnoteRef/>
      </w:r>
      <w:r>
        <w:rPr>
          <w:sz w:val="20"/>
        </w:rPr>
        <w:t xml:space="preserve"> </w:t>
      </w:r>
      <w:r>
        <w:rPr>
          <w:rFonts w:hint="eastAsia"/>
          <w:sz w:val="20"/>
        </w:rPr>
        <w:t>得分率</w:t>
      </w:r>
      <w:r>
        <w:rPr>
          <w:sz w:val="20"/>
        </w:rPr>
        <w:t>=</w:t>
      </w:r>
      <w:r>
        <w:rPr>
          <w:rFonts w:hint="eastAsia"/>
          <w:sz w:val="20"/>
        </w:rPr>
        <w:t>实际</w:t>
      </w:r>
      <w:r>
        <w:rPr>
          <w:sz w:val="20"/>
        </w:rPr>
        <w:t>得分</w:t>
      </w:r>
      <w:r>
        <w:rPr>
          <w:rFonts w:hint="eastAsia"/>
          <w:sz w:val="20"/>
        </w:rPr>
        <w:t>/指标</w:t>
      </w:r>
      <w:r>
        <w:rPr>
          <w:sz w:val="20"/>
        </w:rPr>
        <w:t>分值</w:t>
      </w:r>
    </w:p>
  </w:footnote>
  <w:footnote w:id="3">
    <w:p>
      <w:pPr>
        <w:pStyle w:val="24"/>
        <w:ind w:firstLine="360"/>
      </w:pPr>
      <w:r>
        <w:rPr>
          <w:rFonts w:asciiTheme="minorEastAsia" w:hAnsiTheme="minorEastAsia" w:eastAsiaTheme="minorEastAsia"/>
        </w:rPr>
        <w:footnoteRef/>
      </w:r>
      <w:r>
        <w:rPr>
          <w:rFonts w:asciiTheme="minorEastAsia" w:hAnsiTheme="minorEastAsia" w:eastAsiaTheme="minorEastAsia"/>
        </w:rPr>
        <w:t xml:space="preserve"> </w:t>
      </w:r>
      <w:r>
        <w:rPr>
          <w:rFonts w:hint="eastAsia" w:asciiTheme="minorEastAsia" w:hAnsiTheme="minorEastAsia" w:eastAsiaTheme="minorEastAsia"/>
        </w:rPr>
        <w:t>《人力资源和社会保障部财政部国务院国有资产监督管理委员会监察部关于妥善解决关闭破产国有企业退休人员等医疗保障有关问题的通知》（人社部发〔2009〕52号）</w:t>
      </w:r>
    </w:p>
  </w:footnote>
  <w:footnote w:id="4">
    <w:p>
      <w:pPr>
        <w:pStyle w:val="24"/>
        <w:ind w:firstLine="360"/>
      </w:pPr>
      <w:r>
        <w:rPr>
          <w:rFonts w:asciiTheme="minorEastAsia" w:hAnsiTheme="minorEastAsia" w:eastAsiaTheme="minorEastAsia"/>
        </w:rPr>
        <w:footnoteRef/>
      </w:r>
      <w:r>
        <w:rPr>
          <w:rFonts w:asciiTheme="minorEastAsia" w:hAnsiTheme="minorEastAsia" w:eastAsiaTheme="minorEastAsia"/>
        </w:rPr>
        <w:t xml:space="preserve"> </w:t>
      </w:r>
      <w:r>
        <w:rPr>
          <w:rFonts w:hint="eastAsia" w:asciiTheme="minorEastAsia" w:hAnsiTheme="minorEastAsia" w:eastAsiaTheme="minorEastAsia"/>
        </w:rPr>
        <w:t>《关于转发积极推进我省企业退休人员社会化管理服务工作的意见》（韶劳社办〔2007〕69号）</w:t>
      </w:r>
    </w:p>
  </w:footnote>
  <w:footnote w:id="5">
    <w:p>
      <w:pPr>
        <w:pStyle w:val="24"/>
        <w:ind w:firstLine="360"/>
      </w:pPr>
      <w:r>
        <w:rPr>
          <w:rStyle w:val="40"/>
        </w:rPr>
        <w:footnoteRef/>
      </w:r>
      <w:r>
        <w:t xml:space="preserve"> </w:t>
      </w:r>
      <w:r>
        <w:rPr>
          <w:rFonts w:hint="eastAsia"/>
        </w:rPr>
        <w:t>《中华人民共和国会计法》第十四条：会计凭证包括原始凭证和记帐凭证。办理本法第十条所列的经济业务事项，必须填制或者取得原始凭证并及时送交会计机构。 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 原始凭证记载的各项内容均不得涂改；原始凭证有错误的，应当由出具单位重开或者更正，更正处应当加盖出具单位印章。原始凭证金额有错误的，应当由出具单位重开，不得在原始凭证上更正。 记帐凭证应当根据经过审核的原始凭证及有关资料编制。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46"/>
    <w:rsid w:val="00000A13"/>
    <w:rsid w:val="000019FB"/>
    <w:rsid w:val="00001CB3"/>
    <w:rsid w:val="00003D2F"/>
    <w:rsid w:val="000054BB"/>
    <w:rsid w:val="00005EDB"/>
    <w:rsid w:val="00006F49"/>
    <w:rsid w:val="000077ED"/>
    <w:rsid w:val="00007C7A"/>
    <w:rsid w:val="00014657"/>
    <w:rsid w:val="00015276"/>
    <w:rsid w:val="0001558F"/>
    <w:rsid w:val="0001750E"/>
    <w:rsid w:val="000176E3"/>
    <w:rsid w:val="00020AD8"/>
    <w:rsid w:val="00021967"/>
    <w:rsid w:val="0002283E"/>
    <w:rsid w:val="000231D0"/>
    <w:rsid w:val="0002435B"/>
    <w:rsid w:val="00024532"/>
    <w:rsid w:val="000246EC"/>
    <w:rsid w:val="00025D3D"/>
    <w:rsid w:val="0002639E"/>
    <w:rsid w:val="000272F8"/>
    <w:rsid w:val="00027A18"/>
    <w:rsid w:val="00030044"/>
    <w:rsid w:val="0003077C"/>
    <w:rsid w:val="00031193"/>
    <w:rsid w:val="00031714"/>
    <w:rsid w:val="000318EA"/>
    <w:rsid w:val="00031FDF"/>
    <w:rsid w:val="000336EC"/>
    <w:rsid w:val="00035A19"/>
    <w:rsid w:val="00036519"/>
    <w:rsid w:val="000374EB"/>
    <w:rsid w:val="00037996"/>
    <w:rsid w:val="00037A15"/>
    <w:rsid w:val="0004076F"/>
    <w:rsid w:val="00040881"/>
    <w:rsid w:val="000413BD"/>
    <w:rsid w:val="00041417"/>
    <w:rsid w:val="0004223A"/>
    <w:rsid w:val="00044660"/>
    <w:rsid w:val="00044BA3"/>
    <w:rsid w:val="00044E91"/>
    <w:rsid w:val="00045888"/>
    <w:rsid w:val="00045901"/>
    <w:rsid w:val="00045DCC"/>
    <w:rsid w:val="00046651"/>
    <w:rsid w:val="00046883"/>
    <w:rsid w:val="000468BF"/>
    <w:rsid w:val="00046FD3"/>
    <w:rsid w:val="0004769D"/>
    <w:rsid w:val="00047EB5"/>
    <w:rsid w:val="00047ED1"/>
    <w:rsid w:val="00047F52"/>
    <w:rsid w:val="00051714"/>
    <w:rsid w:val="00051F98"/>
    <w:rsid w:val="00052004"/>
    <w:rsid w:val="00052921"/>
    <w:rsid w:val="00054289"/>
    <w:rsid w:val="0005448D"/>
    <w:rsid w:val="000547E8"/>
    <w:rsid w:val="00054BD3"/>
    <w:rsid w:val="00054C7F"/>
    <w:rsid w:val="00054C9F"/>
    <w:rsid w:val="00055E47"/>
    <w:rsid w:val="00055EA4"/>
    <w:rsid w:val="000567CB"/>
    <w:rsid w:val="000577C4"/>
    <w:rsid w:val="000601CE"/>
    <w:rsid w:val="00060409"/>
    <w:rsid w:val="0006044F"/>
    <w:rsid w:val="0006165D"/>
    <w:rsid w:val="00061A98"/>
    <w:rsid w:val="000629C3"/>
    <w:rsid w:val="00062F62"/>
    <w:rsid w:val="00063D61"/>
    <w:rsid w:val="000641F3"/>
    <w:rsid w:val="000648F6"/>
    <w:rsid w:val="00065DA7"/>
    <w:rsid w:val="0006737B"/>
    <w:rsid w:val="0006762D"/>
    <w:rsid w:val="00067D14"/>
    <w:rsid w:val="00070CC7"/>
    <w:rsid w:val="0007101D"/>
    <w:rsid w:val="00071C3C"/>
    <w:rsid w:val="00072461"/>
    <w:rsid w:val="00072630"/>
    <w:rsid w:val="00072A56"/>
    <w:rsid w:val="00072A66"/>
    <w:rsid w:val="000735FB"/>
    <w:rsid w:val="00073BA2"/>
    <w:rsid w:val="00073D38"/>
    <w:rsid w:val="00076200"/>
    <w:rsid w:val="0008005B"/>
    <w:rsid w:val="00080218"/>
    <w:rsid w:val="0008110F"/>
    <w:rsid w:val="0008139F"/>
    <w:rsid w:val="000817B1"/>
    <w:rsid w:val="000825C0"/>
    <w:rsid w:val="00082C08"/>
    <w:rsid w:val="00084099"/>
    <w:rsid w:val="00084CBB"/>
    <w:rsid w:val="00084F02"/>
    <w:rsid w:val="0008632B"/>
    <w:rsid w:val="00087BE7"/>
    <w:rsid w:val="00091D3D"/>
    <w:rsid w:val="00091D58"/>
    <w:rsid w:val="000943F6"/>
    <w:rsid w:val="000949B9"/>
    <w:rsid w:val="00095CB8"/>
    <w:rsid w:val="0009685B"/>
    <w:rsid w:val="0009699B"/>
    <w:rsid w:val="00096F67"/>
    <w:rsid w:val="000979CE"/>
    <w:rsid w:val="00097A12"/>
    <w:rsid w:val="00097A96"/>
    <w:rsid w:val="000A0023"/>
    <w:rsid w:val="000A035B"/>
    <w:rsid w:val="000A051C"/>
    <w:rsid w:val="000A0AA9"/>
    <w:rsid w:val="000A0C6B"/>
    <w:rsid w:val="000A22D0"/>
    <w:rsid w:val="000A30B1"/>
    <w:rsid w:val="000A3B7C"/>
    <w:rsid w:val="000A3BC3"/>
    <w:rsid w:val="000A4DC8"/>
    <w:rsid w:val="000A4E81"/>
    <w:rsid w:val="000A5AA2"/>
    <w:rsid w:val="000A5FC2"/>
    <w:rsid w:val="000A6119"/>
    <w:rsid w:val="000A646F"/>
    <w:rsid w:val="000A662C"/>
    <w:rsid w:val="000A6CA5"/>
    <w:rsid w:val="000B1805"/>
    <w:rsid w:val="000B1BD5"/>
    <w:rsid w:val="000B1C20"/>
    <w:rsid w:val="000B255C"/>
    <w:rsid w:val="000B32F2"/>
    <w:rsid w:val="000B4AF0"/>
    <w:rsid w:val="000B4E6C"/>
    <w:rsid w:val="000B50A2"/>
    <w:rsid w:val="000B53D1"/>
    <w:rsid w:val="000B5F3E"/>
    <w:rsid w:val="000B6213"/>
    <w:rsid w:val="000C089A"/>
    <w:rsid w:val="000C0A66"/>
    <w:rsid w:val="000C14BE"/>
    <w:rsid w:val="000C3697"/>
    <w:rsid w:val="000C5B47"/>
    <w:rsid w:val="000C6CE6"/>
    <w:rsid w:val="000C6F8A"/>
    <w:rsid w:val="000C7D09"/>
    <w:rsid w:val="000D07C1"/>
    <w:rsid w:val="000D0DC0"/>
    <w:rsid w:val="000D1859"/>
    <w:rsid w:val="000D2F37"/>
    <w:rsid w:val="000D31FA"/>
    <w:rsid w:val="000D3CEC"/>
    <w:rsid w:val="000D47DC"/>
    <w:rsid w:val="000D6042"/>
    <w:rsid w:val="000D67ED"/>
    <w:rsid w:val="000D6DF7"/>
    <w:rsid w:val="000E072A"/>
    <w:rsid w:val="000E2288"/>
    <w:rsid w:val="000E4746"/>
    <w:rsid w:val="000E58EB"/>
    <w:rsid w:val="000E5AD9"/>
    <w:rsid w:val="000E69E6"/>
    <w:rsid w:val="000E6A30"/>
    <w:rsid w:val="000E75BC"/>
    <w:rsid w:val="000F15EA"/>
    <w:rsid w:val="000F23D0"/>
    <w:rsid w:val="000F2415"/>
    <w:rsid w:val="000F2F80"/>
    <w:rsid w:val="000F34A6"/>
    <w:rsid w:val="000F352B"/>
    <w:rsid w:val="000F3A82"/>
    <w:rsid w:val="000F3AFB"/>
    <w:rsid w:val="000F50DE"/>
    <w:rsid w:val="000F649E"/>
    <w:rsid w:val="000F6AC7"/>
    <w:rsid w:val="000F6DD1"/>
    <w:rsid w:val="000F7A30"/>
    <w:rsid w:val="000F7D79"/>
    <w:rsid w:val="000F7F66"/>
    <w:rsid w:val="00100E0E"/>
    <w:rsid w:val="0010194F"/>
    <w:rsid w:val="00101AAE"/>
    <w:rsid w:val="00102B2E"/>
    <w:rsid w:val="00104A2F"/>
    <w:rsid w:val="00104BA4"/>
    <w:rsid w:val="00104CE8"/>
    <w:rsid w:val="00105F2B"/>
    <w:rsid w:val="00106381"/>
    <w:rsid w:val="00106995"/>
    <w:rsid w:val="00106A48"/>
    <w:rsid w:val="0010721D"/>
    <w:rsid w:val="001106D1"/>
    <w:rsid w:val="00110817"/>
    <w:rsid w:val="00112C28"/>
    <w:rsid w:val="00113280"/>
    <w:rsid w:val="0011347E"/>
    <w:rsid w:val="0011401E"/>
    <w:rsid w:val="001151F4"/>
    <w:rsid w:val="00116839"/>
    <w:rsid w:val="00117036"/>
    <w:rsid w:val="00120A1F"/>
    <w:rsid w:val="00120E96"/>
    <w:rsid w:val="00121621"/>
    <w:rsid w:val="001230E0"/>
    <w:rsid w:val="001245D7"/>
    <w:rsid w:val="00126DD2"/>
    <w:rsid w:val="00127082"/>
    <w:rsid w:val="00127C50"/>
    <w:rsid w:val="001303B1"/>
    <w:rsid w:val="00130775"/>
    <w:rsid w:val="001312B6"/>
    <w:rsid w:val="00131327"/>
    <w:rsid w:val="0013157E"/>
    <w:rsid w:val="001316A3"/>
    <w:rsid w:val="00132D50"/>
    <w:rsid w:val="001336C7"/>
    <w:rsid w:val="00133D11"/>
    <w:rsid w:val="0013414E"/>
    <w:rsid w:val="001346DA"/>
    <w:rsid w:val="00134A15"/>
    <w:rsid w:val="00134C19"/>
    <w:rsid w:val="00134F76"/>
    <w:rsid w:val="00135240"/>
    <w:rsid w:val="00135286"/>
    <w:rsid w:val="001353A1"/>
    <w:rsid w:val="0013578A"/>
    <w:rsid w:val="00135D33"/>
    <w:rsid w:val="00135EEA"/>
    <w:rsid w:val="00136397"/>
    <w:rsid w:val="00136DF0"/>
    <w:rsid w:val="00137799"/>
    <w:rsid w:val="00137D67"/>
    <w:rsid w:val="00140AEB"/>
    <w:rsid w:val="00140C57"/>
    <w:rsid w:val="0014188F"/>
    <w:rsid w:val="001429AE"/>
    <w:rsid w:val="00143D7B"/>
    <w:rsid w:val="001443E4"/>
    <w:rsid w:val="00145C19"/>
    <w:rsid w:val="00146A19"/>
    <w:rsid w:val="00146A78"/>
    <w:rsid w:val="00146E93"/>
    <w:rsid w:val="001471E1"/>
    <w:rsid w:val="00147B96"/>
    <w:rsid w:val="00147D60"/>
    <w:rsid w:val="00147EC7"/>
    <w:rsid w:val="00150FBF"/>
    <w:rsid w:val="001522DD"/>
    <w:rsid w:val="0015251C"/>
    <w:rsid w:val="00154DF1"/>
    <w:rsid w:val="001567ED"/>
    <w:rsid w:val="00156F94"/>
    <w:rsid w:val="00160454"/>
    <w:rsid w:val="00161337"/>
    <w:rsid w:val="00161A18"/>
    <w:rsid w:val="0016293D"/>
    <w:rsid w:val="00162C0F"/>
    <w:rsid w:val="00164371"/>
    <w:rsid w:val="00166007"/>
    <w:rsid w:val="001666F0"/>
    <w:rsid w:val="00167F1E"/>
    <w:rsid w:val="00167F7D"/>
    <w:rsid w:val="00170222"/>
    <w:rsid w:val="00170874"/>
    <w:rsid w:val="00171048"/>
    <w:rsid w:val="0017214B"/>
    <w:rsid w:val="00173AA9"/>
    <w:rsid w:val="00175436"/>
    <w:rsid w:val="001761D6"/>
    <w:rsid w:val="00176EBE"/>
    <w:rsid w:val="0017795C"/>
    <w:rsid w:val="00177EA8"/>
    <w:rsid w:val="0018035C"/>
    <w:rsid w:val="001808C5"/>
    <w:rsid w:val="001808E2"/>
    <w:rsid w:val="001808E8"/>
    <w:rsid w:val="00181D94"/>
    <w:rsid w:val="00181EE1"/>
    <w:rsid w:val="00182118"/>
    <w:rsid w:val="0018362E"/>
    <w:rsid w:val="001838F1"/>
    <w:rsid w:val="00184587"/>
    <w:rsid w:val="001845BF"/>
    <w:rsid w:val="0018464A"/>
    <w:rsid w:val="001857FC"/>
    <w:rsid w:val="001860B4"/>
    <w:rsid w:val="00186646"/>
    <w:rsid w:val="00187604"/>
    <w:rsid w:val="00187916"/>
    <w:rsid w:val="00191748"/>
    <w:rsid w:val="00191C30"/>
    <w:rsid w:val="001920E3"/>
    <w:rsid w:val="00192B6C"/>
    <w:rsid w:val="001943EA"/>
    <w:rsid w:val="00194F72"/>
    <w:rsid w:val="001951B0"/>
    <w:rsid w:val="00195742"/>
    <w:rsid w:val="00195D57"/>
    <w:rsid w:val="001967B1"/>
    <w:rsid w:val="00197579"/>
    <w:rsid w:val="00197654"/>
    <w:rsid w:val="001A0BA8"/>
    <w:rsid w:val="001A137A"/>
    <w:rsid w:val="001A2575"/>
    <w:rsid w:val="001A2742"/>
    <w:rsid w:val="001A299C"/>
    <w:rsid w:val="001A30F7"/>
    <w:rsid w:val="001A3FCD"/>
    <w:rsid w:val="001A4F40"/>
    <w:rsid w:val="001A517D"/>
    <w:rsid w:val="001A5DC0"/>
    <w:rsid w:val="001A620B"/>
    <w:rsid w:val="001A6A62"/>
    <w:rsid w:val="001A6C1A"/>
    <w:rsid w:val="001A6E97"/>
    <w:rsid w:val="001B17D7"/>
    <w:rsid w:val="001B17DD"/>
    <w:rsid w:val="001B206A"/>
    <w:rsid w:val="001B2131"/>
    <w:rsid w:val="001B213C"/>
    <w:rsid w:val="001B3A73"/>
    <w:rsid w:val="001B3ACA"/>
    <w:rsid w:val="001B3B84"/>
    <w:rsid w:val="001B47B7"/>
    <w:rsid w:val="001B4982"/>
    <w:rsid w:val="001B4A98"/>
    <w:rsid w:val="001B53A0"/>
    <w:rsid w:val="001B5922"/>
    <w:rsid w:val="001B5F96"/>
    <w:rsid w:val="001B67C3"/>
    <w:rsid w:val="001B70CF"/>
    <w:rsid w:val="001B74D4"/>
    <w:rsid w:val="001B7550"/>
    <w:rsid w:val="001B7DB9"/>
    <w:rsid w:val="001C0341"/>
    <w:rsid w:val="001C1577"/>
    <w:rsid w:val="001C172A"/>
    <w:rsid w:val="001C1A87"/>
    <w:rsid w:val="001C21D6"/>
    <w:rsid w:val="001C36E5"/>
    <w:rsid w:val="001C3E72"/>
    <w:rsid w:val="001C4CD1"/>
    <w:rsid w:val="001C75E8"/>
    <w:rsid w:val="001C76D5"/>
    <w:rsid w:val="001C7C38"/>
    <w:rsid w:val="001D2C35"/>
    <w:rsid w:val="001D4107"/>
    <w:rsid w:val="001D4D0C"/>
    <w:rsid w:val="001D5C58"/>
    <w:rsid w:val="001D5E4E"/>
    <w:rsid w:val="001D644B"/>
    <w:rsid w:val="001D6489"/>
    <w:rsid w:val="001D7438"/>
    <w:rsid w:val="001D7AC9"/>
    <w:rsid w:val="001D7E07"/>
    <w:rsid w:val="001D7EA1"/>
    <w:rsid w:val="001E0AB0"/>
    <w:rsid w:val="001E4955"/>
    <w:rsid w:val="001E49E5"/>
    <w:rsid w:val="001E55E3"/>
    <w:rsid w:val="001E5711"/>
    <w:rsid w:val="001E69CD"/>
    <w:rsid w:val="001E6DC6"/>
    <w:rsid w:val="001E7253"/>
    <w:rsid w:val="001F02A7"/>
    <w:rsid w:val="001F0B9A"/>
    <w:rsid w:val="001F2930"/>
    <w:rsid w:val="001F314F"/>
    <w:rsid w:val="001F319B"/>
    <w:rsid w:val="001F4847"/>
    <w:rsid w:val="001F4D7D"/>
    <w:rsid w:val="001F50E9"/>
    <w:rsid w:val="001F638C"/>
    <w:rsid w:val="001F7FB7"/>
    <w:rsid w:val="00200149"/>
    <w:rsid w:val="0020033D"/>
    <w:rsid w:val="00201180"/>
    <w:rsid w:val="00202180"/>
    <w:rsid w:val="00202D83"/>
    <w:rsid w:val="0020401D"/>
    <w:rsid w:val="00204532"/>
    <w:rsid w:val="00204586"/>
    <w:rsid w:val="00204659"/>
    <w:rsid w:val="002049DB"/>
    <w:rsid w:val="00205458"/>
    <w:rsid w:val="00206860"/>
    <w:rsid w:val="00206BE0"/>
    <w:rsid w:val="00206D80"/>
    <w:rsid w:val="00207185"/>
    <w:rsid w:val="00207291"/>
    <w:rsid w:val="00207C90"/>
    <w:rsid w:val="00210FFB"/>
    <w:rsid w:val="00212F53"/>
    <w:rsid w:val="00213388"/>
    <w:rsid w:val="00213CDB"/>
    <w:rsid w:val="00214565"/>
    <w:rsid w:val="0021469B"/>
    <w:rsid w:val="00214E4F"/>
    <w:rsid w:val="00217481"/>
    <w:rsid w:val="00221960"/>
    <w:rsid w:val="0022247A"/>
    <w:rsid w:val="00222562"/>
    <w:rsid w:val="00222928"/>
    <w:rsid w:val="0022339D"/>
    <w:rsid w:val="00223964"/>
    <w:rsid w:val="00223C59"/>
    <w:rsid w:val="00224C1B"/>
    <w:rsid w:val="00225E21"/>
    <w:rsid w:val="00226310"/>
    <w:rsid w:val="00230136"/>
    <w:rsid w:val="00230F66"/>
    <w:rsid w:val="002310C3"/>
    <w:rsid w:val="00232260"/>
    <w:rsid w:val="00233887"/>
    <w:rsid w:val="00234465"/>
    <w:rsid w:val="00236A4C"/>
    <w:rsid w:val="00237869"/>
    <w:rsid w:val="002404E2"/>
    <w:rsid w:val="00241B26"/>
    <w:rsid w:val="00241FDC"/>
    <w:rsid w:val="00242D4A"/>
    <w:rsid w:val="00243F14"/>
    <w:rsid w:val="00244507"/>
    <w:rsid w:val="00244AE5"/>
    <w:rsid w:val="00244E67"/>
    <w:rsid w:val="00245737"/>
    <w:rsid w:val="00245F99"/>
    <w:rsid w:val="00246011"/>
    <w:rsid w:val="0024617D"/>
    <w:rsid w:val="0024648D"/>
    <w:rsid w:val="002469B3"/>
    <w:rsid w:val="00247039"/>
    <w:rsid w:val="002477DD"/>
    <w:rsid w:val="00251F17"/>
    <w:rsid w:val="00252987"/>
    <w:rsid w:val="00253DD9"/>
    <w:rsid w:val="00253E2E"/>
    <w:rsid w:val="00255053"/>
    <w:rsid w:val="00256340"/>
    <w:rsid w:val="00256A2B"/>
    <w:rsid w:val="00256FFF"/>
    <w:rsid w:val="002570F1"/>
    <w:rsid w:val="002573CC"/>
    <w:rsid w:val="002575BE"/>
    <w:rsid w:val="00257740"/>
    <w:rsid w:val="00260857"/>
    <w:rsid w:val="00260D96"/>
    <w:rsid w:val="0026171C"/>
    <w:rsid w:val="00261B82"/>
    <w:rsid w:val="00261CA3"/>
    <w:rsid w:val="00261EA4"/>
    <w:rsid w:val="00262146"/>
    <w:rsid w:val="00262A91"/>
    <w:rsid w:val="00262DFE"/>
    <w:rsid w:val="002635BB"/>
    <w:rsid w:val="00263983"/>
    <w:rsid w:val="00263CA7"/>
    <w:rsid w:val="0026437B"/>
    <w:rsid w:val="00264E61"/>
    <w:rsid w:val="00265099"/>
    <w:rsid w:val="0026547B"/>
    <w:rsid w:val="002658EB"/>
    <w:rsid w:val="00265A85"/>
    <w:rsid w:val="00265FFD"/>
    <w:rsid w:val="0026757C"/>
    <w:rsid w:val="002704D3"/>
    <w:rsid w:val="0027084A"/>
    <w:rsid w:val="00270BB2"/>
    <w:rsid w:val="002724AE"/>
    <w:rsid w:val="0027360F"/>
    <w:rsid w:val="00273A38"/>
    <w:rsid w:val="0027534E"/>
    <w:rsid w:val="0027569B"/>
    <w:rsid w:val="00275C60"/>
    <w:rsid w:val="00276667"/>
    <w:rsid w:val="0027688B"/>
    <w:rsid w:val="00276B0F"/>
    <w:rsid w:val="00277FDA"/>
    <w:rsid w:val="002802DC"/>
    <w:rsid w:val="00280404"/>
    <w:rsid w:val="0028395B"/>
    <w:rsid w:val="00283990"/>
    <w:rsid w:val="00284FCA"/>
    <w:rsid w:val="00285985"/>
    <w:rsid w:val="00291E73"/>
    <w:rsid w:val="0029264D"/>
    <w:rsid w:val="00292799"/>
    <w:rsid w:val="00292C89"/>
    <w:rsid w:val="00293F95"/>
    <w:rsid w:val="00294378"/>
    <w:rsid w:val="00297D3B"/>
    <w:rsid w:val="002A014F"/>
    <w:rsid w:val="002A0747"/>
    <w:rsid w:val="002A107B"/>
    <w:rsid w:val="002A2554"/>
    <w:rsid w:val="002A26F0"/>
    <w:rsid w:val="002A27C6"/>
    <w:rsid w:val="002A2912"/>
    <w:rsid w:val="002A347C"/>
    <w:rsid w:val="002A3B2E"/>
    <w:rsid w:val="002A4477"/>
    <w:rsid w:val="002A4899"/>
    <w:rsid w:val="002A5AA4"/>
    <w:rsid w:val="002A6A94"/>
    <w:rsid w:val="002A72BC"/>
    <w:rsid w:val="002A743D"/>
    <w:rsid w:val="002A7628"/>
    <w:rsid w:val="002A76F0"/>
    <w:rsid w:val="002A7781"/>
    <w:rsid w:val="002A7C59"/>
    <w:rsid w:val="002B0771"/>
    <w:rsid w:val="002B0929"/>
    <w:rsid w:val="002B13E0"/>
    <w:rsid w:val="002B1E45"/>
    <w:rsid w:val="002B2E6C"/>
    <w:rsid w:val="002B3543"/>
    <w:rsid w:val="002B3768"/>
    <w:rsid w:val="002B4F91"/>
    <w:rsid w:val="002B4FF6"/>
    <w:rsid w:val="002B500B"/>
    <w:rsid w:val="002B5093"/>
    <w:rsid w:val="002B51D4"/>
    <w:rsid w:val="002B52CD"/>
    <w:rsid w:val="002B5DAA"/>
    <w:rsid w:val="002B5F01"/>
    <w:rsid w:val="002B7388"/>
    <w:rsid w:val="002B7755"/>
    <w:rsid w:val="002C0251"/>
    <w:rsid w:val="002C110D"/>
    <w:rsid w:val="002C17A9"/>
    <w:rsid w:val="002C1EDB"/>
    <w:rsid w:val="002C2D16"/>
    <w:rsid w:val="002C3367"/>
    <w:rsid w:val="002C3954"/>
    <w:rsid w:val="002C7626"/>
    <w:rsid w:val="002D075D"/>
    <w:rsid w:val="002D130A"/>
    <w:rsid w:val="002D1898"/>
    <w:rsid w:val="002D3F2E"/>
    <w:rsid w:val="002D413F"/>
    <w:rsid w:val="002D4434"/>
    <w:rsid w:val="002D45CE"/>
    <w:rsid w:val="002D579A"/>
    <w:rsid w:val="002D6294"/>
    <w:rsid w:val="002D64E1"/>
    <w:rsid w:val="002D6719"/>
    <w:rsid w:val="002D6EF1"/>
    <w:rsid w:val="002D71C3"/>
    <w:rsid w:val="002E01CE"/>
    <w:rsid w:val="002E13CF"/>
    <w:rsid w:val="002E4291"/>
    <w:rsid w:val="002E4E2E"/>
    <w:rsid w:val="002E5B64"/>
    <w:rsid w:val="002E62F3"/>
    <w:rsid w:val="002E645A"/>
    <w:rsid w:val="002E687F"/>
    <w:rsid w:val="002E7853"/>
    <w:rsid w:val="002F1381"/>
    <w:rsid w:val="002F17A8"/>
    <w:rsid w:val="002F195F"/>
    <w:rsid w:val="002F1B62"/>
    <w:rsid w:val="002F35F3"/>
    <w:rsid w:val="002F3920"/>
    <w:rsid w:val="002F50C2"/>
    <w:rsid w:val="002F5E1B"/>
    <w:rsid w:val="002F73E8"/>
    <w:rsid w:val="002F7B64"/>
    <w:rsid w:val="003024ED"/>
    <w:rsid w:val="00302983"/>
    <w:rsid w:val="00302F43"/>
    <w:rsid w:val="00302F84"/>
    <w:rsid w:val="00304FD8"/>
    <w:rsid w:val="00305BF5"/>
    <w:rsid w:val="003068D5"/>
    <w:rsid w:val="00306CD2"/>
    <w:rsid w:val="00306D4A"/>
    <w:rsid w:val="003077A1"/>
    <w:rsid w:val="003106FC"/>
    <w:rsid w:val="00310900"/>
    <w:rsid w:val="0031162F"/>
    <w:rsid w:val="00311710"/>
    <w:rsid w:val="00311BAD"/>
    <w:rsid w:val="0031265A"/>
    <w:rsid w:val="0031312B"/>
    <w:rsid w:val="003135F5"/>
    <w:rsid w:val="00313D66"/>
    <w:rsid w:val="00313DD2"/>
    <w:rsid w:val="0031517B"/>
    <w:rsid w:val="003156F3"/>
    <w:rsid w:val="003175F7"/>
    <w:rsid w:val="00320C43"/>
    <w:rsid w:val="00320DEF"/>
    <w:rsid w:val="00321937"/>
    <w:rsid w:val="00321D3A"/>
    <w:rsid w:val="00323C24"/>
    <w:rsid w:val="00323E47"/>
    <w:rsid w:val="00324DCB"/>
    <w:rsid w:val="00325734"/>
    <w:rsid w:val="00326A11"/>
    <w:rsid w:val="00326AFD"/>
    <w:rsid w:val="003308C2"/>
    <w:rsid w:val="00331283"/>
    <w:rsid w:val="0033156D"/>
    <w:rsid w:val="003317E2"/>
    <w:rsid w:val="00331D28"/>
    <w:rsid w:val="00331DBB"/>
    <w:rsid w:val="00335F28"/>
    <w:rsid w:val="003361F7"/>
    <w:rsid w:val="00336421"/>
    <w:rsid w:val="0033676C"/>
    <w:rsid w:val="00336935"/>
    <w:rsid w:val="00337F34"/>
    <w:rsid w:val="003404E9"/>
    <w:rsid w:val="0034121E"/>
    <w:rsid w:val="003412B8"/>
    <w:rsid w:val="00341B1D"/>
    <w:rsid w:val="003455FC"/>
    <w:rsid w:val="0034582F"/>
    <w:rsid w:val="00350369"/>
    <w:rsid w:val="00350796"/>
    <w:rsid w:val="0035214A"/>
    <w:rsid w:val="00353B8A"/>
    <w:rsid w:val="00354DA2"/>
    <w:rsid w:val="00354DE1"/>
    <w:rsid w:val="00357EB2"/>
    <w:rsid w:val="00360696"/>
    <w:rsid w:val="00360C98"/>
    <w:rsid w:val="00360EC6"/>
    <w:rsid w:val="00361FA3"/>
    <w:rsid w:val="003624A8"/>
    <w:rsid w:val="00363A4C"/>
    <w:rsid w:val="003641F2"/>
    <w:rsid w:val="003646EF"/>
    <w:rsid w:val="00364ADF"/>
    <w:rsid w:val="00365F21"/>
    <w:rsid w:val="00366866"/>
    <w:rsid w:val="00370B25"/>
    <w:rsid w:val="0037208D"/>
    <w:rsid w:val="0037503F"/>
    <w:rsid w:val="00375328"/>
    <w:rsid w:val="0037578C"/>
    <w:rsid w:val="00375AB7"/>
    <w:rsid w:val="003760EF"/>
    <w:rsid w:val="00376784"/>
    <w:rsid w:val="00376971"/>
    <w:rsid w:val="003772EE"/>
    <w:rsid w:val="0038050B"/>
    <w:rsid w:val="00380F2A"/>
    <w:rsid w:val="00382CF7"/>
    <w:rsid w:val="00382D4D"/>
    <w:rsid w:val="003830D1"/>
    <w:rsid w:val="0038313A"/>
    <w:rsid w:val="00384976"/>
    <w:rsid w:val="00387F6D"/>
    <w:rsid w:val="00390BD2"/>
    <w:rsid w:val="00391597"/>
    <w:rsid w:val="0039176A"/>
    <w:rsid w:val="00391A55"/>
    <w:rsid w:val="003928B5"/>
    <w:rsid w:val="00392901"/>
    <w:rsid w:val="003929C7"/>
    <w:rsid w:val="00392B8B"/>
    <w:rsid w:val="00393306"/>
    <w:rsid w:val="00393F85"/>
    <w:rsid w:val="003948C3"/>
    <w:rsid w:val="00394DE3"/>
    <w:rsid w:val="003961EB"/>
    <w:rsid w:val="00396769"/>
    <w:rsid w:val="003A0A91"/>
    <w:rsid w:val="003A1447"/>
    <w:rsid w:val="003A188B"/>
    <w:rsid w:val="003A1AFC"/>
    <w:rsid w:val="003A1B71"/>
    <w:rsid w:val="003A27AB"/>
    <w:rsid w:val="003A3640"/>
    <w:rsid w:val="003A3820"/>
    <w:rsid w:val="003A4215"/>
    <w:rsid w:val="003A439C"/>
    <w:rsid w:val="003A4A64"/>
    <w:rsid w:val="003A4AF0"/>
    <w:rsid w:val="003A4B33"/>
    <w:rsid w:val="003A4D7E"/>
    <w:rsid w:val="003A6249"/>
    <w:rsid w:val="003A6A69"/>
    <w:rsid w:val="003B15AE"/>
    <w:rsid w:val="003B2505"/>
    <w:rsid w:val="003B30D9"/>
    <w:rsid w:val="003B3371"/>
    <w:rsid w:val="003B4385"/>
    <w:rsid w:val="003B48E8"/>
    <w:rsid w:val="003B566F"/>
    <w:rsid w:val="003C0322"/>
    <w:rsid w:val="003C082B"/>
    <w:rsid w:val="003C2054"/>
    <w:rsid w:val="003C21F4"/>
    <w:rsid w:val="003C2367"/>
    <w:rsid w:val="003C41DF"/>
    <w:rsid w:val="003C4F40"/>
    <w:rsid w:val="003C5666"/>
    <w:rsid w:val="003C60B3"/>
    <w:rsid w:val="003C6A64"/>
    <w:rsid w:val="003C6B11"/>
    <w:rsid w:val="003C7C20"/>
    <w:rsid w:val="003C7EF1"/>
    <w:rsid w:val="003D01FB"/>
    <w:rsid w:val="003D2026"/>
    <w:rsid w:val="003D205D"/>
    <w:rsid w:val="003D2BFE"/>
    <w:rsid w:val="003D35BD"/>
    <w:rsid w:val="003D4DFE"/>
    <w:rsid w:val="003D5E6B"/>
    <w:rsid w:val="003D7091"/>
    <w:rsid w:val="003D7D6F"/>
    <w:rsid w:val="003D7F32"/>
    <w:rsid w:val="003E0795"/>
    <w:rsid w:val="003E160F"/>
    <w:rsid w:val="003E215A"/>
    <w:rsid w:val="003E28F4"/>
    <w:rsid w:val="003E2CA7"/>
    <w:rsid w:val="003E4868"/>
    <w:rsid w:val="003E50CE"/>
    <w:rsid w:val="003E5AEA"/>
    <w:rsid w:val="003E5E02"/>
    <w:rsid w:val="003E7A90"/>
    <w:rsid w:val="003F033B"/>
    <w:rsid w:val="003F0628"/>
    <w:rsid w:val="003F16C1"/>
    <w:rsid w:val="003F19D2"/>
    <w:rsid w:val="003F305C"/>
    <w:rsid w:val="003F3590"/>
    <w:rsid w:val="003F46CD"/>
    <w:rsid w:val="003F572A"/>
    <w:rsid w:val="003F5A7C"/>
    <w:rsid w:val="003F7E52"/>
    <w:rsid w:val="004008C1"/>
    <w:rsid w:val="00401014"/>
    <w:rsid w:val="00403004"/>
    <w:rsid w:val="0040313F"/>
    <w:rsid w:val="004044AA"/>
    <w:rsid w:val="00404B8D"/>
    <w:rsid w:val="00404FFA"/>
    <w:rsid w:val="00405D13"/>
    <w:rsid w:val="004101A4"/>
    <w:rsid w:val="00410C28"/>
    <w:rsid w:val="0041166C"/>
    <w:rsid w:val="0041189E"/>
    <w:rsid w:val="004118A7"/>
    <w:rsid w:val="00411974"/>
    <w:rsid w:val="00413901"/>
    <w:rsid w:val="00413F68"/>
    <w:rsid w:val="00415C0C"/>
    <w:rsid w:val="00415F7E"/>
    <w:rsid w:val="00417344"/>
    <w:rsid w:val="00420036"/>
    <w:rsid w:val="004205C3"/>
    <w:rsid w:val="0042114B"/>
    <w:rsid w:val="004226EF"/>
    <w:rsid w:val="0042377C"/>
    <w:rsid w:val="00424746"/>
    <w:rsid w:val="00425414"/>
    <w:rsid w:val="00425635"/>
    <w:rsid w:val="00425D44"/>
    <w:rsid w:val="00426351"/>
    <w:rsid w:val="00426784"/>
    <w:rsid w:val="00426A2F"/>
    <w:rsid w:val="00427220"/>
    <w:rsid w:val="00427469"/>
    <w:rsid w:val="00427D1A"/>
    <w:rsid w:val="00430BB2"/>
    <w:rsid w:val="00430FF7"/>
    <w:rsid w:val="00431804"/>
    <w:rsid w:val="00433C22"/>
    <w:rsid w:val="0043548F"/>
    <w:rsid w:val="004357D2"/>
    <w:rsid w:val="00435C17"/>
    <w:rsid w:val="00437385"/>
    <w:rsid w:val="0043777F"/>
    <w:rsid w:val="0044000F"/>
    <w:rsid w:val="004406AC"/>
    <w:rsid w:val="00442090"/>
    <w:rsid w:val="00443622"/>
    <w:rsid w:val="00445956"/>
    <w:rsid w:val="00445B00"/>
    <w:rsid w:val="00445B54"/>
    <w:rsid w:val="00446FF6"/>
    <w:rsid w:val="0044751A"/>
    <w:rsid w:val="0045010F"/>
    <w:rsid w:val="004531F7"/>
    <w:rsid w:val="00454E93"/>
    <w:rsid w:val="004559EA"/>
    <w:rsid w:val="004562DB"/>
    <w:rsid w:val="00456649"/>
    <w:rsid w:val="00457135"/>
    <w:rsid w:val="0045779A"/>
    <w:rsid w:val="00460B09"/>
    <w:rsid w:val="00460D17"/>
    <w:rsid w:val="00460E76"/>
    <w:rsid w:val="00463236"/>
    <w:rsid w:val="00463715"/>
    <w:rsid w:val="00463863"/>
    <w:rsid w:val="00463AE2"/>
    <w:rsid w:val="00464BC9"/>
    <w:rsid w:val="00466D6A"/>
    <w:rsid w:val="00467A06"/>
    <w:rsid w:val="00467C8E"/>
    <w:rsid w:val="00467F26"/>
    <w:rsid w:val="0047026D"/>
    <w:rsid w:val="00470BC8"/>
    <w:rsid w:val="00470F39"/>
    <w:rsid w:val="00470F81"/>
    <w:rsid w:val="00472709"/>
    <w:rsid w:val="004728F1"/>
    <w:rsid w:val="00472E2C"/>
    <w:rsid w:val="00474D87"/>
    <w:rsid w:val="00474E20"/>
    <w:rsid w:val="004757CC"/>
    <w:rsid w:val="004765D5"/>
    <w:rsid w:val="00476E65"/>
    <w:rsid w:val="00477307"/>
    <w:rsid w:val="0047761A"/>
    <w:rsid w:val="00480239"/>
    <w:rsid w:val="00480A16"/>
    <w:rsid w:val="00480C7E"/>
    <w:rsid w:val="0048196A"/>
    <w:rsid w:val="00481F8F"/>
    <w:rsid w:val="004823DC"/>
    <w:rsid w:val="004823ED"/>
    <w:rsid w:val="004845FE"/>
    <w:rsid w:val="0048493C"/>
    <w:rsid w:val="00485343"/>
    <w:rsid w:val="00485D63"/>
    <w:rsid w:val="00486875"/>
    <w:rsid w:val="0048709F"/>
    <w:rsid w:val="00487D12"/>
    <w:rsid w:val="00490286"/>
    <w:rsid w:val="00490DEB"/>
    <w:rsid w:val="00490EF1"/>
    <w:rsid w:val="00490EFD"/>
    <w:rsid w:val="004920D0"/>
    <w:rsid w:val="0049237D"/>
    <w:rsid w:val="0049328C"/>
    <w:rsid w:val="004934CB"/>
    <w:rsid w:val="00494195"/>
    <w:rsid w:val="00494503"/>
    <w:rsid w:val="00495E3C"/>
    <w:rsid w:val="00496442"/>
    <w:rsid w:val="0049691E"/>
    <w:rsid w:val="00496AE4"/>
    <w:rsid w:val="00496BC8"/>
    <w:rsid w:val="00496D53"/>
    <w:rsid w:val="00497199"/>
    <w:rsid w:val="004A13CC"/>
    <w:rsid w:val="004A1CC4"/>
    <w:rsid w:val="004A1DB3"/>
    <w:rsid w:val="004A25E1"/>
    <w:rsid w:val="004A2742"/>
    <w:rsid w:val="004A2C8A"/>
    <w:rsid w:val="004A3A2E"/>
    <w:rsid w:val="004A5F3D"/>
    <w:rsid w:val="004A63B8"/>
    <w:rsid w:val="004A7F3E"/>
    <w:rsid w:val="004B00DF"/>
    <w:rsid w:val="004B1F21"/>
    <w:rsid w:val="004B2143"/>
    <w:rsid w:val="004B21A0"/>
    <w:rsid w:val="004B4048"/>
    <w:rsid w:val="004B5038"/>
    <w:rsid w:val="004B5767"/>
    <w:rsid w:val="004B636A"/>
    <w:rsid w:val="004B6C2B"/>
    <w:rsid w:val="004B77FF"/>
    <w:rsid w:val="004B7BEA"/>
    <w:rsid w:val="004C1280"/>
    <w:rsid w:val="004C1A1E"/>
    <w:rsid w:val="004C1BD7"/>
    <w:rsid w:val="004C33A1"/>
    <w:rsid w:val="004C387B"/>
    <w:rsid w:val="004C3AFA"/>
    <w:rsid w:val="004C41E2"/>
    <w:rsid w:val="004C5C32"/>
    <w:rsid w:val="004C5D29"/>
    <w:rsid w:val="004C68A7"/>
    <w:rsid w:val="004C69FC"/>
    <w:rsid w:val="004C7A9A"/>
    <w:rsid w:val="004D0237"/>
    <w:rsid w:val="004D0EC1"/>
    <w:rsid w:val="004D13F5"/>
    <w:rsid w:val="004D202A"/>
    <w:rsid w:val="004D29F4"/>
    <w:rsid w:val="004D30B7"/>
    <w:rsid w:val="004D35A8"/>
    <w:rsid w:val="004D3781"/>
    <w:rsid w:val="004D3D7B"/>
    <w:rsid w:val="004D424C"/>
    <w:rsid w:val="004D4F5E"/>
    <w:rsid w:val="004D61C3"/>
    <w:rsid w:val="004D7065"/>
    <w:rsid w:val="004D7A99"/>
    <w:rsid w:val="004E0EB3"/>
    <w:rsid w:val="004E16CD"/>
    <w:rsid w:val="004E1DAB"/>
    <w:rsid w:val="004E21FA"/>
    <w:rsid w:val="004E2D55"/>
    <w:rsid w:val="004E3771"/>
    <w:rsid w:val="004E38EE"/>
    <w:rsid w:val="004E4F1C"/>
    <w:rsid w:val="004E5016"/>
    <w:rsid w:val="004E5A2D"/>
    <w:rsid w:val="004E5B40"/>
    <w:rsid w:val="004E5B4A"/>
    <w:rsid w:val="004E6850"/>
    <w:rsid w:val="004E6983"/>
    <w:rsid w:val="004E69D2"/>
    <w:rsid w:val="004E71AC"/>
    <w:rsid w:val="004E7C6F"/>
    <w:rsid w:val="004F0E0F"/>
    <w:rsid w:val="004F1F10"/>
    <w:rsid w:val="004F1F5A"/>
    <w:rsid w:val="004F33C9"/>
    <w:rsid w:val="004F34AD"/>
    <w:rsid w:val="004F35AE"/>
    <w:rsid w:val="004F4677"/>
    <w:rsid w:val="004F48E6"/>
    <w:rsid w:val="004F52BC"/>
    <w:rsid w:val="004F55CB"/>
    <w:rsid w:val="004F65E3"/>
    <w:rsid w:val="004F7FEF"/>
    <w:rsid w:val="00500314"/>
    <w:rsid w:val="005029FD"/>
    <w:rsid w:val="00502BD8"/>
    <w:rsid w:val="0050552B"/>
    <w:rsid w:val="00505933"/>
    <w:rsid w:val="00505A53"/>
    <w:rsid w:val="00506120"/>
    <w:rsid w:val="00507632"/>
    <w:rsid w:val="005076A1"/>
    <w:rsid w:val="005111F2"/>
    <w:rsid w:val="00511617"/>
    <w:rsid w:val="005117C6"/>
    <w:rsid w:val="005117F1"/>
    <w:rsid w:val="00511E11"/>
    <w:rsid w:val="005123B9"/>
    <w:rsid w:val="005130AC"/>
    <w:rsid w:val="00514243"/>
    <w:rsid w:val="00515811"/>
    <w:rsid w:val="005159DA"/>
    <w:rsid w:val="00515A07"/>
    <w:rsid w:val="00515C1D"/>
    <w:rsid w:val="005164DC"/>
    <w:rsid w:val="00516B37"/>
    <w:rsid w:val="00516D41"/>
    <w:rsid w:val="00520C0A"/>
    <w:rsid w:val="005215DC"/>
    <w:rsid w:val="00521BA1"/>
    <w:rsid w:val="0052204F"/>
    <w:rsid w:val="00523162"/>
    <w:rsid w:val="0052473A"/>
    <w:rsid w:val="005249B3"/>
    <w:rsid w:val="0052545A"/>
    <w:rsid w:val="00525855"/>
    <w:rsid w:val="0052610D"/>
    <w:rsid w:val="00526406"/>
    <w:rsid w:val="00527A7B"/>
    <w:rsid w:val="00527E78"/>
    <w:rsid w:val="00527EEA"/>
    <w:rsid w:val="005314B8"/>
    <w:rsid w:val="00532E55"/>
    <w:rsid w:val="005340B9"/>
    <w:rsid w:val="0053754C"/>
    <w:rsid w:val="00537A82"/>
    <w:rsid w:val="0054014A"/>
    <w:rsid w:val="00540C3E"/>
    <w:rsid w:val="005410E0"/>
    <w:rsid w:val="005414A6"/>
    <w:rsid w:val="005436CD"/>
    <w:rsid w:val="00544CC9"/>
    <w:rsid w:val="00544F1F"/>
    <w:rsid w:val="0054527A"/>
    <w:rsid w:val="00545445"/>
    <w:rsid w:val="0054568D"/>
    <w:rsid w:val="0054571C"/>
    <w:rsid w:val="00546074"/>
    <w:rsid w:val="00547E7F"/>
    <w:rsid w:val="00550459"/>
    <w:rsid w:val="005509E4"/>
    <w:rsid w:val="005520A2"/>
    <w:rsid w:val="0055234D"/>
    <w:rsid w:val="005523C8"/>
    <w:rsid w:val="0055297E"/>
    <w:rsid w:val="00554DB1"/>
    <w:rsid w:val="005556D9"/>
    <w:rsid w:val="00555FF7"/>
    <w:rsid w:val="005603A6"/>
    <w:rsid w:val="00560AF1"/>
    <w:rsid w:val="00560C55"/>
    <w:rsid w:val="00562BF5"/>
    <w:rsid w:val="00562DB4"/>
    <w:rsid w:val="00564CBB"/>
    <w:rsid w:val="00565BD4"/>
    <w:rsid w:val="005661FF"/>
    <w:rsid w:val="0056628C"/>
    <w:rsid w:val="00566E20"/>
    <w:rsid w:val="00567E1F"/>
    <w:rsid w:val="00570054"/>
    <w:rsid w:val="005703A3"/>
    <w:rsid w:val="0057128A"/>
    <w:rsid w:val="00571A97"/>
    <w:rsid w:val="0057326A"/>
    <w:rsid w:val="00573302"/>
    <w:rsid w:val="0057384F"/>
    <w:rsid w:val="005754AF"/>
    <w:rsid w:val="00577537"/>
    <w:rsid w:val="00577608"/>
    <w:rsid w:val="00580879"/>
    <w:rsid w:val="00580F27"/>
    <w:rsid w:val="00581BDF"/>
    <w:rsid w:val="00585395"/>
    <w:rsid w:val="005856D8"/>
    <w:rsid w:val="005866F4"/>
    <w:rsid w:val="00587725"/>
    <w:rsid w:val="005877F0"/>
    <w:rsid w:val="00590BA4"/>
    <w:rsid w:val="005949B5"/>
    <w:rsid w:val="00594DE3"/>
    <w:rsid w:val="00595AA6"/>
    <w:rsid w:val="00595B55"/>
    <w:rsid w:val="005977BB"/>
    <w:rsid w:val="00597EA1"/>
    <w:rsid w:val="005A245F"/>
    <w:rsid w:val="005A2993"/>
    <w:rsid w:val="005A2AB3"/>
    <w:rsid w:val="005A2FE7"/>
    <w:rsid w:val="005A3D1A"/>
    <w:rsid w:val="005A3FB9"/>
    <w:rsid w:val="005A4A15"/>
    <w:rsid w:val="005A4BF9"/>
    <w:rsid w:val="005A5429"/>
    <w:rsid w:val="005A5518"/>
    <w:rsid w:val="005A646F"/>
    <w:rsid w:val="005A655C"/>
    <w:rsid w:val="005A6626"/>
    <w:rsid w:val="005A6735"/>
    <w:rsid w:val="005A762D"/>
    <w:rsid w:val="005A77E9"/>
    <w:rsid w:val="005A7C24"/>
    <w:rsid w:val="005A7ECD"/>
    <w:rsid w:val="005B016A"/>
    <w:rsid w:val="005B140F"/>
    <w:rsid w:val="005B268B"/>
    <w:rsid w:val="005B33C5"/>
    <w:rsid w:val="005B3FCD"/>
    <w:rsid w:val="005B46BF"/>
    <w:rsid w:val="005B4C4A"/>
    <w:rsid w:val="005B4D56"/>
    <w:rsid w:val="005B52F7"/>
    <w:rsid w:val="005B5FA6"/>
    <w:rsid w:val="005B668E"/>
    <w:rsid w:val="005B70F1"/>
    <w:rsid w:val="005C0C96"/>
    <w:rsid w:val="005C3A73"/>
    <w:rsid w:val="005C3A9C"/>
    <w:rsid w:val="005C4609"/>
    <w:rsid w:val="005C49B3"/>
    <w:rsid w:val="005C5623"/>
    <w:rsid w:val="005C5654"/>
    <w:rsid w:val="005C5DF3"/>
    <w:rsid w:val="005C6F72"/>
    <w:rsid w:val="005C749F"/>
    <w:rsid w:val="005D0CED"/>
    <w:rsid w:val="005D19BC"/>
    <w:rsid w:val="005D2F7B"/>
    <w:rsid w:val="005D3382"/>
    <w:rsid w:val="005D3566"/>
    <w:rsid w:val="005D3FE3"/>
    <w:rsid w:val="005D4CD6"/>
    <w:rsid w:val="005D52B0"/>
    <w:rsid w:val="005D574D"/>
    <w:rsid w:val="005D70F6"/>
    <w:rsid w:val="005D7156"/>
    <w:rsid w:val="005D7594"/>
    <w:rsid w:val="005E38FA"/>
    <w:rsid w:val="005E50C2"/>
    <w:rsid w:val="005E526E"/>
    <w:rsid w:val="005E7909"/>
    <w:rsid w:val="005F0FD8"/>
    <w:rsid w:val="005F16C1"/>
    <w:rsid w:val="005F2253"/>
    <w:rsid w:val="005F3092"/>
    <w:rsid w:val="005F3D34"/>
    <w:rsid w:val="005F5353"/>
    <w:rsid w:val="005F5434"/>
    <w:rsid w:val="005F6CC3"/>
    <w:rsid w:val="005F7089"/>
    <w:rsid w:val="005F7E18"/>
    <w:rsid w:val="00600413"/>
    <w:rsid w:val="00600E2D"/>
    <w:rsid w:val="00601C82"/>
    <w:rsid w:val="00602FE1"/>
    <w:rsid w:val="00603165"/>
    <w:rsid w:val="00603CE7"/>
    <w:rsid w:val="0060449E"/>
    <w:rsid w:val="00604566"/>
    <w:rsid w:val="00604E84"/>
    <w:rsid w:val="00605E8B"/>
    <w:rsid w:val="00606502"/>
    <w:rsid w:val="0060658E"/>
    <w:rsid w:val="0060664B"/>
    <w:rsid w:val="00607087"/>
    <w:rsid w:val="00607632"/>
    <w:rsid w:val="00607BC1"/>
    <w:rsid w:val="00607C2B"/>
    <w:rsid w:val="006102D6"/>
    <w:rsid w:val="00610789"/>
    <w:rsid w:val="006107E4"/>
    <w:rsid w:val="00611377"/>
    <w:rsid w:val="00611B92"/>
    <w:rsid w:val="00612687"/>
    <w:rsid w:val="00612757"/>
    <w:rsid w:val="00612A9B"/>
    <w:rsid w:val="00612D7E"/>
    <w:rsid w:val="0061320C"/>
    <w:rsid w:val="00613930"/>
    <w:rsid w:val="00613CB8"/>
    <w:rsid w:val="00614877"/>
    <w:rsid w:val="006167EE"/>
    <w:rsid w:val="0061740C"/>
    <w:rsid w:val="006176D2"/>
    <w:rsid w:val="006178C1"/>
    <w:rsid w:val="00617D7A"/>
    <w:rsid w:val="00617F74"/>
    <w:rsid w:val="00620657"/>
    <w:rsid w:val="00620660"/>
    <w:rsid w:val="006218FA"/>
    <w:rsid w:val="00621E64"/>
    <w:rsid w:val="00622788"/>
    <w:rsid w:val="006228AC"/>
    <w:rsid w:val="00624E20"/>
    <w:rsid w:val="00624F64"/>
    <w:rsid w:val="006251E9"/>
    <w:rsid w:val="00625ACE"/>
    <w:rsid w:val="00625C34"/>
    <w:rsid w:val="00625D65"/>
    <w:rsid w:val="006318D9"/>
    <w:rsid w:val="00632EFF"/>
    <w:rsid w:val="006332E3"/>
    <w:rsid w:val="00633C86"/>
    <w:rsid w:val="006340E0"/>
    <w:rsid w:val="006340E1"/>
    <w:rsid w:val="00634EAB"/>
    <w:rsid w:val="006354CC"/>
    <w:rsid w:val="0063565E"/>
    <w:rsid w:val="0063578D"/>
    <w:rsid w:val="0063672D"/>
    <w:rsid w:val="00636B6C"/>
    <w:rsid w:val="006376E9"/>
    <w:rsid w:val="00637970"/>
    <w:rsid w:val="00637F7D"/>
    <w:rsid w:val="00640342"/>
    <w:rsid w:val="00640FBE"/>
    <w:rsid w:val="00642733"/>
    <w:rsid w:val="00643B2F"/>
    <w:rsid w:val="0064424A"/>
    <w:rsid w:val="00644626"/>
    <w:rsid w:val="00645074"/>
    <w:rsid w:val="006450A4"/>
    <w:rsid w:val="00646974"/>
    <w:rsid w:val="00646A59"/>
    <w:rsid w:val="00646D6D"/>
    <w:rsid w:val="006475C1"/>
    <w:rsid w:val="006476E0"/>
    <w:rsid w:val="00647B26"/>
    <w:rsid w:val="006504E4"/>
    <w:rsid w:val="00652217"/>
    <w:rsid w:val="00652628"/>
    <w:rsid w:val="006529C5"/>
    <w:rsid w:val="00652FAC"/>
    <w:rsid w:val="006530A0"/>
    <w:rsid w:val="00653E90"/>
    <w:rsid w:val="00655902"/>
    <w:rsid w:val="00655EE0"/>
    <w:rsid w:val="006568CC"/>
    <w:rsid w:val="00657D2D"/>
    <w:rsid w:val="00660506"/>
    <w:rsid w:val="00660592"/>
    <w:rsid w:val="00660713"/>
    <w:rsid w:val="0066087A"/>
    <w:rsid w:val="00661172"/>
    <w:rsid w:val="006617FF"/>
    <w:rsid w:val="00663850"/>
    <w:rsid w:val="00664D37"/>
    <w:rsid w:val="00665801"/>
    <w:rsid w:val="00665AEF"/>
    <w:rsid w:val="00665E99"/>
    <w:rsid w:val="006666EF"/>
    <w:rsid w:val="00666A95"/>
    <w:rsid w:val="006678B4"/>
    <w:rsid w:val="00667D6E"/>
    <w:rsid w:val="006704CF"/>
    <w:rsid w:val="00670A27"/>
    <w:rsid w:val="00670FBC"/>
    <w:rsid w:val="0067214E"/>
    <w:rsid w:val="00672865"/>
    <w:rsid w:val="00673926"/>
    <w:rsid w:val="00674715"/>
    <w:rsid w:val="0067592A"/>
    <w:rsid w:val="0067595E"/>
    <w:rsid w:val="00675D18"/>
    <w:rsid w:val="00676686"/>
    <w:rsid w:val="00676B87"/>
    <w:rsid w:val="00677CB3"/>
    <w:rsid w:val="00680209"/>
    <w:rsid w:val="00680D3F"/>
    <w:rsid w:val="0068178D"/>
    <w:rsid w:val="00681DD7"/>
    <w:rsid w:val="00681E46"/>
    <w:rsid w:val="00681EFA"/>
    <w:rsid w:val="00682873"/>
    <w:rsid w:val="0068387B"/>
    <w:rsid w:val="0068447D"/>
    <w:rsid w:val="00684F9F"/>
    <w:rsid w:val="0068511B"/>
    <w:rsid w:val="006875BD"/>
    <w:rsid w:val="00687B50"/>
    <w:rsid w:val="00687EC8"/>
    <w:rsid w:val="00690046"/>
    <w:rsid w:val="00690516"/>
    <w:rsid w:val="00690D5B"/>
    <w:rsid w:val="00690D85"/>
    <w:rsid w:val="00690FDA"/>
    <w:rsid w:val="00691B45"/>
    <w:rsid w:val="00691BFB"/>
    <w:rsid w:val="00691DD7"/>
    <w:rsid w:val="00692031"/>
    <w:rsid w:val="00693059"/>
    <w:rsid w:val="0069375F"/>
    <w:rsid w:val="00693AB3"/>
    <w:rsid w:val="00694BFC"/>
    <w:rsid w:val="00694F31"/>
    <w:rsid w:val="00695481"/>
    <w:rsid w:val="00697F99"/>
    <w:rsid w:val="00697FF7"/>
    <w:rsid w:val="006A009D"/>
    <w:rsid w:val="006A05B1"/>
    <w:rsid w:val="006A08A0"/>
    <w:rsid w:val="006A0F85"/>
    <w:rsid w:val="006A1287"/>
    <w:rsid w:val="006A23E1"/>
    <w:rsid w:val="006A26FD"/>
    <w:rsid w:val="006A27F6"/>
    <w:rsid w:val="006A2DB1"/>
    <w:rsid w:val="006A4275"/>
    <w:rsid w:val="006A4293"/>
    <w:rsid w:val="006A4337"/>
    <w:rsid w:val="006A4423"/>
    <w:rsid w:val="006A5415"/>
    <w:rsid w:val="006A5BBA"/>
    <w:rsid w:val="006A603C"/>
    <w:rsid w:val="006A6278"/>
    <w:rsid w:val="006A729D"/>
    <w:rsid w:val="006A7509"/>
    <w:rsid w:val="006A7B82"/>
    <w:rsid w:val="006B1305"/>
    <w:rsid w:val="006B1B98"/>
    <w:rsid w:val="006B22F0"/>
    <w:rsid w:val="006B2E88"/>
    <w:rsid w:val="006B31A6"/>
    <w:rsid w:val="006B3428"/>
    <w:rsid w:val="006B355C"/>
    <w:rsid w:val="006B52D1"/>
    <w:rsid w:val="006B5A50"/>
    <w:rsid w:val="006B7150"/>
    <w:rsid w:val="006B7452"/>
    <w:rsid w:val="006B76C6"/>
    <w:rsid w:val="006C00A3"/>
    <w:rsid w:val="006C0A42"/>
    <w:rsid w:val="006C2A7E"/>
    <w:rsid w:val="006C35D1"/>
    <w:rsid w:val="006C445E"/>
    <w:rsid w:val="006C503A"/>
    <w:rsid w:val="006C5C70"/>
    <w:rsid w:val="006C5EBC"/>
    <w:rsid w:val="006C5EC5"/>
    <w:rsid w:val="006C65A5"/>
    <w:rsid w:val="006C689C"/>
    <w:rsid w:val="006C6BCB"/>
    <w:rsid w:val="006C7386"/>
    <w:rsid w:val="006C7522"/>
    <w:rsid w:val="006C7D35"/>
    <w:rsid w:val="006D05DC"/>
    <w:rsid w:val="006D0680"/>
    <w:rsid w:val="006D08C8"/>
    <w:rsid w:val="006D11B4"/>
    <w:rsid w:val="006D16AC"/>
    <w:rsid w:val="006D18DB"/>
    <w:rsid w:val="006D1E1B"/>
    <w:rsid w:val="006D1F00"/>
    <w:rsid w:val="006D35DD"/>
    <w:rsid w:val="006D3A65"/>
    <w:rsid w:val="006D4ED9"/>
    <w:rsid w:val="006D5B3E"/>
    <w:rsid w:val="006D6B21"/>
    <w:rsid w:val="006D7114"/>
    <w:rsid w:val="006D7206"/>
    <w:rsid w:val="006D7664"/>
    <w:rsid w:val="006E1551"/>
    <w:rsid w:val="006E165B"/>
    <w:rsid w:val="006E1C18"/>
    <w:rsid w:val="006E1E66"/>
    <w:rsid w:val="006E1F2F"/>
    <w:rsid w:val="006E2156"/>
    <w:rsid w:val="006E3A90"/>
    <w:rsid w:val="006E6972"/>
    <w:rsid w:val="006F03BF"/>
    <w:rsid w:val="006F060E"/>
    <w:rsid w:val="006F0D0F"/>
    <w:rsid w:val="006F0FE4"/>
    <w:rsid w:val="006F2287"/>
    <w:rsid w:val="006F2C89"/>
    <w:rsid w:val="006F3937"/>
    <w:rsid w:val="006F3CC5"/>
    <w:rsid w:val="006F4256"/>
    <w:rsid w:val="006F46CF"/>
    <w:rsid w:val="006F6E43"/>
    <w:rsid w:val="006F7968"/>
    <w:rsid w:val="006F7E3A"/>
    <w:rsid w:val="006F7E81"/>
    <w:rsid w:val="007003A2"/>
    <w:rsid w:val="00701307"/>
    <w:rsid w:val="0070193E"/>
    <w:rsid w:val="00701CC2"/>
    <w:rsid w:val="007022E3"/>
    <w:rsid w:val="00703239"/>
    <w:rsid w:val="00703A25"/>
    <w:rsid w:val="007051BB"/>
    <w:rsid w:val="007062EE"/>
    <w:rsid w:val="0070649B"/>
    <w:rsid w:val="00706D9C"/>
    <w:rsid w:val="00707E8E"/>
    <w:rsid w:val="00707EF4"/>
    <w:rsid w:val="00710999"/>
    <w:rsid w:val="00711323"/>
    <w:rsid w:val="00712224"/>
    <w:rsid w:val="007123A9"/>
    <w:rsid w:val="007124EF"/>
    <w:rsid w:val="0071484D"/>
    <w:rsid w:val="00714EC0"/>
    <w:rsid w:val="00715F5A"/>
    <w:rsid w:val="00716127"/>
    <w:rsid w:val="00716569"/>
    <w:rsid w:val="00717DEA"/>
    <w:rsid w:val="0072121D"/>
    <w:rsid w:val="00721452"/>
    <w:rsid w:val="00722553"/>
    <w:rsid w:val="007237DD"/>
    <w:rsid w:val="00723BA5"/>
    <w:rsid w:val="00723D59"/>
    <w:rsid w:val="00723FF0"/>
    <w:rsid w:val="0072450E"/>
    <w:rsid w:val="00725CE8"/>
    <w:rsid w:val="00726F64"/>
    <w:rsid w:val="00727DBB"/>
    <w:rsid w:val="00727E11"/>
    <w:rsid w:val="007304ED"/>
    <w:rsid w:val="00730923"/>
    <w:rsid w:val="00731966"/>
    <w:rsid w:val="0073234E"/>
    <w:rsid w:val="00732BC8"/>
    <w:rsid w:val="00732D80"/>
    <w:rsid w:val="007340BC"/>
    <w:rsid w:val="00734822"/>
    <w:rsid w:val="00734EA7"/>
    <w:rsid w:val="0073573E"/>
    <w:rsid w:val="007359E4"/>
    <w:rsid w:val="00736628"/>
    <w:rsid w:val="007369B2"/>
    <w:rsid w:val="00736F17"/>
    <w:rsid w:val="00737239"/>
    <w:rsid w:val="00737879"/>
    <w:rsid w:val="00741DCC"/>
    <w:rsid w:val="00742671"/>
    <w:rsid w:val="00742856"/>
    <w:rsid w:val="00745D88"/>
    <w:rsid w:val="00747296"/>
    <w:rsid w:val="00747428"/>
    <w:rsid w:val="0074767C"/>
    <w:rsid w:val="0075006A"/>
    <w:rsid w:val="00750A82"/>
    <w:rsid w:val="007520E7"/>
    <w:rsid w:val="00753CFE"/>
    <w:rsid w:val="00754935"/>
    <w:rsid w:val="007554C6"/>
    <w:rsid w:val="00755B69"/>
    <w:rsid w:val="007567EF"/>
    <w:rsid w:val="0075682E"/>
    <w:rsid w:val="00757861"/>
    <w:rsid w:val="00757BBF"/>
    <w:rsid w:val="00757C41"/>
    <w:rsid w:val="00760301"/>
    <w:rsid w:val="007603C3"/>
    <w:rsid w:val="00760790"/>
    <w:rsid w:val="00761311"/>
    <w:rsid w:val="00761A2E"/>
    <w:rsid w:val="00762178"/>
    <w:rsid w:val="00762858"/>
    <w:rsid w:val="007642E0"/>
    <w:rsid w:val="007666EA"/>
    <w:rsid w:val="0076679B"/>
    <w:rsid w:val="007668EC"/>
    <w:rsid w:val="007701B8"/>
    <w:rsid w:val="007712F0"/>
    <w:rsid w:val="007716E4"/>
    <w:rsid w:val="00772364"/>
    <w:rsid w:val="00772507"/>
    <w:rsid w:val="00772D2C"/>
    <w:rsid w:val="0077318E"/>
    <w:rsid w:val="0077373A"/>
    <w:rsid w:val="00774301"/>
    <w:rsid w:val="00774C1F"/>
    <w:rsid w:val="0077581E"/>
    <w:rsid w:val="00775AB3"/>
    <w:rsid w:val="00776D67"/>
    <w:rsid w:val="00776DB7"/>
    <w:rsid w:val="0077797F"/>
    <w:rsid w:val="00777CFC"/>
    <w:rsid w:val="00780CEE"/>
    <w:rsid w:val="00782436"/>
    <w:rsid w:val="00782F7D"/>
    <w:rsid w:val="00783028"/>
    <w:rsid w:val="00783464"/>
    <w:rsid w:val="00784160"/>
    <w:rsid w:val="0078462D"/>
    <w:rsid w:val="00784665"/>
    <w:rsid w:val="00784CE4"/>
    <w:rsid w:val="00785305"/>
    <w:rsid w:val="0078563E"/>
    <w:rsid w:val="007861E7"/>
    <w:rsid w:val="0078647B"/>
    <w:rsid w:val="00786F1E"/>
    <w:rsid w:val="007870C1"/>
    <w:rsid w:val="00787A60"/>
    <w:rsid w:val="00792115"/>
    <w:rsid w:val="00792EA3"/>
    <w:rsid w:val="0079396C"/>
    <w:rsid w:val="00793C2E"/>
    <w:rsid w:val="00794211"/>
    <w:rsid w:val="00794E0A"/>
    <w:rsid w:val="007953F1"/>
    <w:rsid w:val="00795B94"/>
    <w:rsid w:val="00796488"/>
    <w:rsid w:val="007973BB"/>
    <w:rsid w:val="007A045B"/>
    <w:rsid w:val="007A0A8E"/>
    <w:rsid w:val="007A0CF3"/>
    <w:rsid w:val="007A2440"/>
    <w:rsid w:val="007A3D3F"/>
    <w:rsid w:val="007A3D58"/>
    <w:rsid w:val="007A4811"/>
    <w:rsid w:val="007A4F48"/>
    <w:rsid w:val="007A4F6C"/>
    <w:rsid w:val="007A5626"/>
    <w:rsid w:val="007A5F55"/>
    <w:rsid w:val="007A72A3"/>
    <w:rsid w:val="007B038A"/>
    <w:rsid w:val="007B0630"/>
    <w:rsid w:val="007B1D17"/>
    <w:rsid w:val="007B2AB0"/>
    <w:rsid w:val="007B32AC"/>
    <w:rsid w:val="007B490F"/>
    <w:rsid w:val="007B50AE"/>
    <w:rsid w:val="007B5F7B"/>
    <w:rsid w:val="007B60F8"/>
    <w:rsid w:val="007B61EC"/>
    <w:rsid w:val="007B6EAF"/>
    <w:rsid w:val="007B7D7B"/>
    <w:rsid w:val="007C1449"/>
    <w:rsid w:val="007C2131"/>
    <w:rsid w:val="007C232A"/>
    <w:rsid w:val="007C435C"/>
    <w:rsid w:val="007C6381"/>
    <w:rsid w:val="007C7D6B"/>
    <w:rsid w:val="007C7E4F"/>
    <w:rsid w:val="007D100C"/>
    <w:rsid w:val="007D280F"/>
    <w:rsid w:val="007D2A7F"/>
    <w:rsid w:val="007D4543"/>
    <w:rsid w:val="007D45AC"/>
    <w:rsid w:val="007D5297"/>
    <w:rsid w:val="007D52D1"/>
    <w:rsid w:val="007D5581"/>
    <w:rsid w:val="007D59A1"/>
    <w:rsid w:val="007D5AA4"/>
    <w:rsid w:val="007D719D"/>
    <w:rsid w:val="007D7761"/>
    <w:rsid w:val="007D77AC"/>
    <w:rsid w:val="007D7B2E"/>
    <w:rsid w:val="007E07F8"/>
    <w:rsid w:val="007E0CF0"/>
    <w:rsid w:val="007E0DB8"/>
    <w:rsid w:val="007E1B20"/>
    <w:rsid w:val="007E2B63"/>
    <w:rsid w:val="007E3B7D"/>
    <w:rsid w:val="007E4353"/>
    <w:rsid w:val="007E43C4"/>
    <w:rsid w:val="007E6255"/>
    <w:rsid w:val="007E6B7E"/>
    <w:rsid w:val="007F09A2"/>
    <w:rsid w:val="007F0C3D"/>
    <w:rsid w:val="007F1AE0"/>
    <w:rsid w:val="007F1D4F"/>
    <w:rsid w:val="007F2282"/>
    <w:rsid w:val="007F2644"/>
    <w:rsid w:val="007F3D53"/>
    <w:rsid w:val="007F479C"/>
    <w:rsid w:val="007F55F7"/>
    <w:rsid w:val="007F57BE"/>
    <w:rsid w:val="007F6A6D"/>
    <w:rsid w:val="007F7D43"/>
    <w:rsid w:val="00800626"/>
    <w:rsid w:val="00801250"/>
    <w:rsid w:val="008017A5"/>
    <w:rsid w:val="00802DAD"/>
    <w:rsid w:val="008034D6"/>
    <w:rsid w:val="00803819"/>
    <w:rsid w:val="00803F43"/>
    <w:rsid w:val="008040A7"/>
    <w:rsid w:val="008042BA"/>
    <w:rsid w:val="008047AB"/>
    <w:rsid w:val="00806DBD"/>
    <w:rsid w:val="00807C94"/>
    <w:rsid w:val="00811682"/>
    <w:rsid w:val="00811F4C"/>
    <w:rsid w:val="00812EF7"/>
    <w:rsid w:val="00813286"/>
    <w:rsid w:val="00813BB0"/>
    <w:rsid w:val="00813D93"/>
    <w:rsid w:val="0081450E"/>
    <w:rsid w:val="00814755"/>
    <w:rsid w:val="0081591F"/>
    <w:rsid w:val="00815E7C"/>
    <w:rsid w:val="008174DD"/>
    <w:rsid w:val="0082035B"/>
    <w:rsid w:val="00820625"/>
    <w:rsid w:val="00821E6A"/>
    <w:rsid w:val="00823455"/>
    <w:rsid w:val="0082484C"/>
    <w:rsid w:val="008249E1"/>
    <w:rsid w:val="0082576E"/>
    <w:rsid w:val="00825CBE"/>
    <w:rsid w:val="00826161"/>
    <w:rsid w:val="0082618D"/>
    <w:rsid w:val="00826B90"/>
    <w:rsid w:val="008270B8"/>
    <w:rsid w:val="00830319"/>
    <w:rsid w:val="0083119A"/>
    <w:rsid w:val="00831DFD"/>
    <w:rsid w:val="00832AA9"/>
    <w:rsid w:val="00832D5A"/>
    <w:rsid w:val="00832EF8"/>
    <w:rsid w:val="00834315"/>
    <w:rsid w:val="00834B04"/>
    <w:rsid w:val="00835531"/>
    <w:rsid w:val="0083681E"/>
    <w:rsid w:val="00836889"/>
    <w:rsid w:val="00836CCE"/>
    <w:rsid w:val="0084063E"/>
    <w:rsid w:val="0084066C"/>
    <w:rsid w:val="008409F2"/>
    <w:rsid w:val="00840D40"/>
    <w:rsid w:val="0084214C"/>
    <w:rsid w:val="008423D3"/>
    <w:rsid w:val="00844149"/>
    <w:rsid w:val="008443B3"/>
    <w:rsid w:val="008449F4"/>
    <w:rsid w:val="00845474"/>
    <w:rsid w:val="00846541"/>
    <w:rsid w:val="00847435"/>
    <w:rsid w:val="0084765A"/>
    <w:rsid w:val="00850903"/>
    <w:rsid w:val="008515A0"/>
    <w:rsid w:val="00851D0B"/>
    <w:rsid w:val="00852056"/>
    <w:rsid w:val="008521BE"/>
    <w:rsid w:val="0085312A"/>
    <w:rsid w:val="008533EE"/>
    <w:rsid w:val="0085419C"/>
    <w:rsid w:val="008543AA"/>
    <w:rsid w:val="0085444D"/>
    <w:rsid w:val="008549AF"/>
    <w:rsid w:val="00854EA5"/>
    <w:rsid w:val="00855071"/>
    <w:rsid w:val="00855180"/>
    <w:rsid w:val="008561A1"/>
    <w:rsid w:val="008569D7"/>
    <w:rsid w:val="00857408"/>
    <w:rsid w:val="00860D9D"/>
    <w:rsid w:val="0086139B"/>
    <w:rsid w:val="00862C38"/>
    <w:rsid w:val="008630EB"/>
    <w:rsid w:val="00864F44"/>
    <w:rsid w:val="008657E7"/>
    <w:rsid w:val="008705B0"/>
    <w:rsid w:val="0087079C"/>
    <w:rsid w:val="00870ADE"/>
    <w:rsid w:val="00874B79"/>
    <w:rsid w:val="0087513C"/>
    <w:rsid w:val="008751B0"/>
    <w:rsid w:val="008767FD"/>
    <w:rsid w:val="00876FB4"/>
    <w:rsid w:val="0087715B"/>
    <w:rsid w:val="00877911"/>
    <w:rsid w:val="00881078"/>
    <w:rsid w:val="008817FA"/>
    <w:rsid w:val="00881BAB"/>
    <w:rsid w:val="00882112"/>
    <w:rsid w:val="00882D5C"/>
    <w:rsid w:val="00884F79"/>
    <w:rsid w:val="0088646F"/>
    <w:rsid w:val="00886EAD"/>
    <w:rsid w:val="008879D9"/>
    <w:rsid w:val="00887EF9"/>
    <w:rsid w:val="00890550"/>
    <w:rsid w:val="008905E8"/>
    <w:rsid w:val="00890F61"/>
    <w:rsid w:val="00891EBB"/>
    <w:rsid w:val="00893EA2"/>
    <w:rsid w:val="00893EA7"/>
    <w:rsid w:val="0089481C"/>
    <w:rsid w:val="00894A6E"/>
    <w:rsid w:val="008961B7"/>
    <w:rsid w:val="008A0C6C"/>
    <w:rsid w:val="008A351E"/>
    <w:rsid w:val="008A35BA"/>
    <w:rsid w:val="008A4D52"/>
    <w:rsid w:val="008A4E54"/>
    <w:rsid w:val="008A5F6D"/>
    <w:rsid w:val="008A611F"/>
    <w:rsid w:val="008A6658"/>
    <w:rsid w:val="008A68CE"/>
    <w:rsid w:val="008A7840"/>
    <w:rsid w:val="008A7A2A"/>
    <w:rsid w:val="008B0387"/>
    <w:rsid w:val="008B0C49"/>
    <w:rsid w:val="008B0F1B"/>
    <w:rsid w:val="008B1E13"/>
    <w:rsid w:val="008B480B"/>
    <w:rsid w:val="008B4D25"/>
    <w:rsid w:val="008B5A5F"/>
    <w:rsid w:val="008B5D62"/>
    <w:rsid w:val="008C03EA"/>
    <w:rsid w:val="008C0B43"/>
    <w:rsid w:val="008C241F"/>
    <w:rsid w:val="008C2C80"/>
    <w:rsid w:val="008C2F83"/>
    <w:rsid w:val="008C3AF0"/>
    <w:rsid w:val="008C3B44"/>
    <w:rsid w:val="008C5E66"/>
    <w:rsid w:val="008C653A"/>
    <w:rsid w:val="008D01BA"/>
    <w:rsid w:val="008D03ED"/>
    <w:rsid w:val="008D1745"/>
    <w:rsid w:val="008D1E62"/>
    <w:rsid w:val="008D2B97"/>
    <w:rsid w:val="008D3CF9"/>
    <w:rsid w:val="008D53CB"/>
    <w:rsid w:val="008D7BB1"/>
    <w:rsid w:val="008D7FFD"/>
    <w:rsid w:val="008E1946"/>
    <w:rsid w:val="008E23CD"/>
    <w:rsid w:val="008E272B"/>
    <w:rsid w:val="008E27A4"/>
    <w:rsid w:val="008E4F74"/>
    <w:rsid w:val="008E56A0"/>
    <w:rsid w:val="008E5942"/>
    <w:rsid w:val="008E6B5B"/>
    <w:rsid w:val="008E7653"/>
    <w:rsid w:val="008F0822"/>
    <w:rsid w:val="008F2B00"/>
    <w:rsid w:val="008F2C55"/>
    <w:rsid w:val="008F2E60"/>
    <w:rsid w:val="008F39A6"/>
    <w:rsid w:val="008F4169"/>
    <w:rsid w:val="008F46DD"/>
    <w:rsid w:val="008F4B3E"/>
    <w:rsid w:val="008F536D"/>
    <w:rsid w:val="008F68A7"/>
    <w:rsid w:val="008F7FB1"/>
    <w:rsid w:val="00900EAD"/>
    <w:rsid w:val="009018C9"/>
    <w:rsid w:val="00901C7E"/>
    <w:rsid w:val="009026E1"/>
    <w:rsid w:val="0090284D"/>
    <w:rsid w:val="0090320D"/>
    <w:rsid w:val="00904712"/>
    <w:rsid w:val="00905F14"/>
    <w:rsid w:val="00906BA8"/>
    <w:rsid w:val="00906D8A"/>
    <w:rsid w:val="00907A56"/>
    <w:rsid w:val="00907DD5"/>
    <w:rsid w:val="009128A1"/>
    <w:rsid w:val="009138E2"/>
    <w:rsid w:val="0091485C"/>
    <w:rsid w:val="00914AF3"/>
    <w:rsid w:val="00914B84"/>
    <w:rsid w:val="00914BB8"/>
    <w:rsid w:val="009150BD"/>
    <w:rsid w:val="009168C3"/>
    <w:rsid w:val="00916F30"/>
    <w:rsid w:val="00917470"/>
    <w:rsid w:val="009179A0"/>
    <w:rsid w:val="0092006C"/>
    <w:rsid w:val="00920286"/>
    <w:rsid w:val="00921730"/>
    <w:rsid w:val="00921BF8"/>
    <w:rsid w:val="00922096"/>
    <w:rsid w:val="009221A2"/>
    <w:rsid w:val="00922A9A"/>
    <w:rsid w:val="00922AE3"/>
    <w:rsid w:val="0092314B"/>
    <w:rsid w:val="009234A9"/>
    <w:rsid w:val="0092448E"/>
    <w:rsid w:val="0092483A"/>
    <w:rsid w:val="00924D95"/>
    <w:rsid w:val="0092687D"/>
    <w:rsid w:val="00926AF7"/>
    <w:rsid w:val="009278A0"/>
    <w:rsid w:val="00930529"/>
    <w:rsid w:val="0093130F"/>
    <w:rsid w:val="009314E9"/>
    <w:rsid w:val="00931D50"/>
    <w:rsid w:val="0093214D"/>
    <w:rsid w:val="00933001"/>
    <w:rsid w:val="0093377F"/>
    <w:rsid w:val="00933C14"/>
    <w:rsid w:val="00934905"/>
    <w:rsid w:val="00934CDB"/>
    <w:rsid w:val="00934DD2"/>
    <w:rsid w:val="009358E8"/>
    <w:rsid w:val="009362D0"/>
    <w:rsid w:val="00941CD6"/>
    <w:rsid w:val="00941D33"/>
    <w:rsid w:val="00942A98"/>
    <w:rsid w:val="00944DA6"/>
    <w:rsid w:val="00944FE6"/>
    <w:rsid w:val="00945D20"/>
    <w:rsid w:val="00946C6C"/>
    <w:rsid w:val="00946FE7"/>
    <w:rsid w:val="009508FD"/>
    <w:rsid w:val="00950B70"/>
    <w:rsid w:val="00953147"/>
    <w:rsid w:val="0095402D"/>
    <w:rsid w:val="009546EE"/>
    <w:rsid w:val="00954D58"/>
    <w:rsid w:val="00954D6F"/>
    <w:rsid w:val="009551F8"/>
    <w:rsid w:val="00955CDB"/>
    <w:rsid w:val="009566EA"/>
    <w:rsid w:val="00956926"/>
    <w:rsid w:val="00956D9A"/>
    <w:rsid w:val="009575D5"/>
    <w:rsid w:val="00957805"/>
    <w:rsid w:val="0096019C"/>
    <w:rsid w:val="009612A1"/>
    <w:rsid w:val="00961E43"/>
    <w:rsid w:val="00962E80"/>
    <w:rsid w:val="00963AF9"/>
    <w:rsid w:val="00964198"/>
    <w:rsid w:val="00964313"/>
    <w:rsid w:val="0096507E"/>
    <w:rsid w:val="00965301"/>
    <w:rsid w:val="009667D9"/>
    <w:rsid w:val="009669A6"/>
    <w:rsid w:val="00966BCB"/>
    <w:rsid w:val="00966DB6"/>
    <w:rsid w:val="0097055A"/>
    <w:rsid w:val="00970CEB"/>
    <w:rsid w:val="00971851"/>
    <w:rsid w:val="0097332B"/>
    <w:rsid w:val="0097397D"/>
    <w:rsid w:val="0097484B"/>
    <w:rsid w:val="00974932"/>
    <w:rsid w:val="00975084"/>
    <w:rsid w:val="00975AE8"/>
    <w:rsid w:val="00976C5C"/>
    <w:rsid w:val="009770A6"/>
    <w:rsid w:val="00977C5D"/>
    <w:rsid w:val="00977F3C"/>
    <w:rsid w:val="009802BD"/>
    <w:rsid w:val="00980301"/>
    <w:rsid w:val="00981D13"/>
    <w:rsid w:val="00981F29"/>
    <w:rsid w:val="00982717"/>
    <w:rsid w:val="00983851"/>
    <w:rsid w:val="00983B5A"/>
    <w:rsid w:val="00984D7D"/>
    <w:rsid w:val="0098581E"/>
    <w:rsid w:val="00985C8E"/>
    <w:rsid w:val="0098714E"/>
    <w:rsid w:val="00990BA5"/>
    <w:rsid w:val="009910B6"/>
    <w:rsid w:val="00991509"/>
    <w:rsid w:val="00991B2D"/>
    <w:rsid w:val="00992A9D"/>
    <w:rsid w:val="00992AFF"/>
    <w:rsid w:val="00992D50"/>
    <w:rsid w:val="0099499B"/>
    <w:rsid w:val="00994D0F"/>
    <w:rsid w:val="00995599"/>
    <w:rsid w:val="0099669E"/>
    <w:rsid w:val="00996899"/>
    <w:rsid w:val="00996C9E"/>
    <w:rsid w:val="009970F3"/>
    <w:rsid w:val="009A2277"/>
    <w:rsid w:val="009A2504"/>
    <w:rsid w:val="009A3F66"/>
    <w:rsid w:val="009A4DFE"/>
    <w:rsid w:val="009A64E9"/>
    <w:rsid w:val="009A6CF6"/>
    <w:rsid w:val="009A782D"/>
    <w:rsid w:val="009A78A2"/>
    <w:rsid w:val="009B026C"/>
    <w:rsid w:val="009B2118"/>
    <w:rsid w:val="009B22D0"/>
    <w:rsid w:val="009B2C6C"/>
    <w:rsid w:val="009B3EFD"/>
    <w:rsid w:val="009B453B"/>
    <w:rsid w:val="009B48B1"/>
    <w:rsid w:val="009B4C06"/>
    <w:rsid w:val="009B5BCA"/>
    <w:rsid w:val="009B616B"/>
    <w:rsid w:val="009B6529"/>
    <w:rsid w:val="009B69F9"/>
    <w:rsid w:val="009B6B64"/>
    <w:rsid w:val="009B716F"/>
    <w:rsid w:val="009B747B"/>
    <w:rsid w:val="009C101C"/>
    <w:rsid w:val="009C187B"/>
    <w:rsid w:val="009C242E"/>
    <w:rsid w:val="009C3657"/>
    <w:rsid w:val="009C3DE3"/>
    <w:rsid w:val="009C3E36"/>
    <w:rsid w:val="009C3FAB"/>
    <w:rsid w:val="009C5F7C"/>
    <w:rsid w:val="009C6F60"/>
    <w:rsid w:val="009C7195"/>
    <w:rsid w:val="009D0264"/>
    <w:rsid w:val="009D114E"/>
    <w:rsid w:val="009D3900"/>
    <w:rsid w:val="009D3E9C"/>
    <w:rsid w:val="009D7838"/>
    <w:rsid w:val="009D7889"/>
    <w:rsid w:val="009D7C22"/>
    <w:rsid w:val="009E07FA"/>
    <w:rsid w:val="009E12A8"/>
    <w:rsid w:val="009E1CB7"/>
    <w:rsid w:val="009E2310"/>
    <w:rsid w:val="009E3059"/>
    <w:rsid w:val="009E30A0"/>
    <w:rsid w:val="009E3721"/>
    <w:rsid w:val="009E3966"/>
    <w:rsid w:val="009E3A5B"/>
    <w:rsid w:val="009E7FCF"/>
    <w:rsid w:val="009F02D7"/>
    <w:rsid w:val="009F08E7"/>
    <w:rsid w:val="009F0D8E"/>
    <w:rsid w:val="009F126D"/>
    <w:rsid w:val="009F1290"/>
    <w:rsid w:val="009F1C0D"/>
    <w:rsid w:val="009F29A8"/>
    <w:rsid w:val="009F2E1C"/>
    <w:rsid w:val="009F44E5"/>
    <w:rsid w:val="009F5C54"/>
    <w:rsid w:val="00A010B5"/>
    <w:rsid w:val="00A01437"/>
    <w:rsid w:val="00A01B1C"/>
    <w:rsid w:val="00A02D7C"/>
    <w:rsid w:val="00A02EF9"/>
    <w:rsid w:val="00A037E7"/>
    <w:rsid w:val="00A03CEA"/>
    <w:rsid w:val="00A044AF"/>
    <w:rsid w:val="00A04A1F"/>
    <w:rsid w:val="00A04AD8"/>
    <w:rsid w:val="00A04FE3"/>
    <w:rsid w:val="00A05B65"/>
    <w:rsid w:val="00A11604"/>
    <w:rsid w:val="00A11E6F"/>
    <w:rsid w:val="00A11EE0"/>
    <w:rsid w:val="00A11FBC"/>
    <w:rsid w:val="00A12595"/>
    <w:rsid w:val="00A12937"/>
    <w:rsid w:val="00A12E44"/>
    <w:rsid w:val="00A1406D"/>
    <w:rsid w:val="00A1453B"/>
    <w:rsid w:val="00A14C99"/>
    <w:rsid w:val="00A150BE"/>
    <w:rsid w:val="00A15B88"/>
    <w:rsid w:val="00A1725E"/>
    <w:rsid w:val="00A17DF3"/>
    <w:rsid w:val="00A17F3B"/>
    <w:rsid w:val="00A21571"/>
    <w:rsid w:val="00A22962"/>
    <w:rsid w:val="00A231A2"/>
    <w:rsid w:val="00A23BC4"/>
    <w:rsid w:val="00A24EC0"/>
    <w:rsid w:val="00A2670A"/>
    <w:rsid w:val="00A27894"/>
    <w:rsid w:val="00A30840"/>
    <w:rsid w:val="00A30FD7"/>
    <w:rsid w:val="00A3129F"/>
    <w:rsid w:val="00A315DF"/>
    <w:rsid w:val="00A3177B"/>
    <w:rsid w:val="00A317DB"/>
    <w:rsid w:val="00A31FA5"/>
    <w:rsid w:val="00A32456"/>
    <w:rsid w:val="00A33FAD"/>
    <w:rsid w:val="00A342E6"/>
    <w:rsid w:val="00A35922"/>
    <w:rsid w:val="00A365D0"/>
    <w:rsid w:val="00A36C18"/>
    <w:rsid w:val="00A36E09"/>
    <w:rsid w:val="00A36E1F"/>
    <w:rsid w:val="00A371AD"/>
    <w:rsid w:val="00A41160"/>
    <w:rsid w:val="00A411AE"/>
    <w:rsid w:val="00A41724"/>
    <w:rsid w:val="00A41D28"/>
    <w:rsid w:val="00A42ACA"/>
    <w:rsid w:val="00A437BC"/>
    <w:rsid w:val="00A437D9"/>
    <w:rsid w:val="00A438C3"/>
    <w:rsid w:val="00A448F0"/>
    <w:rsid w:val="00A449F4"/>
    <w:rsid w:val="00A4672B"/>
    <w:rsid w:val="00A46787"/>
    <w:rsid w:val="00A47320"/>
    <w:rsid w:val="00A475AD"/>
    <w:rsid w:val="00A47871"/>
    <w:rsid w:val="00A50991"/>
    <w:rsid w:val="00A50F79"/>
    <w:rsid w:val="00A5135C"/>
    <w:rsid w:val="00A51746"/>
    <w:rsid w:val="00A52EEF"/>
    <w:rsid w:val="00A54482"/>
    <w:rsid w:val="00A5468D"/>
    <w:rsid w:val="00A54738"/>
    <w:rsid w:val="00A55234"/>
    <w:rsid w:val="00A554DA"/>
    <w:rsid w:val="00A558BA"/>
    <w:rsid w:val="00A55E06"/>
    <w:rsid w:val="00A56F75"/>
    <w:rsid w:val="00A572A6"/>
    <w:rsid w:val="00A57A5E"/>
    <w:rsid w:val="00A61ABE"/>
    <w:rsid w:val="00A622A1"/>
    <w:rsid w:val="00A62591"/>
    <w:rsid w:val="00A626CA"/>
    <w:rsid w:val="00A62BB9"/>
    <w:rsid w:val="00A63EFD"/>
    <w:rsid w:val="00A64321"/>
    <w:rsid w:val="00A64B8E"/>
    <w:rsid w:val="00A64D61"/>
    <w:rsid w:val="00A650C5"/>
    <w:rsid w:val="00A6685B"/>
    <w:rsid w:val="00A674A4"/>
    <w:rsid w:val="00A67ACB"/>
    <w:rsid w:val="00A7016D"/>
    <w:rsid w:val="00A70BF0"/>
    <w:rsid w:val="00A70C5B"/>
    <w:rsid w:val="00A710A2"/>
    <w:rsid w:val="00A717AD"/>
    <w:rsid w:val="00A719DB"/>
    <w:rsid w:val="00A7299C"/>
    <w:rsid w:val="00A73289"/>
    <w:rsid w:val="00A73364"/>
    <w:rsid w:val="00A73E20"/>
    <w:rsid w:val="00A74A86"/>
    <w:rsid w:val="00A75150"/>
    <w:rsid w:val="00A75590"/>
    <w:rsid w:val="00A800C6"/>
    <w:rsid w:val="00A803B7"/>
    <w:rsid w:val="00A805AD"/>
    <w:rsid w:val="00A8315F"/>
    <w:rsid w:val="00A83D10"/>
    <w:rsid w:val="00A847D0"/>
    <w:rsid w:val="00A851C6"/>
    <w:rsid w:val="00A86A7D"/>
    <w:rsid w:val="00A87416"/>
    <w:rsid w:val="00A909C5"/>
    <w:rsid w:val="00A91731"/>
    <w:rsid w:val="00A92322"/>
    <w:rsid w:val="00A92449"/>
    <w:rsid w:val="00A9252C"/>
    <w:rsid w:val="00A93AA8"/>
    <w:rsid w:val="00A946F6"/>
    <w:rsid w:val="00A94A9A"/>
    <w:rsid w:val="00A95102"/>
    <w:rsid w:val="00A963ED"/>
    <w:rsid w:val="00A97E8A"/>
    <w:rsid w:val="00A97F6B"/>
    <w:rsid w:val="00AA0807"/>
    <w:rsid w:val="00AA137B"/>
    <w:rsid w:val="00AA1D37"/>
    <w:rsid w:val="00AA2629"/>
    <w:rsid w:val="00AA3141"/>
    <w:rsid w:val="00AA36FA"/>
    <w:rsid w:val="00AA3B89"/>
    <w:rsid w:val="00AA460F"/>
    <w:rsid w:val="00AA4936"/>
    <w:rsid w:val="00AA4F26"/>
    <w:rsid w:val="00AA55DA"/>
    <w:rsid w:val="00AA7B0A"/>
    <w:rsid w:val="00AB01A8"/>
    <w:rsid w:val="00AB1EF6"/>
    <w:rsid w:val="00AB23B2"/>
    <w:rsid w:val="00AB3962"/>
    <w:rsid w:val="00AB3C78"/>
    <w:rsid w:val="00AB67A0"/>
    <w:rsid w:val="00AB773C"/>
    <w:rsid w:val="00AB7847"/>
    <w:rsid w:val="00AB7E91"/>
    <w:rsid w:val="00AC080D"/>
    <w:rsid w:val="00AC119B"/>
    <w:rsid w:val="00AC1373"/>
    <w:rsid w:val="00AC1C1A"/>
    <w:rsid w:val="00AC233B"/>
    <w:rsid w:val="00AC24BC"/>
    <w:rsid w:val="00AC2AF5"/>
    <w:rsid w:val="00AC41B4"/>
    <w:rsid w:val="00AC42D5"/>
    <w:rsid w:val="00AC4C01"/>
    <w:rsid w:val="00AC521C"/>
    <w:rsid w:val="00AC60AF"/>
    <w:rsid w:val="00AC79EB"/>
    <w:rsid w:val="00AD0711"/>
    <w:rsid w:val="00AD1BE0"/>
    <w:rsid w:val="00AD27CD"/>
    <w:rsid w:val="00AD291A"/>
    <w:rsid w:val="00AD2D9A"/>
    <w:rsid w:val="00AD3843"/>
    <w:rsid w:val="00AD3886"/>
    <w:rsid w:val="00AD3E78"/>
    <w:rsid w:val="00AD3EEA"/>
    <w:rsid w:val="00AD6F58"/>
    <w:rsid w:val="00AD71B7"/>
    <w:rsid w:val="00AD76BD"/>
    <w:rsid w:val="00AD7B2D"/>
    <w:rsid w:val="00AE27BB"/>
    <w:rsid w:val="00AE287B"/>
    <w:rsid w:val="00AE3A54"/>
    <w:rsid w:val="00AE5845"/>
    <w:rsid w:val="00AE5F6F"/>
    <w:rsid w:val="00AE611C"/>
    <w:rsid w:val="00AE6780"/>
    <w:rsid w:val="00AE6C3C"/>
    <w:rsid w:val="00AE7441"/>
    <w:rsid w:val="00AF0D59"/>
    <w:rsid w:val="00AF16F2"/>
    <w:rsid w:val="00AF3B72"/>
    <w:rsid w:val="00AF4301"/>
    <w:rsid w:val="00AF4D1B"/>
    <w:rsid w:val="00AF6546"/>
    <w:rsid w:val="00AF714F"/>
    <w:rsid w:val="00AF7737"/>
    <w:rsid w:val="00AF7C0C"/>
    <w:rsid w:val="00B00312"/>
    <w:rsid w:val="00B00D51"/>
    <w:rsid w:val="00B00FF4"/>
    <w:rsid w:val="00B0222B"/>
    <w:rsid w:val="00B02FB9"/>
    <w:rsid w:val="00B0387C"/>
    <w:rsid w:val="00B04223"/>
    <w:rsid w:val="00B0574F"/>
    <w:rsid w:val="00B064B9"/>
    <w:rsid w:val="00B0731F"/>
    <w:rsid w:val="00B076B2"/>
    <w:rsid w:val="00B07CDF"/>
    <w:rsid w:val="00B1187F"/>
    <w:rsid w:val="00B12277"/>
    <w:rsid w:val="00B13830"/>
    <w:rsid w:val="00B13C71"/>
    <w:rsid w:val="00B1471C"/>
    <w:rsid w:val="00B16558"/>
    <w:rsid w:val="00B16BC7"/>
    <w:rsid w:val="00B172CD"/>
    <w:rsid w:val="00B178B9"/>
    <w:rsid w:val="00B21809"/>
    <w:rsid w:val="00B218FD"/>
    <w:rsid w:val="00B219E7"/>
    <w:rsid w:val="00B223EF"/>
    <w:rsid w:val="00B22499"/>
    <w:rsid w:val="00B232B0"/>
    <w:rsid w:val="00B23AB7"/>
    <w:rsid w:val="00B2409A"/>
    <w:rsid w:val="00B24DAD"/>
    <w:rsid w:val="00B24E58"/>
    <w:rsid w:val="00B25112"/>
    <w:rsid w:val="00B2579B"/>
    <w:rsid w:val="00B2750F"/>
    <w:rsid w:val="00B2756D"/>
    <w:rsid w:val="00B27A14"/>
    <w:rsid w:val="00B3038A"/>
    <w:rsid w:val="00B30DE8"/>
    <w:rsid w:val="00B319E6"/>
    <w:rsid w:val="00B32F62"/>
    <w:rsid w:val="00B34696"/>
    <w:rsid w:val="00B35FC1"/>
    <w:rsid w:val="00B37ADF"/>
    <w:rsid w:val="00B40CD9"/>
    <w:rsid w:val="00B42BE3"/>
    <w:rsid w:val="00B434F5"/>
    <w:rsid w:val="00B43C1D"/>
    <w:rsid w:val="00B44610"/>
    <w:rsid w:val="00B4463D"/>
    <w:rsid w:val="00B4471E"/>
    <w:rsid w:val="00B449FA"/>
    <w:rsid w:val="00B44C7E"/>
    <w:rsid w:val="00B44ED2"/>
    <w:rsid w:val="00B462A0"/>
    <w:rsid w:val="00B46D75"/>
    <w:rsid w:val="00B46F06"/>
    <w:rsid w:val="00B473E4"/>
    <w:rsid w:val="00B47D52"/>
    <w:rsid w:val="00B51149"/>
    <w:rsid w:val="00B520F3"/>
    <w:rsid w:val="00B5271A"/>
    <w:rsid w:val="00B52B22"/>
    <w:rsid w:val="00B5434D"/>
    <w:rsid w:val="00B60B11"/>
    <w:rsid w:val="00B60BC0"/>
    <w:rsid w:val="00B613DE"/>
    <w:rsid w:val="00B61412"/>
    <w:rsid w:val="00B618A1"/>
    <w:rsid w:val="00B618C6"/>
    <w:rsid w:val="00B62483"/>
    <w:rsid w:val="00B63246"/>
    <w:rsid w:val="00B64DF3"/>
    <w:rsid w:val="00B65E6E"/>
    <w:rsid w:val="00B65ED9"/>
    <w:rsid w:val="00B67989"/>
    <w:rsid w:val="00B7017C"/>
    <w:rsid w:val="00B738AA"/>
    <w:rsid w:val="00B74132"/>
    <w:rsid w:val="00B749E2"/>
    <w:rsid w:val="00B754DE"/>
    <w:rsid w:val="00B7604D"/>
    <w:rsid w:val="00B77157"/>
    <w:rsid w:val="00B77FDC"/>
    <w:rsid w:val="00B80419"/>
    <w:rsid w:val="00B80B7D"/>
    <w:rsid w:val="00B82EB1"/>
    <w:rsid w:val="00B831A7"/>
    <w:rsid w:val="00B838D8"/>
    <w:rsid w:val="00B83F47"/>
    <w:rsid w:val="00B8437C"/>
    <w:rsid w:val="00B84BF7"/>
    <w:rsid w:val="00B85F04"/>
    <w:rsid w:val="00B86ABE"/>
    <w:rsid w:val="00B86F1F"/>
    <w:rsid w:val="00B8799C"/>
    <w:rsid w:val="00B87A16"/>
    <w:rsid w:val="00B87B60"/>
    <w:rsid w:val="00B907EC"/>
    <w:rsid w:val="00B90C00"/>
    <w:rsid w:val="00B927C7"/>
    <w:rsid w:val="00B932D5"/>
    <w:rsid w:val="00B9333F"/>
    <w:rsid w:val="00B93678"/>
    <w:rsid w:val="00B93F52"/>
    <w:rsid w:val="00B9471C"/>
    <w:rsid w:val="00B949F0"/>
    <w:rsid w:val="00B96649"/>
    <w:rsid w:val="00B97416"/>
    <w:rsid w:val="00B97A8E"/>
    <w:rsid w:val="00BA0C4C"/>
    <w:rsid w:val="00BA0C5A"/>
    <w:rsid w:val="00BA1FC6"/>
    <w:rsid w:val="00BA24D0"/>
    <w:rsid w:val="00BA2AC1"/>
    <w:rsid w:val="00BA3EAF"/>
    <w:rsid w:val="00BA5562"/>
    <w:rsid w:val="00BA5DF0"/>
    <w:rsid w:val="00BA6BF9"/>
    <w:rsid w:val="00BA71FD"/>
    <w:rsid w:val="00BA7EDD"/>
    <w:rsid w:val="00BB01E2"/>
    <w:rsid w:val="00BB022C"/>
    <w:rsid w:val="00BB04D4"/>
    <w:rsid w:val="00BB1D50"/>
    <w:rsid w:val="00BB1DD3"/>
    <w:rsid w:val="00BB3F4E"/>
    <w:rsid w:val="00BB4741"/>
    <w:rsid w:val="00BB4DE5"/>
    <w:rsid w:val="00BB5B60"/>
    <w:rsid w:val="00BB69A7"/>
    <w:rsid w:val="00BB7929"/>
    <w:rsid w:val="00BC023F"/>
    <w:rsid w:val="00BC0A7A"/>
    <w:rsid w:val="00BC17B7"/>
    <w:rsid w:val="00BC1BAD"/>
    <w:rsid w:val="00BC3322"/>
    <w:rsid w:val="00BC4098"/>
    <w:rsid w:val="00BC412E"/>
    <w:rsid w:val="00BC4898"/>
    <w:rsid w:val="00BC4BB6"/>
    <w:rsid w:val="00BC5272"/>
    <w:rsid w:val="00BD1445"/>
    <w:rsid w:val="00BD15A4"/>
    <w:rsid w:val="00BD16BB"/>
    <w:rsid w:val="00BD2935"/>
    <w:rsid w:val="00BD3621"/>
    <w:rsid w:val="00BD378B"/>
    <w:rsid w:val="00BD4D1F"/>
    <w:rsid w:val="00BD58FC"/>
    <w:rsid w:val="00BD59CB"/>
    <w:rsid w:val="00BD614E"/>
    <w:rsid w:val="00BD657D"/>
    <w:rsid w:val="00BE0154"/>
    <w:rsid w:val="00BE1334"/>
    <w:rsid w:val="00BE28EC"/>
    <w:rsid w:val="00BE28F7"/>
    <w:rsid w:val="00BE2BBF"/>
    <w:rsid w:val="00BE2E74"/>
    <w:rsid w:val="00BE3336"/>
    <w:rsid w:val="00BE4284"/>
    <w:rsid w:val="00BE58E2"/>
    <w:rsid w:val="00BE6A67"/>
    <w:rsid w:val="00BE6F81"/>
    <w:rsid w:val="00BE700D"/>
    <w:rsid w:val="00BE7675"/>
    <w:rsid w:val="00BE7DB1"/>
    <w:rsid w:val="00BE7EC9"/>
    <w:rsid w:val="00BF08E6"/>
    <w:rsid w:val="00BF0A0E"/>
    <w:rsid w:val="00BF0CBF"/>
    <w:rsid w:val="00BF0F2B"/>
    <w:rsid w:val="00BF1955"/>
    <w:rsid w:val="00BF2AE8"/>
    <w:rsid w:val="00BF36C2"/>
    <w:rsid w:val="00BF39E4"/>
    <w:rsid w:val="00BF4DC0"/>
    <w:rsid w:val="00BF5B2A"/>
    <w:rsid w:val="00C01562"/>
    <w:rsid w:val="00C016B4"/>
    <w:rsid w:val="00C0187D"/>
    <w:rsid w:val="00C018BB"/>
    <w:rsid w:val="00C01C08"/>
    <w:rsid w:val="00C02BC7"/>
    <w:rsid w:val="00C030F2"/>
    <w:rsid w:val="00C033CA"/>
    <w:rsid w:val="00C034A9"/>
    <w:rsid w:val="00C049AA"/>
    <w:rsid w:val="00C04E68"/>
    <w:rsid w:val="00C052B7"/>
    <w:rsid w:val="00C05FE2"/>
    <w:rsid w:val="00C06A89"/>
    <w:rsid w:val="00C06D59"/>
    <w:rsid w:val="00C1058E"/>
    <w:rsid w:val="00C12D7F"/>
    <w:rsid w:val="00C12E72"/>
    <w:rsid w:val="00C1444D"/>
    <w:rsid w:val="00C14BAD"/>
    <w:rsid w:val="00C168E1"/>
    <w:rsid w:val="00C21A9B"/>
    <w:rsid w:val="00C2279C"/>
    <w:rsid w:val="00C23413"/>
    <w:rsid w:val="00C237E8"/>
    <w:rsid w:val="00C24612"/>
    <w:rsid w:val="00C2509E"/>
    <w:rsid w:val="00C26A57"/>
    <w:rsid w:val="00C27968"/>
    <w:rsid w:val="00C3031C"/>
    <w:rsid w:val="00C30663"/>
    <w:rsid w:val="00C3133A"/>
    <w:rsid w:val="00C314C3"/>
    <w:rsid w:val="00C32482"/>
    <w:rsid w:val="00C33660"/>
    <w:rsid w:val="00C33A44"/>
    <w:rsid w:val="00C35719"/>
    <w:rsid w:val="00C357B8"/>
    <w:rsid w:val="00C35AB3"/>
    <w:rsid w:val="00C36627"/>
    <w:rsid w:val="00C36959"/>
    <w:rsid w:val="00C37238"/>
    <w:rsid w:val="00C40278"/>
    <w:rsid w:val="00C4067C"/>
    <w:rsid w:val="00C40DE7"/>
    <w:rsid w:val="00C415E8"/>
    <w:rsid w:val="00C42C79"/>
    <w:rsid w:val="00C430D8"/>
    <w:rsid w:val="00C44688"/>
    <w:rsid w:val="00C44870"/>
    <w:rsid w:val="00C457E1"/>
    <w:rsid w:val="00C45813"/>
    <w:rsid w:val="00C46AD2"/>
    <w:rsid w:val="00C50F6C"/>
    <w:rsid w:val="00C514E0"/>
    <w:rsid w:val="00C51554"/>
    <w:rsid w:val="00C51C98"/>
    <w:rsid w:val="00C52512"/>
    <w:rsid w:val="00C52914"/>
    <w:rsid w:val="00C53D53"/>
    <w:rsid w:val="00C55E05"/>
    <w:rsid w:val="00C55EE6"/>
    <w:rsid w:val="00C56017"/>
    <w:rsid w:val="00C565CE"/>
    <w:rsid w:val="00C6234E"/>
    <w:rsid w:val="00C62458"/>
    <w:rsid w:val="00C628FF"/>
    <w:rsid w:val="00C62983"/>
    <w:rsid w:val="00C62CA5"/>
    <w:rsid w:val="00C65DA5"/>
    <w:rsid w:val="00C67A9B"/>
    <w:rsid w:val="00C708C3"/>
    <w:rsid w:val="00C70EAF"/>
    <w:rsid w:val="00C70F63"/>
    <w:rsid w:val="00C71FFF"/>
    <w:rsid w:val="00C721CC"/>
    <w:rsid w:val="00C726F6"/>
    <w:rsid w:val="00C73093"/>
    <w:rsid w:val="00C73B57"/>
    <w:rsid w:val="00C75ABC"/>
    <w:rsid w:val="00C76123"/>
    <w:rsid w:val="00C7719E"/>
    <w:rsid w:val="00C77285"/>
    <w:rsid w:val="00C77DAE"/>
    <w:rsid w:val="00C80012"/>
    <w:rsid w:val="00C8088A"/>
    <w:rsid w:val="00C81E25"/>
    <w:rsid w:val="00C81F64"/>
    <w:rsid w:val="00C825C4"/>
    <w:rsid w:val="00C82876"/>
    <w:rsid w:val="00C8295E"/>
    <w:rsid w:val="00C82B66"/>
    <w:rsid w:val="00C83879"/>
    <w:rsid w:val="00C84E2B"/>
    <w:rsid w:val="00C85061"/>
    <w:rsid w:val="00C8616E"/>
    <w:rsid w:val="00C86899"/>
    <w:rsid w:val="00C87450"/>
    <w:rsid w:val="00C87ABD"/>
    <w:rsid w:val="00C87E3D"/>
    <w:rsid w:val="00C92A8E"/>
    <w:rsid w:val="00C9439C"/>
    <w:rsid w:val="00C94468"/>
    <w:rsid w:val="00C94D11"/>
    <w:rsid w:val="00C95057"/>
    <w:rsid w:val="00C9671C"/>
    <w:rsid w:val="00C96923"/>
    <w:rsid w:val="00C96BA9"/>
    <w:rsid w:val="00C96C5A"/>
    <w:rsid w:val="00CA123F"/>
    <w:rsid w:val="00CA3FD9"/>
    <w:rsid w:val="00CA563F"/>
    <w:rsid w:val="00CA6895"/>
    <w:rsid w:val="00CA700C"/>
    <w:rsid w:val="00CA7C07"/>
    <w:rsid w:val="00CA7ED3"/>
    <w:rsid w:val="00CB0034"/>
    <w:rsid w:val="00CB00A9"/>
    <w:rsid w:val="00CB217B"/>
    <w:rsid w:val="00CB2570"/>
    <w:rsid w:val="00CB257A"/>
    <w:rsid w:val="00CB2D25"/>
    <w:rsid w:val="00CB3123"/>
    <w:rsid w:val="00CB337F"/>
    <w:rsid w:val="00CB3519"/>
    <w:rsid w:val="00CB5797"/>
    <w:rsid w:val="00CC0996"/>
    <w:rsid w:val="00CC0D80"/>
    <w:rsid w:val="00CC193E"/>
    <w:rsid w:val="00CC2529"/>
    <w:rsid w:val="00CC2973"/>
    <w:rsid w:val="00CC46BD"/>
    <w:rsid w:val="00CC5CC3"/>
    <w:rsid w:val="00CD05EF"/>
    <w:rsid w:val="00CD0991"/>
    <w:rsid w:val="00CD0A4F"/>
    <w:rsid w:val="00CD2D14"/>
    <w:rsid w:val="00CD33C0"/>
    <w:rsid w:val="00CD3688"/>
    <w:rsid w:val="00CD4960"/>
    <w:rsid w:val="00CD4C2B"/>
    <w:rsid w:val="00CD70E0"/>
    <w:rsid w:val="00CD71E0"/>
    <w:rsid w:val="00CE0E5C"/>
    <w:rsid w:val="00CE1832"/>
    <w:rsid w:val="00CE1D4D"/>
    <w:rsid w:val="00CE275C"/>
    <w:rsid w:val="00CE2806"/>
    <w:rsid w:val="00CE31F1"/>
    <w:rsid w:val="00CE3473"/>
    <w:rsid w:val="00CE4405"/>
    <w:rsid w:val="00CE6213"/>
    <w:rsid w:val="00CE660B"/>
    <w:rsid w:val="00CE6C01"/>
    <w:rsid w:val="00CE7787"/>
    <w:rsid w:val="00CE785D"/>
    <w:rsid w:val="00CE7A28"/>
    <w:rsid w:val="00CE7B98"/>
    <w:rsid w:val="00CF1A05"/>
    <w:rsid w:val="00CF1FE7"/>
    <w:rsid w:val="00CF30FA"/>
    <w:rsid w:val="00CF3366"/>
    <w:rsid w:val="00CF3C1C"/>
    <w:rsid w:val="00CF3F38"/>
    <w:rsid w:val="00CF43A2"/>
    <w:rsid w:val="00CF55EA"/>
    <w:rsid w:val="00CF65E6"/>
    <w:rsid w:val="00CF72C4"/>
    <w:rsid w:val="00D01615"/>
    <w:rsid w:val="00D019A6"/>
    <w:rsid w:val="00D02E1C"/>
    <w:rsid w:val="00D02F51"/>
    <w:rsid w:val="00D04193"/>
    <w:rsid w:val="00D04A0F"/>
    <w:rsid w:val="00D04B31"/>
    <w:rsid w:val="00D04E6E"/>
    <w:rsid w:val="00D04F14"/>
    <w:rsid w:val="00D05C07"/>
    <w:rsid w:val="00D06F14"/>
    <w:rsid w:val="00D075D8"/>
    <w:rsid w:val="00D07901"/>
    <w:rsid w:val="00D07EE4"/>
    <w:rsid w:val="00D11AF2"/>
    <w:rsid w:val="00D1243C"/>
    <w:rsid w:val="00D1255E"/>
    <w:rsid w:val="00D12797"/>
    <w:rsid w:val="00D136C4"/>
    <w:rsid w:val="00D1393C"/>
    <w:rsid w:val="00D13FC4"/>
    <w:rsid w:val="00D146A7"/>
    <w:rsid w:val="00D15365"/>
    <w:rsid w:val="00D15AB8"/>
    <w:rsid w:val="00D15B63"/>
    <w:rsid w:val="00D15EBD"/>
    <w:rsid w:val="00D15EED"/>
    <w:rsid w:val="00D161AA"/>
    <w:rsid w:val="00D17886"/>
    <w:rsid w:val="00D179AD"/>
    <w:rsid w:val="00D17B4F"/>
    <w:rsid w:val="00D2058E"/>
    <w:rsid w:val="00D2109A"/>
    <w:rsid w:val="00D211A5"/>
    <w:rsid w:val="00D23507"/>
    <w:rsid w:val="00D237DA"/>
    <w:rsid w:val="00D23E55"/>
    <w:rsid w:val="00D241BF"/>
    <w:rsid w:val="00D2477B"/>
    <w:rsid w:val="00D24CD3"/>
    <w:rsid w:val="00D25ABD"/>
    <w:rsid w:val="00D278E6"/>
    <w:rsid w:val="00D3164E"/>
    <w:rsid w:val="00D33175"/>
    <w:rsid w:val="00D33824"/>
    <w:rsid w:val="00D33CB8"/>
    <w:rsid w:val="00D349CB"/>
    <w:rsid w:val="00D34B78"/>
    <w:rsid w:val="00D35124"/>
    <w:rsid w:val="00D35771"/>
    <w:rsid w:val="00D408A7"/>
    <w:rsid w:val="00D4110D"/>
    <w:rsid w:val="00D41158"/>
    <w:rsid w:val="00D4186E"/>
    <w:rsid w:val="00D423E4"/>
    <w:rsid w:val="00D42A05"/>
    <w:rsid w:val="00D4384B"/>
    <w:rsid w:val="00D44689"/>
    <w:rsid w:val="00D44DDD"/>
    <w:rsid w:val="00D459A7"/>
    <w:rsid w:val="00D463CD"/>
    <w:rsid w:val="00D472F5"/>
    <w:rsid w:val="00D4782F"/>
    <w:rsid w:val="00D47B5C"/>
    <w:rsid w:val="00D5034C"/>
    <w:rsid w:val="00D50F5E"/>
    <w:rsid w:val="00D51DED"/>
    <w:rsid w:val="00D5258E"/>
    <w:rsid w:val="00D53462"/>
    <w:rsid w:val="00D53ED2"/>
    <w:rsid w:val="00D55D3F"/>
    <w:rsid w:val="00D56E07"/>
    <w:rsid w:val="00D57D0A"/>
    <w:rsid w:val="00D60333"/>
    <w:rsid w:val="00D6038F"/>
    <w:rsid w:val="00D615B5"/>
    <w:rsid w:val="00D616FA"/>
    <w:rsid w:val="00D61D1C"/>
    <w:rsid w:val="00D628E0"/>
    <w:rsid w:val="00D63158"/>
    <w:rsid w:val="00D63E14"/>
    <w:rsid w:val="00D64265"/>
    <w:rsid w:val="00D66EF9"/>
    <w:rsid w:val="00D70629"/>
    <w:rsid w:val="00D709BF"/>
    <w:rsid w:val="00D7284B"/>
    <w:rsid w:val="00D737B1"/>
    <w:rsid w:val="00D74A9B"/>
    <w:rsid w:val="00D74F3C"/>
    <w:rsid w:val="00D752F2"/>
    <w:rsid w:val="00D75680"/>
    <w:rsid w:val="00D75E8F"/>
    <w:rsid w:val="00D765FE"/>
    <w:rsid w:val="00D76EED"/>
    <w:rsid w:val="00D804F4"/>
    <w:rsid w:val="00D80DB0"/>
    <w:rsid w:val="00D813C9"/>
    <w:rsid w:val="00D81AB1"/>
    <w:rsid w:val="00D81C69"/>
    <w:rsid w:val="00D826C9"/>
    <w:rsid w:val="00D828B7"/>
    <w:rsid w:val="00D82E62"/>
    <w:rsid w:val="00D8337A"/>
    <w:rsid w:val="00D83481"/>
    <w:rsid w:val="00D84145"/>
    <w:rsid w:val="00D8435A"/>
    <w:rsid w:val="00D85A9E"/>
    <w:rsid w:val="00D86E50"/>
    <w:rsid w:val="00D90200"/>
    <w:rsid w:val="00D904D9"/>
    <w:rsid w:val="00D90546"/>
    <w:rsid w:val="00D90B96"/>
    <w:rsid w:val="00D9112B"/>
    <w:rsid w:val="00D91198"/>
    <w:rsid w:val="00D91C86"/>
    <w:rsid w:val="00D922D2"/>
    <w:rsid w:val="00D9295D"/>
    <w:rsid w:val="00D94682"/>
    <w:rsid w:val="00D94E30"/>
    <w:rsid w:val="00D94FD5"/>
    <w:rsid w:val="00D955C7"/>
    <w:rsid w:val="00D959D0"/>
    <w:rsid w:val="00D95CD0"/>
    <w:rsid w:val="00D97291"/>
    <w:rsid w:val="00D972F8"/>
    <w:rsid w:val="00D973E4"/>
    <w:rsid w:val="00DA019A"/>
    <w:rsid w:val="00DA052F"/>
    <w:rsid w:val="00DA0906"/>
    <w:rsid w:val="00DA11FC"/>
    <w:rsid w:val="00DA1695"/>
    <w:rsid w:val="00DA7F6C"/>
    <w:rsid w:val="00DB0095"/>
    <w:rsid w:val="00DB13A9"/>
    <w:rsid w:val="00DB375E"/>
    <w:rsid w:val="00DB3F65"/>
    <w:rsid w:val="00DB448D"/>
    <w:rsid w:val="00DB51E1"/>
    <w:rsid w:val="00DB60A4"/>
    <w:rsid w:val="00DB6EE8"/>
    <w:rsid w:val="00DB7F39"/>
    <w:rsid w:val="00DC2AED"/>
    <w:rsid w:val="00DC3995"/>
    <w:rsid w:val="00DC3C4D"/>
    <w:rsid w:val="00DC4F52"/>
    <w:rsid w:val="00DC655D"/>
    <w:rsid w:val="00DC7871"/>
    <w:rsid w:val="00DC7E1C"/>
    <w:rsid w:val="00DD00BD"/>
    <w:rsid w:val="00DD1A9D"/>
    <w:rsid w:val="00DD3596"/>
    <w:rsid w:val="00DD4377"/>
    <w:rsid w:val="00DD5913"/>
    <w:rsid w:val="00DD5E47"/>
    <w:rsid w:val="00DD680B"/>
    <w:rsid w:val="00DD7666"/>
    <w:rsid w:val="00DE0200"/>
    <w:rsid w:val="00DE09CB"/>
    <w:rsid w:val="00DE21DE"/>
    <w:rsid w:val="00DE35D6"/>
    <w:rsid w:val="00DE38A6"/>
    <w:rsid w:val="00DE405D"/>
    <w:rsid w:val="00DE4C28"/>
    <w:rsid w:val="00DE573C"/>
    <w:rsid w:val="00DE693C"/>
    <w:rsid w:val="00DF072B"/>
    <w:rsid w:val="00DF0A18"/>
    <w:rsid w:val="00DF0AD1"/>
    <w:rsid w:val="00DF3817"/>
    <w:rsid w:val="00DF3826"/>
    <w:rsid w:val="00DF3A43"/>
    <w:rsid w:val="00DF464A"/>
    <w:rsid w:val="00DF5012"/>
    <w:rsid w:val="00DF5F7B"/>
    <w:rsid w:val="00DF6097"/>
    <w:rsid w:val="00DF6CB7"/>
    <w:rsid w:val="00E02445"/>
    <w:rsid w:val="00E03414"/>
    <w:rsid w:val="00E05860"/>
    <w:rsid w:val="00E0595D"/>
    <w:rsid w:val="00E06264"/>
    <w:rsid w:val="00E07984"/>
    <w:rsid w:val="00E11089"/>
    <w:rsid w:val="00E110A9"/>
    <w:rsid w:val="00E12962"/>
    <w:rsid w:val="00E13199"/>
    <w:rsid w:val="00E1595F"/>
    <w:rsid w:val="00E17A15"/>
    <w:rsid w:val="00E17F20"/>
    <w:rsid w:val="00E20B28"/>
    <w:rsid w:val="00E2146E"/>
    <w:rsid w:val="00E21D8C"/>
    <w:rsid w:val="00E22BA2"/>
    <w:rsid w:val="00E232D7"/>
    <w:rsid w:val="00E24EE5"/>
    <w:rsid w:val="00E24F48"/>
    <w:rsid w:val="00E25647"/>
    <w:rsid w:val="00E26115"/>
    <w:rsid w:val="00E27C76"/>
    <w:rsid w:val="00E31D11"/>
    <w:rsid w:val="00E320BA"/>
    <w:rsid w:val="00E320C5"/>
    <w:rsid w:val="00E321DA"/>
    <w:rsid w:val="00E3260E"/>
    <w:rsid w:val="00E329B8"/>
    <w:rsid w:val="00E32E6C"/>
    <w:rsid w:val="00E3370B"/>
    <w:rsid w:val="00E34BC9"/>
    <w:rsid w:val="00E3514B"/>
    <w:rsid w:val="00E35417"/>
    <w:rsid w:val="00E35A83"/>
    <w:rsid w:val="00E367F4"/>
    <w:rsid w:val="00E36918"/>
    <w:rsid w:val="00E36937"/>
    <w:rsid w:val="00E36E09"/>
    <w:rsid w:val="00E37173"/>
    <w:rsid w:val="00E37D00"/>
    <w:rsid w:val="00E37FFC"/>
    <w:rsid w:val="00E406D5"/>
    <w:rsid w:val="00E40D0C"/>
    <w:rsid w:val="00E40FBE"/>
    <w:rsid w:val="00E4282C"/>
    <w:rsid w:val="00E43334"/>
    <w:rsid w:val="00E43DC2"/>
    <w:rsid w:val="00E46069"/>
    <w:rsid w:val="00E473C3"/>
    <w:rsid w:val="00E476F8"/>
    <w:rsid w:val="00E47DCF"/>
    <w:rsid w:val="00E527C5"/>
    <w:rsid w:val="00E52C35"/>
    <w:rsid w:val="00E52CC7"/>
    <w:rsid w:val="00E535DE"/>
    <w:rsid w:val="00E57282"/>
    <w:rsid w:val="00E57679"/>
    <w:rsid w:val="00E60478"/>
    <w:rsid w:val="00E62EF9"/>
    <w:rsid w:val="00E63DE9"/>
    <w:rsid w:val="00E6630C"/>
    <w:rsid w:val="00E665A1"/>
    <w:rsid w:val="00E669E3"/>
    <w:rsid w:val="00E67AA4"/>
    <w:rsid w:val="00E67E45"/>
    <w:rsid w:val="00E67F28"/>
    <w:rsid w:val="00E711B8"/>
    <w:rsid w:val="00E7170C"/>
    <w:rsid w:val="00E7324F"/>
    <w:rsid w:val="00E7336D"/>
    <w:rsid w:val="00E73915"/>
    <w:rsid w:val="00E73ADC"/>
    <w:rsid w:val="00E76688"/>
    <w:rsid w:val="00E76844"/>
    <w:rsid w:val="00E778E0"/>
    <w:rsid w:val="00E77976"/>
    <w:rsid w:val="00E77BB3"/>
    <w:rsid w:val="00E80C7F"/>
    <w:rsid w:val="00E81162"/>
    <w:rsid w:val="00E816C1"/>
    <w:rsid w:val="00E81E78"/>
    <w:rsid w:val="00E829C4"/>
    <w:rsid w:val="00E82A82"/>
    <w:rsid w:val="00E85038"/>
    <w:rsid w:val="00E85CE6"/>
    <w:rsid w:val="00E860DB"/>
    <w:rsid w:val="00E86504"/>
    <w:rsid w:val="00E87605"/>
    <w:rsid w:val="00E8780F"/>
    <w:rsid w:val="00E878B8"/>
    <w:rsid w:val="00E87AAF"/>
    <w:rsid w:val="00E9110A"/>
    <w:rsid w:val="00E91543"/>
    <w:rsid w:val="00E91F5F"/>
    <w:rsid w:val="00E9206A"/>
    <w:rsid w:val="00E94266"/>
    <w:rsid w:val="00E949E5"/>
    <w:rsid w:val="00E94B49"/>
    <w:rsid w:val="00E951A9"/>
    <w:rsid w:val="00E9533E"/>
    <w:rsid w:val="00E958C0"/>
    <w:rsid w:val="00E958F8"/>
    <w:rsid w:val="00E95EE4"/>
    <w:rsid w:val="00E95FCE"/>
    <w:rsid w:val="00E97A3C"/>
    <w:rsid w:val="00EA01E0"/>
    <w:rsid w:val="00EA0267"/>
    <w:rsid w:val="00EA03BC"/>
    <w:rsid w:val="00EA06B1"/>
    <w:rsid w:val="00EA0E12"/>
    <w:rsid w:val="00EA1166"/>
    <w:rsid w:val="00EA12D1"/>
    <w:rsid w:val="00EA1511"/>
    <w:rsid w:val="00EA1BBE"/>
    <w:rsid w:val="00EA219E"/>
    <w:rsid w:val="00EA25CA"/>
    <w:rsid w:val="00EA26E0"/>
    <w:rsid w:val="00EA2A67"/>
    <w:rsid w:val="00EA2C2A"/>
    <w:rsid w:val="00EA2DAA"/>
    <w:rsid w:val="00EA3351"/>
    <w:rsid w:val="00EA3A8D"/>
    <w:rsid w:val="00EA3AB9"/>
    <w:rsid w:val="00EA3F29"/>
    <w:rsid w:val="00EA468A"/>
    <w:rsid w:val="00EA49E5"/>
    <w:rsid w:val="00EA7BD5"/>
    <w:rsid w:val="00EB1A1D"/>
    <w:rsid w:val="00EB2563"/>
    <w:rsid w:val="00EB368F"/>
    <w:rsid w:val="00EB3836"/>
    <w:rsid w:val="00EB543F"/>
    <w:rsid w:val="00EB5918"/>
    <w:rsid w:val="00EB5B98"/>
    <w:rsid w:val="00EB6395"/>
    <w:rsid w:val="00EB6593"/>
    <w:rsid w:val="00EB7666"/>
    <w:rsid w:val="00EB7E73"/>
    <w:rsid w:val="00EC11A1"/>
    <w:rsid w:val="00EC2AE8"/>
    <w:rsid w:val="00EC4290"/>
    <w:rsid w:val="00EC783C"/>
    <w:rsid w:val="00ED059F"/>
    <w:rsid w:val="00ED10C6"/>
    <w:rsid w:val="00ED1AC6"/>
    <w:rsid w:val="00ED289D"/>
    <w:rsid w:val="00ED384C"/>
    <w:rsid w:val="00ED4962"/>
    <w:rsid w:val="00ED682F"/>
    <w:rsid w:val="00ED6D88"/>
    <w:rsid w:val="00ED735E"/>
    <w:rsid w:val="00EE07AE"/>
    <w:rsid w:val="00EE0879"/>
    <w:rsid w:val="00EE0981"/>
    <w:rsid w:val="00EE1275"/>
    <w:rsid w:val="00EE12B2"/>
    <w:rsid w:val="00EE14D6"/>
    <w:rsid w:val="00EE1FD7"/>
    <w:rsid w:val="00EE2EE7"/>
    <w:rsid w:val="00EE3D4D"/>
    <w:rsid w:val="00EE4278"/>
    <w:rsid w:val="00EE4BE9"/>
    <w:rsid w:val="00EE5FE3"/>
    <w:rsid w:val="00EE6D13"/>
    <w:rsid w:val="00EE6D9B"/>
    <w:rsid w:val="00EE7111"/>
    <w:rsid w:val="00EF355D"/>
    <w:rsid w:val="00EF52A9"/>
    <w:rsid w:val="00EF7706"/>
    <w:rsid w:val="00F03CFB"/>
    <w:rsid w:val="00F043E0"/>
    <w:rsid w:val="00F05E1C"/>
    <w:rsid w:val="00F0609A"/>
    <w:rsid w:val="00F06ECB"/>
    <w:rsid w:val="00F070BF"/>
    <w:rsid w:val="00F07FEA"/>
    <w:rsid w:val="00F10CFB"/>
    <w:rsid w:val="00F10F51"/>
    <w:rsid w:val="00F1217F"/>
    <w:rsid w:val="00F12803"/>
    <w:rsid w:val="00F12B5A"/>
    <w:rsid w:val="00F13ABF"/>
    <w:rsid w:val="00F14457"/>
    <w:rsid w:val="00F17B3C"/>
    <w:rsid w:val="00F17BEF"/>
    <w:rsid w:val="00F20584"/>
    <w:rsid w:val="00F205A6"/>
    <w:rsid w:val="00F20C15"/>
    <w:rsid w:val="00F22E79"/>
    <w:rsid w:val="00F232BD"/>
    <w:rsid w:val="00F23AC4"/>
    <w:rsid w:val="00F240DC"/>
    <w:rsid w:val="00F25E6B"/>
    <w:rsid w:val="00F26E93"/>
    <w:rsid w:val="00F272D7"/>
    <w:rsid w:val="00F3076F"/>
    <w:rsid w:val="00F31595"/>
    <w:rsid w:val="00F33A36"/>
    <w:rsid w:val="00F34211"/>
    <w:rsid w:val="00F351F6"/>
    <w:rsid w:val="00F35958"/>
    <w:rsid w:val="00F36D90"/>
    <w:rsid w:val="00F3706F"/>
    <w:rsid w:val="00F37A9A"/>
    <w:rsid w:val="00F4005B"/>
    <w:rsid w:val="00F4180E"/>
    <w:rsid w:val="00F42026"/>
    <w:rsid w:val="00F425B5"/>
    <w:rsid w:val="00F428DA"/>
    <w:rsid w:val="00F42B85"/>
    <w:rsid w:val="00F433A4"/>
    <w:rsid w:val="00F434EA"/>
    <w:rsid w:val="00F43841"/>
    <w:rsid w:val="00F44972"/>
    <w:rsid w:val="00F461A9"/>
    <w:rsid w:val="00F4772B"/>
    <w:rsid w:val="00F50E4C"/>
    <w:rsid w:val="00F51B9B"/>
    <w:rsid w:val="00F523C7"/>
    <w:rsid w:val="00F5331E"/>
    <w:rsid w:val="00F5339F"/>
    <w:rsid w:val="00F539C1"/>
    <w:rsid w:val="00F5554A"/>
    <w:rsid w:val="00F55C8A"/>
    <w:rsid w:val="00F55D5E"/>
    <w:rsid w:val="00F57786"/>
    <w:rsid w:val="00F60AFD"/>
    <w:rsid w:val="00F60EBE"/>
    <w:rsid w:val="00F60F6D"/>
    <w:rsid w:val="00F61DD2"/>
    <w:rsid w:val="00F62346"/>
    <w:rsid w:val="00F630F1"/>
    <w:rsid w:val="00F637E8"/>
    <w:rsid w:val="00F63DD5"/>
    <w:rsid w:val="00F641AA"/>
    <w:rsid w:val="00F6420B"/>
    <w:rsid w:val="00F64772"/>
    <w:rsid w:val="00F64F65"/>
    <w:rsid w:val="00F64F70"/>
    <w:rsid w:val="00F65D83"/>
    <w:rsid w:val="00F66421"/>
    <w:rsid w:val="00F66742"/>
    <w:rsid w:val="00F67E52"/>
    <w:rsid w:val="00F67EB6"/>
    <w:rsid w:val="00F711B5"/>
    <w:rsid w:val="00F7138B"/>
    <w:rsid w:val="00F724D9"/>
    <w:rsid w:val="00F737DE"/>
    <w:rsid w:val="00F744C8"/>
    <w:rsid w:val="00F758AC"/>
    <w:rsid w:val="00F77B81"/>
    <w:rsid w:val="00F77D5B"/>
    <w:rsid w:val="00F77E19"/>
    <w:rsid w:val="00F80523"/>
    <w:rsid w:val="00F8071D"/>
    <w:rsid w:val="00F81A7F"/>
    <w:rsid w:val="00F81AF4"/>
    <w:rsid w:val="00F81D66"/>
    <w:rsid w:val="00F81E73"/>
    <w:rsid w:val="00F8215F"/>
    <w:rsid w:val="00F822F0"/>
    <w:rsid w:val="00F831D5"/>
    <w:rsid w:val="00F834F6"/>
    <w:rsid w:val="00F83C47"/>
    <w:rsid w:val="00F85FFC"/>
    <w:rsid w:val="00F8627D"/>
    <w:rsid w:val="00F86477"/>
    <w:rsid w:val="00F86E01"/>
    <w:rsid w:val="00F87157"/>
    <w:rsid w:val="00F87C06"/>
    <w:rsid w:val="00F90386"/>
    <w:rsid w:val="00F90530"/>
    <w:rsid w:val="00F908B7"/>
    <w:rsid w:val="00F90E3D"/>
    <w:rsid w:val="00F91399"/>
    <w:rsid w:val="00F91822"/>
    <w:rsid w:val="00F91BDA"/>
    <w:rsid w:val="00F9268A"/>
    <w:rsid w:val="00F94695"/>
    <w:rsid w:val="00F94D8C"/>
    <w:rsid w:val="00F96315"/>
    <w:rsid w:val="00F972BF"/>
    <w:rsid w:val="00F97853"/>
    <w:rsid w:val="00F97896"/>
    <w:rsid w:val="00FA006F"/>
    <w:rsid w:val="00FA0564"/>
    <w:rsid w:val="00FA1072"/>
    <w:rsid w:val="00FA372A"/>
    <w:rsid w:val="00FA3EB6"/>
    <w:rsid w:val="00FA3F82"/>
    <w:rsid w:val="00FA43DF"/>
    <w:rsid w:val="00FA4EB3"/>
    <w:rsid w:val="00FA60A3"/>
    <w:rsid w:val="00FA76AB"/>
    <w:rsid w:val="00FB05CB"/>
    <w:rsid w:val="00FB1329"/>
    <w:rsid w:val="00FB1F68"/>
    <w:rsid w:val="00FB20EF"/>
    <w:rsid w:val="00FB22E3"/>
    <w:rsid w:val="00FB31A5"/>
    <w:rsid w:val="00FB3B2E"/>
    <w:rsid w:val="00FB444B"/>
    <w:rsid w:val="00FB5785"/>
    <w:rsid w:val="00FB5F29"/>
    <w:rsid w:val="00FB7B47"/>
    <w:rsid w:val="00FC0277"/>
    <w:rsid w:val="00FC084B"/>
    <w:rsid w:val="00FC1277"/>
    <w:rsid w:val="00FC1A72"/>
    <w:rsid w:val="00FC314F"/>
    <w:rsid w:val="00FC3337"/>
    <w:rsid w:val="00FC333F"/>
    <w:rsid w:val="00FC4C1F"/>
    <w:rsid w:val="00FC5D57"/>
    <w:rsid w:val="00FC6777"/>
    <w:rsid w:val="00FC7430"/>
    <w:rsid w:val="00FC7D5F"/>
    <w:rsid w:val="00FD0028"/>
    <w:rsid w:val="00FD0040"/>
    <w:rsid w:val="00FD0F02"/>
    <w:rsid w:val="00FD1369"/>
    <w:rsid w:val="00FD13E2"/>
    <w:rsid w:val="00FD14AC"/>
    <w:rsid w:val="00FD35CF"/>
    <w:rsid w:val="00FD538E"/>
    <w:rsid w:val="00FD5A24"/>
    <w:rsid w:val="00FD5B6D"/>
    <w:rsid w:val="00FD626F"/>
    <w:rsid w:val="00FD6E76"/>
    <w:rsid w:val="00FE010B"/>
    <w:rsid w:val="00FE0309"/>
    <w:rsid w:val="00FE0D1B"/>
    <w:rsid w:val="00FE21F5"/>
    <w:rsid w:val="00FE3190"/>
    <w:rsid w:val="00FE37AD"/>
    <w:rsid w:val="00FE4465"/>
    <w:rsid w:val="00FE4DB1"/>
    <w:rsid w:val="00FE616F"/>
    <w:rsid w:val="00FE68EF"/>
    <w:rsid w:val="00FE6B67"/>
    <w:rsid w:val="00FF00AD"/>
    <w:rsid w:val="00FF2BEC"/>
    <w:rsid w:val="00FF383D"/>
    <w:rsid w:val="00FF3FB2"/>
    <w:rsid w:val="00FF6BC5"/>
    <w:rsid w:val="00FF750B"/>
    <w:rsid w:val="00FF7CF9"/>
    <w:rsid w:val="00FF7E69"/>
    <w:rsid w:val="07F44A47"/>
    <w:rsid w:val="09AA49C1"/>
    <w:rsid w:val="0A427D93"/>
    <w:rsid w:val="13B44B7A"/>
    <w:rsid w:val="16B117AD"/>
    <w:rsid w:val="18984BBD"/>
    <w:rsid w:val="1A4A10D5"/>
    <w:rsid w:val="1DBF5BA6"/>
    <w:rsid w:val="21E90826"/>
    <w:rsid w:val="267C6FCB"/>
    <w:rsid w:val="328C1795"/>
    <w:rsid w:val="34136930"/>
    <w:rsid w:val="365E61D9"/>
    <w:rsid w:val="3DBF3ABF"/>
    <w:rsid w:val="3DE0019B"/>
    <w:rsid w:val="4AE040E1"/>
    <w:rsid w:val="50623937"/>
    <w:rsid w:val="55262E08"/>
    <w:rsid w:val="60495E00"/>
    <w:rsid w:val="6E292231"/>
    <w:rsid w:val="6E7417EC"/>
    <w:rsid w:val="707C4026"/>
    <w:rsid w:val="72EB753F"/>
    <w:rsid w:val="74CC4D16"/>
    <w:rsid w:val="7C5E68BC"/>
    <w:rsid w:val="7C9E5927"/>
    <w:rsid w:val="7F721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41"/>
    <w:qFormat/>
    <w:uiPriority w:val="0"/>
    <w:pPr>
      <w:keepNext/>
      <w:keepLines/>
      <w:outlineLvl w:val="0"/>
    </w:pPr>
    <w:rPr>
      <w:rFonts w:eastAsia="黑体"/>
      <w:bCs/>
      <w:kern w:val="44"/>
      <w:szCs w:val="44"/>
    </w:rPr>
  </w:style>
  <w:style w:type="paragraph" w:styleId="3">
    <w:name w:val="heading 2"/>
    <w:basedOn w:val="1"/>
    <w:next w:val="1"/>
    <w:link w:val="44"/>
    <w:unhideWhenUsed/>
    <w:qFormat/>
    <w:uiPriority w:val="0"/>
    <w:pPr>
      <w:keepNext/>
      <w:keepLines/>
      <w:ind w:firstLine="643"/>
      <w:outlineLvl w:val="1"/>
    </w:pPr>
    <w:rPr>
      <w:rFonts w:ascii="楷体_GB2312" w:hAnsi="楷体_GB2312" w:eastAsia="楷体_GB2312" w:cs="楷体_GB2312"/>
      <w:b/>
      <w:bCs/>
      <w:color w:val="000000" w:themeColor="text1"/>
      <w:szCs w:val="32"/>
      <w14:textFill>
        <w14:solidFill>
          <w14:schemeClr w14:val="tx1"/>
        </w14:solidFill>
      </w14:textFill>
    </w:rPr>
  </w:style>
  <w:style w:type="paragraph" w:styleId="4">
    <w:name w:val="heading 3"/>
    <w:basedOn w:val="1"/>
    <w:next w:val="1"/>
    <w:link w:val="45"/>
    <w:unhideWhenUsed/>
    <w:qFormat/>
    <w:uiPriority w:val="0"/>
    <w:pPr>
      <w:keepNext/>
      <w:keepLines/>
      <w:outlineLvl w:val="2"/>
    </w:pPr>
    <w:rPr>
      <w:rFonts w:ascii="仿宋_GB2312"/>
      <w:b/>
      <w:bCs/>
      <w:szCs w:val="32"/>
    </w:rPr>
  </w:style>
  <w:style w:type="paragraph" w:styleId="5">
    <w:name w:val="heading 4"/>
    <w:basedOn w:val="1"/>
    <w:next w:val="1"/>
    <w:link w:val="46"/>
    <w:qFormat/>
    <w:uiPriority w:val="0"/>
    <w:pPr>
      <w:keepNext/>
      <w:keepLines/>
      <w:outlineLvl w:val="3"/>
    </w:pPr>
    <w:rPr>
      <w:rFonts w:ascii="仿宋_GB2312" w:hAnsi="Arial" w:cs="Times New Roman"/>
      <w:bCs/>
      <w:szCs w:val="28"/>
    </w:rPr>
  </w:style>
  <w:style w:type="paragraph" w:styleId="6">
    <w:name w:val="heading 5"/>
    <w:basedOn w:val="1"/>
    <w:next w:val="1"/>
    <w:link w:val="47"/>
    <w:qFormat/>
    <w:uiPriority w:val="0"/>
    <w:pPr>
      <w:keepNext/>
      <w:keepLines/>
      <w:spacing w:before="280" w:after="290" w:line="376" w:lineRule="auto"/>
      <w:outlineLvl w:val="4"/>
    </w:pPr>
    <w:rPr>
      <w:rFonts w:ascii="仿宋_GB2312" w:hAnsi="Times New Roman" w:cs="Times New Roman"/>
      <w:b/>
      <w:bCs/>
      <w:sz w:val="28"/>
      <w:szCs w:val="28"/>
    </w:rPr>
  </w:style>
  <w:style w:type="paragraph" w:styleId="7">
    <w:name w:val="heading 6"/>
    <w:basedOn w:val="1"/>
    <w:next w:val="1"/>
    <w:link w:val="48"/>
    <w:qFormat/>
    <w:uiPriority w:val="0"/>
    <w:pPr>
      <w:keepNext/>
      <w:keepLines/>
      <w:spacing w:before="240" w:after="64" w:line="320" w:lineRule="auto"/>
      <w:outlineLvl w:val="5"/>
    </w:pPr>
    <w:rPr>
      <w:rFonts w:ascii="Cambria" w:hAnsi="Cambria" w:eastAsia="宋体" w:cs="Times New Roman"/>
      <w:b/>
      <w:bCs/>
      <w:sz w:val="24"/>
      <w:szCs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spacing w:line="240" w:lineRule="auto"/>
      <w:ind w:firstLine="420"/>
    </w:pPr>
    <w:rPr>
      <w:rFonts w:ascii="Times New Roman" w:hAnsi="Times New Roman" w:eastAsia="宋体" w:cs="Times New Roman"/>
      <w:sz w:val="21"/>
      <w:szCs w:val="20"/>
    </w:rPr>
  </w:style>
  <w:style w:type="paragraph" w:styleId="9">
    <w:name w:val="caption"/>
    <w:basedOn w:val="1"/>
    <w:next w:val="1"/>
    <w:qFormat/>
    <w:uiPriority w:val="35"/>
    <w:pPr>
      <w:jc w:val="center"/>
    </w:pPr>
    <w:rPr>
      <w:rFonts w:ascii="Calibri" w:hAnsi="Calibri" w:eastAsia="宋体" w:cs="Times New Roman"/>
      <w:b/>
      <w:sz w:val="21"/>
      <w:szCs w:val="21"/>
    </w:rPr>
  </w:style>
  <w:style w:type="paragraph" w:styleId="10">
    <w:name w:val="Document Map"/>
    <w:basedOn w:val="1"/>
    <w:link w:val="49"/>
    <w:qFormat/>
    <w:uiPriority w:val="99"/>
    <w:pPr>
      <w:spacing w:line="240" w:lineRule="auto"/>
    </w:pPr>
    <w:rPr>
      <w:rFonts w:ascii="宋体" w:eastAsiaTheme="minorEastAsia"/>
      <w:sz w:val="18"/>
      <w:szCs w:val="18"/>
    </w:rPr>
  </w:style>
  <w:style w:type="paragraph" w:styleId="11">
    <w:name w:val="annotation text"/>
    <w:basedOn w:val="1"/>
    <w:link w:val="50"/>
    <w:unhideWhenUsed/>
    <w:qFormat/>
    <w:uiPriority w:val="0"/>
    <w:pPr>
      <w:jc w:val="left"/>
    </w:pPr>
  </w:style>
  <w:style w:type="paragraph" w:styleId="12">
    <w:name w:val="Body Text"/>
    <w:basedOn w:val="1"/>
    <w:link w:val="51"/>
    <w:qFormat/>
    <w:uiPriority w:val="0"/>
    <w:pPr>
      <w:spacing w:after="120" w:line="240" w:lineRule="auto"/>
    </w:pPr>
    <w:rPr>
      <w:rFonts w:ascii="仿宋_GB2312" w:hAnsi="Times New Roman" w:eastAsia="宋体" w:cs="Times New Roman"/>
      <w:sz w:val="24"/>
      <w:szCs w:val="28"/>
    </w:rPr>
  </w:style>
  <w:style w:type="paragraph" w:styleId="13">
    <w:name w:val="Body Text Indent"/>
    <w:basedOn w:val="1"/>
    <w:link w:val="52"/>
    <w:qFormat/>
    <w:uiPriority w:val="0"/>
    <w:pPr>
      <w:spacing w:line="240" w:lineRule="auto"/>
      <w:ind w:firstLine="554"/>
    </w:pPr>
    <w:rPr>
      <w:rFonts w:ascii="仿宋_GB2312"/>
      <w:sz w:val="28"/>
      <w:szCs w:val="28"/>
    </w:rPr>
  </w:style>
  <w:style w:type="paragraph" w:styleId="14">
    <w:name w:val="toc 5"/>
    <w:basedOn w:val="1"/>
    <w:next w:val="1"/>
    <w:qFormat/>
    <w:uiPriority w:val="0"/>
    <w:pPr>
      <w:spacing w:line="240" w:lineRule="auto"/>
      <w:ind w:left="840"/>
      <w:jc w:val="left"/>
    </w:pPr>
    <w:rPr>
      <w:rFonts w:ascii="Times New Roman" w:hAnsi="Times New Roman" w:eastAsia="宋体" w:cs="Times New Roman"/>
      <w:sz w:val="18"/>
      <w:szCs w:val="18"/>
    </w:rPr>
  </w:style>
  <w:style w:type="paragraph" w:styleId="15">
    <w:name w:val="toc 3"/>
    <w:basedOn w:val="1"/>
    <w:next w:val="1"/>
    <w:unhideWhenUsed/>
    <w:qFormat/>
    <w:uiPriority w:val="39"/>
    <w:pPr>
      <w:ind w:left="840" w:leftChars="400"/>
    </w:pPr>
  </w:style>
  <w:style w:type="paragraph" w:styleId="16">
    <w:name w:val="Plain Text"/>
    <w:basedOn w:val="1"/>
    <w:link w:val="53"/>
    <w:qFormat/>
    <w:uiPriority w:val="0"/>
    <w:pPr>
      <w:spacing w:line="240" w:lineRule="auto"/>
    </w:pPr>
    <w:rPr>
      <w:rFonts w:ascii="宋体" w:hAnsi="Courier New" w:cs="Times New Roman"/>
      <w:sz w:val="24"/>
      <w:szCs w:val="20"/>
    </w:rPr>
  </w:style>
  <w:style w:type="paragraph" w:styleId="17">
    <w:name w:val="Date"/>
    <w:basedOn w:val="1"/>
    <w:next w:val="1"/>
    <w:link w:val="54"/>
    <w:qFormat/>
    <w:uiPriority w:val="0"/>
    <w:pPr>
      <w:spacing w:line="240" w:lineRule="auto"/>
    </w:pPr>
    <w:rPr>
      <w:rFonts w:ascii="宋体" w:hAnsi="Times New Roman" w:eastAsia="宋体" w:cs="Times New Roman"/>
      <w:sz w:val="24"/>
      <w:szCs w:val="20"/>
    </w:rPr>
  </w:style>
  <w:style w:type="paragraph" w:styleId="18">
    <w:name w:val="Body Text Indent 2"/>
    <w:basedOn w:val="1"/>
    <w:link w:val="55"/>
    <w:qFormat/>
    <w:uiPriority w:val="0"/>
    <w:pPr>
      <w:spacing w:line="240" w:lineRule="auto"/>
      <w:ind w:right="23" w:rightChars="11" w:firstLine="560"/>
    </w:pPr>
    <w:rPr>
      <w:rFonts w:ascii="Times New Roman" w:hAnsi="Times New Roman" w:cs="Times New Roman"/>
      <w:sz w:val="24"/>
      <w:szCs w:val="28"/>
    </w:rPr>
  </w:style>
  <w:style w:type="paragraph" w:styleId="19">
    <w:name w:val="Balloon Text"/>
    <w:basedOn w:val="1"/>
    <w:link w:val="56"/>
    <w:unhideWhenUsed/>
    <w:qFormat/>
    <w:uiPriority w:val="0"/>
    <w:pPr>
      <w:spacing w:line="240" w:lineRule="auto"/>
    </w:pPr>
    <w:rPr>
      <w:sz w:val="18"/>
      <w:szCs w:val="18"/>
    </w:rPr>
  </w:style>
  <w:style w:type="paragraph" w:styleId="20">
    <w:name w:val="footer"/>
    <w:basedOn w:val="1"/>
    <w:link w:val="43"/>
    <w:unhideWhenUsed/>
    <w:qFormat/>
    <w:uiPriority w:val="99"/>
    <w:pPr>
      <w:tabs>
        <w:tab w:val="center" w:pos="4153"/>
        <w:tab w:val="right" w:pos="8306"/>
      </w:tabs>
      <w:spacing w:line="240" w:lineRule="auto"/>
      <w:jc w:val="left"/>
    </w:pPr>
    <w:rPr>
      <w:rFonts w:eastAsiaTheme="minorEastAsia"/>
      <w:sz w:val="18"/>
      <w:szCs w:val="18"/>
    </w:rPr>
  </w:style>
  <w:style w:type="paragraph" w:styleId="21">
    <w:name w:val="header"/>
    <w:basedOn w:val="1"/>
    <w:link w:val="42"/>
    <w:unhideWhenUsed/>
    <w:qFormat/>
    <w:uiPriority w:val="0"/>
    <w:pPr>
      <w:pBdr>
        <w:bottom w:val="single" w:color="auto" w:sz="6" w:space="1"/>
      </w:pBdr>
      <w:tabs>
        <w:tab w:val="center" w:pos="4153"/>
        <w:tab w:val="right" w:pos="8306"/>
      </w:tabs>
      <w:spacing w:line="240" w:lineRule="auto"/>
      <w:jc w:val="center"/>
    </w:pPr>
    <w:rPr>
      <w:rFonts w:eastAsiaTheme="minorEastAsia"/>
      <w:sz w:val="18"/>
      <w:szCs w:val="18"/>
    </w:rPr>
  </w:style>
  <w:style w:type="paragraph" w:styleId="22">
    <w:name w:val="toc 1"/>
    <w:basedOn w:val="1"/>
    <w:next w:val="1"/>
    <w:qFormat/>
    <w:uiPriority w:val="39"/>
    <w:pPr>
      <w:tabs>
        <w:tab w:val="right" w:leader="dot" w:pos="8302"/>
      </w:tabs>
      <w:spacing w:line="240" w:lineRule="auto"/>
    </w:pPr>
    <w:rPr>
      <w:rFonts w:ascii="黑体" w:hAnsi="Times New Roman" w:eastAsia="黑体" w:cs="Times New Roman"/>
      <w:sz w:val="24"/>
      <w:szCs w:val="28"/>
    </w:rPr>
  </w:style>
  <w:style w:type="paragraph" w:styleId="23">
    <w:name w:val="Subtitle"/>
    <w:basedOn w:val="1"/>
    <w:next w:val="1"/>
    <w:link w:val="57"/>
    <w:qFormat/>
    <w:uiPriority w:val="0"/>
    <w:pPr>
      <w:spacing w:before="240" w:after="60" w:line="312" w:lineRule="auto"/>
      <w:jc w:val="center"/>
      <w:outlineLvl w:val="1"/>
    </w:pPr>
    <w:rPr>
      <w:rFonts w:ascii="Cambria" w:hAnsi="Cambria" w:cs="Times New Roman" w:eastAsiaTheme="minorEastAsia"/>
      <w:b/>
      <w:bCs/>
      <w:kern w:val="28"/>
      <w:szCs w:val="32"/>
    </w:rPr>
  </w:style>
  <w:style w:type="paragraph" w:styleId="24">
    <w:name w:val="footnote text"/>
    <w:basedOn w:val="1"/>
    <w:link w:val="58"/>
    <w:unhideWhenUsed/>
    <w:qFormat/>
    <w:uiPriority w:val="99"/>
    <w:pPr>
      <w:jc w:val="left"/>
    </w:pPr>
    <w:rPr>
      <w:sz w:val="18"/>
      <w:szCs w:val="18"/>
    </w:rPr>
  </w:style>
  <w:style w:type="paragraph" w:styleId="25">
    <w:name w:val="Body Text Indent 3"/>
    <w:basedOn w:val="1"/>
    <w:link w:val="59"/>
    <w:qFormat/>
    <w:uiPriority w:val="0"/>
    <w:pPr>
      <w:spacing w:after="120" w:line="240" w:lineRule="auto"/>
      <w:ind w:left="420" w:leftChars="200"/>
    </w:pPr>
    <w:rPr>
      <w:rFonts w:ascii="仿宋_GB2312" w:hAnsi="仿宋_GB2312"/>
      <w:sz w:val="16"/>
      <w:szCs w:val="16"/>
    </w:rPr>
  </w:style>
  <w:style w:type="paragraph" w:styleId="26">
    <w:name w:val="toc 2"/>
    <w:basedOn w:val="1"/>
    <w:next w:val="1"/>
    <w:qFormat/>
    <w:uiPriority w:val="39"/>
    <w:pPr>
      <w:spacing w:line="240" w:lineRule="auto"/>
      <w:ind w:left="420" w:leftChars="200"/>
    </w:pPr>
    <w:rPr>
      <w:rFonts w:ascii="仿宋_GB2312" w:hAnsi="仿宋_GB2312" w:cs="Times New Roman"/>
      <w:sz w:val="24"/>
      <w:szCs w:val="28"/>
    </w:rPr>
  </w:style>
  <w:style w:type="paragraph" w:styleId="27">
    <w:name w:val="List Continue 2"/>
    <w:basedOn w:val="1"/>
    <w:qFormat/>
    <w:uiPriority w:val="0"/>
    <w:pPr>
      <w:widowControl/>
      <w:spacing w:after="120" w:line="240" w:lineRule="auto"/>
      <w:ind w:left="840" w:leftChars="400"/>
      <w:jc w:val="left"/>
    </w:pPr>
    <w:rPr>
      <w:rFonts w:ascii="Calibri" w:hAnsi="Calibri" w:eastAsia="宋体" w:cs="Times New Roman"/>
      <w:kern w:val="0"/>
      <w:sz w:val="24"/>
      <w:szCs w:val="24"/>
      <w:lang w:eastAsia="en-US" w:bidi="en-US"/>
    </w:rPr>
  </w:style>
  <w:style w:type="paragraph" w:styleId="28">
    <w:name w:val="HTML Preformatted"/>
    <w:basedOn w:val="1"/>
    <w:link w:val="6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eastAsiaTheme="minorEastAsia"/>
      <w:sz w:val="24"/>
      <w:szCs w:val="24"/>
    </w:rPr>
  </w:style>
  <w:style w:type="paragraph" w:styleId="29">
    <w:name w:val="Normal (Web)"/>
    <w:basedOn w:val="1"/>
    <w:qFormat/>
    <w:uiPriority w:val="99"/>
    <w:pPr>
      <w:widowControl/>
      <w:spacing w:before="100" w:beforeAutospacing="1" w:after="100" w:afterAutospacing="1" w:line="240" w:lineRule="auto"/>
      <w:jc w:val="left"/>
    </w:pPr>
    <w:rPr>
      <w:rFonts w:ascii="宋体" w:hAnsi="宋体" w:eastAsia="宋体" w:cs="Times New Roman"/>
      <w:kern w:val="0"/>
      <w:sz w:val="24"/>
      <w:szCs w:val="24"/>
    </w:rPr>
  </w:style>
  <w:style w:type="paragraph" w:styleId="30">
    <w:name w:val="Title"/>
    <w:basedOn w:val="1"/>
    <w:next w:val="1"/>
    <w:link w:val="61"/>
    <w:qFormat/>
    <w:uiPriority w:val="10"/>
    <w:pPr>
      <w:spacing w:before="240" w:after="60"/>
      <w:jc w:val="center"/>
      <w:outlineLvl w:val="0"/>
    </w:pPr>
    <w:rPr>
      <w:rFonts w:asciiTheme="majorHAnsi" w:hAnsiTheme="majorHAnsi" w:eastAsiaTheme="majorEastAsia" w:cstheme="majorBidi"/>
      <w:b/>
      <w:bCs/>
      <w:szCs w:val="32"/>
    </w:rPr>
  </w:style>
  <w:style w:type="paragraph" w:styleId="31">
    <w:name w:val="annotation subject"/>
    <w:basedOn w:val="11"/>
    <w:next w:val="11"/>
    <w:link w:val="62"/>
    <w:semiHidden/>
    <w:unhideWhenUsed/>
    <w:qFormat/>
    <w:uiPriority w:val="99"/>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page number"/>
    <w:basedOn w:val="34"/>
    <w:qFormat/>
    <w:uiPriority w:val="0"/>
  </w:style>
  <w:style w:type="character" w:styleId="37">
    <w:name w:val="FollowedHyperlink"/>
    <w:qFormat/>
    <w:uiPriority w:val="99"/>
    <w:rPr>
      <w:color w:val="800080"/>
      <w:u w:val="single"/>
    </w:rPr>
  </w:style>
  <w:style w:type="character" w:styleId="38">
    <w:name w:val="Hyperlink"/>
    <w:qFormat/>
    <w:uiPriority w:val="99"/>
    <w:rPr>
      <w:color w:val="0000FF"/>
      <w:u w:val="single"/>
    </w:rPr>
  </w:style>
  <w:style w:type="character" w:styleId="39">
    <w:name w:val="annotation reference"/>
    <w:basedOn w:val="34"/>
    <w:semiHidden/>
    <w:unhideWhenUsed/>
    <w:qFormat/>
    <w:uiPriority w:val="0"/>
    <w:rPr>
      <w:sz w:val="21"/>
      <w:szCs w:val="21"/>
    </w:rPr>
  </w:style>
  <w:style w:type="character" w:styleId="40">
    <w:name w:val="footnote reference"/>
    <w:basedOn w:val="34"/>
    <w:unhideWhenUsed/>
    <w:qFormat/>
    <w:uiPriority w:val="99"/>
    <w:rPr>
      <w:vertAlign w:val="superscript"/>
    </w:rPr>
  </w:style>
  <w:style w:type="character" w:customStyle="1" w:styleId="41">
    <w:name w:val="标题 1 字符"/>
    <w:basedOn w:val="34"/>
    <w:link w:val="2"/>
    <w:qFormat/>
    <w:uiPriority w:val="0"/>
    <w:rPr>
      <w:rFonts w:eastAsia="黑体"/>
      <w:bCs/>
      <w:kern w:val="44"/>
      <w:sz w:val="32"/>
      <w:szCs w:val="44"/>
    </w:rPr>
  </w:style>
  <w:style w:type="character" w:customStyle="1" w:styleId="42">
    <w:name w:val="页眉 字符"/>
    <w:basedOn w:val="34"/>
    <w:link w:val="21"/>
    <w:qFormat/>
    <w:uiPriority w:val="0"/>
    <w:rPr>
      <w:sz w:val="18"/>
      <w:szCs w:val="18"/>
    </w:rPr>
  </w:style>
  <w:style w:type="character" w:customStyle="1" w:styleId="43">
    <w:name w:val="页脚 字符"/>
    <w:basedOn w:val="34"/>
    <w:link w:val="20"/>
    <w:qFormat/>
    <w:uiPriority w:val="99"/>
    <w:rPr>
      <w:sz w:val="18"/>
      <w:szCs w:val="18"/>
    </w:rPr>
  </w:style>
  <w:style w:type="character" w:customStyle="1" w:styleId="44">
    <w:name w:val="标题 2 字符"/>
    <w:basedOn w:val="34"/>
    <w:link w:val="3"/>
    <w:qFormat/>
    <w:uiPriority w:val="0"/>
    <w:rPr>
      <w:rFonts w:ascii="楷体_GB2312" w:hAnsi="楷体_GB2312" w:eastAsia="楷体_GB2312" w:cs="楷体_GB2312"/>
      <w:b/>
      <w:bCs/>
      <w:color w:val="000000" w:themeColor="text1"/>
      <w:kern w:val="2"/>
      <w:sz w:val="32"/>
      <w:szCs w:val="32"/>
      <w14:textFill>
        <w14:solidFill>
          <w14:schemeClr w14:val="tx1"/>
        </w14:solidFill>
      </w14:textFill>
    </w:rPr>
  </w:style>
  <w:style w:type="character" w:customStyle="1" w:styleId="45">
    <w:name w:val="标题 3 字符"/>
    <w:basedOn w:val="34"/>
    <w:link w:val="4"/>
    <w:uiPriority w:val="0"/>
    <w:rPr>
      <w:rFonts w:ascii="仿宋_GB2312" w:eastAsia="仿宋_GB2312"/>
      <w:b/>
      <w:bCs/>
      <w:sz w:val="32"/>
      <w:szCs w:val="32"/>
    </w:rPr>
  </w:style>
  <w:style w:type="character" w:customStyle="1" w:styleId="46">
    <w:name w:val="标题 4 字符"/>
    <w:basedOn w:val="34"/>
    <w:link w:val="5"/>
    <w:qFormat/>
    <w:uiPriority w:val="0"/>
    <w:rPr>
      <w:rFonts w:ascii="仿宋_GB2312" w:hAnsi="Arial" w:eastAsia="仿宋_GB2312" w:cs="Times New Roman"/>
      <w:bCs/>
      <w:sz w:val="32"/>
      <w:szCs w:val="28"/>
    </w:rPr>
  </w:style>
  <w:style w:type="character" w:customStyle="1" w:styleId="47">
    <w:name w:val="标题 5 字符"/>
    <w:basedOn w:val="34"/>
    <w:link w:val="6"/>
    <w:qFormat/>
    <w:uiPriority w:val="0"/>
    <w:rPr>
      <w:rFonts w:ascii="仿宋_GB2312" w:hAnsi="Times New Roman" w:eastAsia="仿宋_GB2312" w:cs="Times New Roman"/>
      <w:b/>
      <w:bCs/>
      <w:sz w:val="28"/>
      <w:szCs w:val="28"/>
    </w:rPr>
  </w:style>
  <w:style w:type="character" w:customStyle="1" w:styleId="48">
    <w:name w:val="标题 6 字符"/>
    <w:basedOn w:val="34"/>
    <w:link w:val="7"/>
    <w:qFormat/>
    <w:uiPriority w:val="0"/>
    <w:rPr>
      <w:rFonts w:ascii="Cambria" w:hAnsi="Cambria" w:eastAsia="宋体" w:cs="Times New Roman"/>
      <w:b/>
      <w:bCs/>
      <w:sz w:val="24"/>
      <w:szCs w:val="24"/>
    </w:rPr>
  </w:style>
  <w:style w:type="character" w:customStyle="1" w:styleId="49">
    <w:name w:val="文档结构图 字符"/>
    <w:basedOn w:val="34"/>
    <w:link w:val="10"/>
    <w:qFormat/>
    <w:uiPriority w:val="99"/>
    <w:rPr>
      <w:rFonts w:ascii="宋体"/>
      <w:sz w:val="18"/>
      <w:szCs w:val="18"/>
    </w:rPr>
  </w:style>
  <w:style w:type="character" w:customStyle="1" w:styleId="50">
    <w:name w:val="批注文字 字符"/>
    <w:basedOn w:val="34"/>
    <w:link w:val="11"/>
    <w:qFormat/>
    <w:uiPriority w:val="0"/>
    <w:rPr>
      <w:rFonts w:eastAsia="仿宋_GB2312"/>
      <w:sz w:val="32"/>
    </w:rPr>
  </w:style>
  <w:style w:type="character" w:customStyle="1" w:styleId="51">
    <w:name w:val="正文文本 字符"/>
    <w:basedOn w:val="34"/>
    <w:link w:val="12"/>
    <w:qFormat/>
    <w:uiPriority w:val="0"/>
    <w:rPr>
      <w:rFonts w:ascii="仿宋_GB2312" w:hAnsi="Times New Roman" w:eastAsia="宋体" w:cs="Times New Roman"/>
      <w:sz w:val="24"/>
      <w:szCs w:val="28"/>
    </w:rPr>
  </w:style>
  <w:style w:type="character" w:customStyle="1" w:styleId="52">
    <w:name w:val="正文文本缩进 字符"/>
    <w:basedOn w:val="34"/>
    <w:link w:val="13"/>
    <w:qFormat/>
    <w:uiPriority w:val="0"/>
    <w:rPr>
      <w:rFonts w:ascii="仿宋_GB2312" w:eastAsia="仿宋_GB2312"/>
      <w:sz w:val="28"/>
      <w:szCs w:val="28"/>
    </w:rPr>
  </w:style>
  <w:style w:type="character" w:customStyle="1" w:styleId="53">
    <w:name w:val="纯文本 字符"/>
    <w:basedOn w:val="34"/>
    <w:link w:val="16"/>
    <w:qFormat/>
    <w:uiPriority w:val="0"/>
    <w:rPr>
      <w:rFonts w:ascii="宋体" w:hAnsi="Courier New" w:eastAsia="仿宋_GB2312" w:cs="Times New Roman"/>
      <w:sz w:val="24"/>
      <w:szCs w:val="20"/>
    </w:rPr>
  </w:style>
  <w:style w:type="character" w:customStyle="1" w:styleId="54">
    <w:name w:val="日期 字符"/>
    <w:basedOn w:val="34"/>
    <w:link w:val="17"/>
    <w:qFormat/>
    <w:uiPriority w:val="0"/>
    <w:rPr>
      <w:rFonts w:ascii="宋体" w:hAnsi="Times New Roman" w:eastAsia="宋体" w:cs="Times New Roman"/>
      <w:sz w:val="24"/>
      <w:szCs w:val="20"/>
    </w:rPr>
  </w:style>
  <w:style w:type="character" w:customStyle="1" w:styleId="55">
    <w:name w:val="正文文本缩进 2 字符"/>
    <w:basedOn w:val="34"/>
    <w:link w:val="18"/>
    <w:qFormat/>
    <w:uiPriority w:val="0"/>
    <w:rPr>
      <w:rFonts w:ascii="Times New Roman" w:hAnsi="Times New Roman" w:eastAsia="仿宋_GB2312" w:cs="Times New Roman"/>
      <w:sz w:val="24"/>
      <w:szCs w:val="28"/>
    </w:rPr>
  </w:style>
  <w:style w:type="character" w:customStyle="1" w:styleId="56">
    <w:name w:val="批注框文本 字符"/>
    <w:basedOn w:val="34"/>
    <w:link w:val="19"/>
    <w:qFormat/>
    <w:uiPriority w:val="0"/>
    <w:rPr>
      <w:rFonts w:eastAsia="仿宋_GB2312"/>
      <w:sz w:val="18"/>
      <w:szCs w:val="18"/>
    </w:rPr>
  </w:style>
  <w:style w:type="character" w:customStyle="1" w:styleId="57">
    <w:name w:val="副标题 字符"/>
    <w:basedOn w:val="34"/>
    <w:link w:val="23"/>
    <w:qFormat/>
    <w:uiPriority w:val="0"/>
    <w:rPr>
      <w:rFonts w:ascii="Cambria" w:hAnsi="Cambria" w:cs="Times New Roman"/>
      <w:b/>
      <w:bCs/>
      <w:kern w:val="28"/>
      <w:sz w:val="32"/>
      <w:szCs w:val="32"/>
    </w:rPr>
  </w:style>
  <w:style w:type="character" w:customStyle="1" w:styleId="58">
    <w:name w:val="脚注文本 字符"/>
    <w:basedOn w:val="34"/>
    <w:link w:val="24"/>
    <w:qFormat/>
    <w:uiPriority w:val="99"/>
    <w:rPr>
      <w:rFonts w:eastAsia="仿宋_GB2312"/>
      <w:sz w:val="18"/>
      <w:szCs w:val="18"/>
    </w:rPr>
  </w:style>
  <w:style w:type="character" w:customStyle="1" w:styleId="59">
    <w:name w:val="正文文本缩进 3 字符"/>
    <w:basedOn w:val="34"/>
    <w:link w:val="25"/>
    <w:qFormat/>
    <w:uiPriority w:val="0"/>
    <w:rPr>
      <w:rFonts w:ascii="仿宋_GB2312" w:hAnsi="仿宋_GB2312" w:eastAsia="仿宋_GB2312"/>
      <w:sz w:val="16"/>
      <w:szCs w:val="16"/>
    </w:rPr>
  </w:style>
  <w:style w:type="character" w:customStyle="1" w:styleId="60">
    <w:name w:val="HTML 预设格式 字符"/>
    <w:basedOn w:val="34"/>
    <w:link w:val="28"/>
    <w:qFormat/>
    <w:uiPriority w:val="99"/>
    <w:rPr>
      <w:rFonts w:ascii="宋体" w:hAnsi="宋体" w:cs="宋体"/>
      <w:sz w:val="24"/>
      <w:szCs w:val="24"/>
    </w:rPr>
  </w:style>
  <w:style w:type="character" w:customStyle="1" w:styleId="61">
    <w:name w:val="标题 字符"/>
    <w:basedOn w:val="34"/>
    <w:link w:val="30"/>
    <w:qFormat/>
    <w:uiPriority w:val="10"/>
    <w:rPr>
      <w:rFonts w:asciiTheme="majorHAnsi" w:hAnsiTheme="majorHAnsi" w:eastAsiaTheme="majorEastAsia" w:cstheme="majorBidi"/>
      <w:b/>
      <w:bCs/>
      <w:sz w:val="32"/>
      <w:szCs w:val="32"/>
    </w:rPr>
  </w:style>
  <w:style w:type="character" w:customStyle="1" w:styleId="62">
    <w:name w:val="批注主题 字符"/>
    <w:basedOn w:val="50"/>
    <w:link w:val="31"/>
    <w:semiHidden/>
    <w:qFormat/>
    <w:uiPriority w:val="99"/>
    <w:rPr>
      <w:rFonts w:eastAsia="仿宋_GB2312"/>
      <w:b/>
      <w:bCs/>
      <w:sz w:val="32"/>
    </w:rPr>
  </w:style>
  <w:style w:type="paragraph" w:customStyle="1" w:styleId="63">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styleId="64">
    <w:name w:val="Placeholder Text"/>
    <w:basedOn w:val="34"/>
    <w:semiHidden/>
    <w:qFormat/>
    <w:uiPriority w:val="99"/>
    <w:rPr>
      <w:color w:val="808080"/>
    </w:rPr>
  </w:style>
  <w:style w:type="paragraph" w:customStyle="1" w:styleId="65">
    <w:name w:val="修订1"/>
    <w:hidden/>
    <w:semiHidden/>
    <w:qFormat/>
    <w:uiPriority w:val="99"/>
    <w:rPr>
      <w:rFonts w:eastAsia="仿宋_GB2312" w:asciiTheme="minorHAnsi" w:hAnsiTheme="minorHAnsi" w:cstheme="minorBidi"/>
      <w:kern w:val="2"/>
      <w:sz w:val="32"/>
      <w:szCs w:val="22"/>
      <w:lang w:val="en-US" w:eastAsia="zh-CN" w:bidi="ar-SA"/>
    </w:rPr>
  </w:style>
  <w:style w:type="character" w:customStyle="1" w:styleId="66">
    <w:name w:val="Char Char16"/>
    <w:qFormat/>
    <w:uiPriority w:val="0"/>
    <w:rPr>
      <w:kern w:val="2"/>
      <w:sz w:val="18"/>
      <w:szCs w:val="18"/>
    </w:rPr>
  </w:style>
  <w:style w:type="character" w:customStyle="1" w:styleId="67">
    <w:name w:val="text_edit editable-title"/>
    <w:basedOn w:val="34"/>
    <w:qFormat/>
    <w:uiPriority w:val="0"/>
  </w:style>
  <w:style w:type="character" w:customStyle="1" w:styleId="68">
    <w:name w:val="Char Char15"/>
    <w:qFormat/>
    <w:uiPriority w:val="0"/>
    <w:rPr>
      <w:kern w:val="2"/>
      <w:sz w:val="18"/>
      <w:szCs w:val="18"/>
    </w:rPr>
  </w:style>
  <w:style w:type="character" w:customStyle="1" w:styleId="69">
    <w:name w:val="style71"/>
    <w:qFormat/>
    <w:uiPriority w:val="0"/>
    <w:rPr>
      <w:color w:val="385F1D"/>
    </w:rPr>
  </w:style>
  <w:style w:type="character" w:customStyle="1" w:styleId="70">
    <w:name w:val="正文(仿)首缩 Char"/>
    <w:link w:val="71"/>
    <w:qFormat/>
    <w:uiPriority w:val="0"/>
    <w:rPr>
      <w:rFonts w:ascii="仿宋_GB2312" w:eastAsia="仿宋_GB2312"/>
      <w:sz w:val="28"/>
      <w:szCs w:val="28"/>
    </w:rPr>
  </w:style>
  <w:style w:type="paragraph" w:customStyle="1" w:styleId="71">
    <w:name w:val="正文(仿)首缩"/>
    <w:basedOn w:val="1"/>
    <w:link w:val="70"/>
    <w:qFormat/>
    <w:uiPriority w:val="0"/>
    <w:pPr>
      <w:spacing w:line="240" w:lineRule="auto"/>
    </w:pPr>
    <w:rPr>
      <w:rFonts w:ascii="仿宋_GB2312"/>
      <w:sz w:val="28"/>
      <w:szCs w:val="28"/>
    </w:rPr>
  </w:style>
  <w:style w:type="character" w:customStyle="1" w:styleId="72">
    <w:name w:val="20p1"/>
    <w:qFormat/>
    <w:uiPriority w:val="0"/>
    <w:rPr>
      <w:spacing w:val="48"/>
    </w:rPr>
  </w:style>
  <w:style w:type="character" w:customStyle="1" w:styleId="73">
    <w:name w:val="表头 Char"/>
    <w:link w:val="74"/>
    <w:qFormat/>
    <w:uiPriority w:val="0"/>
    <w:rPr>
      <w:rFonts w:ascii="仿宋_GB2312" w:eastAsia="黑体"/>
      <w:sz w:val="28"/>
    </w:rPr>
  </w:style>
  <w:style w:type="paragraph" w:customStyle="1" w:styleId="74">
    <w:name w:val="表头"/>
    <w:basedOn w:val="1"/>
    <w:next w:val="1"/>
    <w:link w:val="73"/>
    <w:qFormat/>
    <w:uiPriority w:val="0"/>
    <w:pPr>
      <w:spacing w:line="240" w:lineRule="auto"/>
      <w:jc w:val="center"/>
    </w:pPr>
    <w:rPr>
      <w:rFonts w:ascii="仿宋_GB2312" w:eastAsia="黑体"/>
      <w:sz w:val="28"/>
    </w:rPr>
  </w:style>
  <w:style w:type="character" w:customStyle="1" w:styleId="75">
    <w:name w:val="javascript"/>
    <w:basedOn w:val="34"/>
    <w:qFormat/>
    <w:uiPriority w:val="0"/>
  </w:style>
  <w:style w:type="character" w:customStyle="1" w:styleId="76">
    <w:name w:val="style41"/>
    <w:qFormat/>
    <w:uiPriority w:val="0"/>
    <w:rPr>
      <w:color w:val="8A3C0D"/>
    </w:rPr>
  </w:style>
  <w:style w:type="character" w:customStyle="1" w:styleId="77">
    <w:name w:val="表编号 Char"/>
    <w:link w:val="78"/>
    <w:qFormat/>
    <w:uiPriority w:val="0"/>
    <w:rPr>
      <w:rFonts w:ascii="仿宋_GB2312" w:hAnsi="Book Antiqua" w:eastAsia="仿宋_GB2312" w:cs="Book Antiqua"/>
      <w:sz w:val="28"/>
      <w:szCs w:val="28"/>
    </w:rPr>
  </w:style>
  <w:style w:type="paragraph" w:customStyle="1" w:styleId="78">
    <w:name w:val="表编号"/>
    <w:basedOn w:val="1"/>
    <w:link w:val="77"/>
    <w:qFormat/>
    <w:uiPriority w:val="0"/>
    <w:pPr>
      <w:spacing w:line="240" w:lineRule="auto"/>
      <w:jc w:val="left"/>
    </w:pPr>
    <w:rPr>
      <w:rFonts w:ascii="仿宋_GB2312" w:hAnsi="Book Antiqua" w:cs="Book Antiqua"/>
      <w:sz w:val="28"/>
      <w:szCs w:val="28"/>
    </w:rPr>
  </w:style>
  <w:style w:type="character" w:customStyle="1" w:styleId="79">
    <w:name w:val="headline-content2"/>
    <w:basedOn w:val="34"/>
    <w:qFormat/>
    <w:uiPriority w:val="0"/>
  </w:style>
  <w:style w:type="character" w:customStyle="1" w:styleId="80">
    <w:name w:val="表格号 Char"/>
    <w:link w:val="81"/>
    <w:qFormat/>
    <w:uiPriority w:val="0"/>
    <w:rPr>
      <w:rFonts w:ascii="仿宋_GB2312" w:eastAsia="仿宋_GB2312" w:cs="宋体"/>
    </w:rPr>
  </w:style>
  <w:style w:type="paragraph" w:customStyle="1" w:styleId="81">
    <w:name w:val="表格号"/>
    <w:basedOn w:val="1"/>
    <w:link w:val="80"/>
    <w:qFormat/>
    <w:uiPriority w:val="0"/>
    <w:pPr>
      <w:spacing w:line="0" w:lineRule="atLeast"/>
    </w:pPr>
    <w:rPr>
      <w:rFonts w:ascii="仿宋_GB2312" w:cs="宋体"/>
      <w:sz w:val="21"/>
    </w:rPr>
  </w:style>
  <w:style w:type="character" w:customStyle="1" w:styleId="82">
    <w:name w:val="style4"/>
    <w:basedOn w:val="34"/>
    <w:qFormat/>
    <w:uiPriority w:val="0"/>
  </w:style>
  <w:style w:type="character" w:customStyle="1" w:styleId="83">
    <w:name w:val="Char Char7"/>
    <w:qFormat/>
    <w:uiPriority w:val="0"/>
    <w:rPr>
      <w:rFonts w:ascii="宋体"/>
      <w:kern w:val="2"/>
      <w:sz w:val="18"/>
      <w:szCs w:val="18"/>
    </w:rPr>
  </w:style>
  <w:style w:type="character" w:customStyle="1" w:styleId="84">
    <w:name w:val="段落格式 Char"/>
    <w:link w:val="85"/>
    <w:qFormat/>
    <w:uiPriority w:val="0"/>
    <w:rPr>
      <w:rFonts w:ascii="仿宋_GB2312" w:eastAsia="仿宋_GB2312" w:cs="宋体"/>
      <w:sz w:val="24"/>
    </w:rPr>
  </w:style>
  <w:style w:type="paragraph" w:customStyle="1" w:styleId="85">
    <w:name w:val="段落格式"/>
    <w:basedOn w:val="1"/>
    <w:link w:val="84"/>
    <w:qFormat/>
    <w:uiPriority w:val="0"/>
    <w:pPr>
      <w:spacing w:line="240" w:lineRule="auto"/>
      <w:ind w:firstLine="546" w:firstLineChars="197"/>
    </w:pPr>
    <w:rPr>
      <w:rFonts w:ascii="仿宋_GB2312" w:cs="宋体"/>
      <w:sz w:val="24"/>
    </w:rPr>
  </w:style>
  <w:style w:type="character" w:customStyle="1" w:styleId="86">
    <w:name w:val="表 Char"/>
    <w:link w:val="87"/>
    <w:qFormat/>
    <w:uiPriority w:val="0"/>
    <w:rPr>
      <w:szCs w:val="21"/>
    </w:rPr>
  </w:style>
  <w:style w:type="paragraph" w:customStyle="1" w:styleId="87">
    <w:name w:val="表"/>
    <w:basedOn w:val="1"/>
    <w:link w:val="86"/>
    <w:qFormat/>
    <w:uiPriority w:val="0"/>
    <w:pPr>
      <w:widowControl/>
      <w:spacing w:line="240" w:lineRule="auto"/>
      <w:jc w:val="center"/>
    </w:pPr>
    <w:rPr>
      <w:rFonts w:eastAsiaTheme="minorEastAsia"/>
      <w:sz w:val="21"/>
      <w:szCs w:val="21"/>
    </w:rPr>
  </w:style>
  <w:style w:type="character" w:customStyle="1" w:styleId="88">
    <w:name w:val="title10"/>
    <w:basedOn w:val="34"/>
    <w:qFormat/>
    <w:uiPriority w:val="0"/>
  </w:style>
  <w:style w:type="character" w:customStyle="1" w:styleId="89">
    <w:name w:val="可研正文 Char"/>
    <w:link w:val="90"/>
    <w:qFormat/>
    <w:uiPriority w:val="0"/>
    <w:rPr>
      <w:rFonts w:ascii="Calibri" w:hAnsi="Calibri" w:cs="宋体"/>
      <w:sz w:val="28"/>
    </w:rPr>
  </w:style>
  <w:style w:type="paragraph" w:customStyle="1" w:styleId="90">
    <w:name w:val="可研正文"/>
    <w:basedOn w:val="1"/>
    <w:link w:val="89"/>
    <w:qFormat/>
    <w:uiPriority w:val="0"/>
    <w:pPr>
      <w:ind w:firstLine="560"/>
    </w:pPr>
    <w:rPr>
      <w:rFonts w:ascii="Calibri" w:hAnsi="Calibri" w:cs="宋体" w:eastAsiaTheme="minorEastAsia"/>
      <w:sz w:val="28"/>
    </w:rPr>
  </w:style>
  <w:style w:type="character" w:customStyle="1" w:styleId="91">
    <w:name w:val="节（3级） Char"/>
    <w:qFormat/>
    <w:uiPriority w:val="0"/>
    <w:rPr>
      <w:rFonts w:ascii="仿宋_GB2312" w:eastAsia="仿宋_GB2312"/>
      <w:bCs/>
      <w:kern w:val="2"/>
      <w:sz w:val="28"/>
      <w:szCs w:val="28"/>
      <w:lang w:val="en-US" w:eastAsia="zh-CN" w:bidi="ar-SA"/>
    </w:rPr>
  </w:style>
  <w:style w:type="character" w:customStyle="1" w:styleId="92">
    <w:name w:val="count4"/>
    <w:basedOn w:val="34"/>
    <w:qFormat/>
    <w:uiPriority w:val="0"/>
  </w:style>
  <w:style w:type="character" w:customStyle="1" w:styleId="93">
    <w:name w:val="表格正文 Char"/>
    <w:link w:val="94"/>
    <w:qFormat/>
    <w:uiPriority w:val="0"/>
    <w:rPr>
      <w:caps/>
      <w:szCs w:val="24"/>
    </w:rPr>
  </w:style>
  <w:style w:type="paragraph" w:customStyle="1" w:styleId="94">
    <w:name w:val="表格正文"/>
    <w:basedOn w:val="1"/>
    <w:link w:val="93"/>
    <w:qFormat/>
    <w:uiPriority w:val="0"/>
    <w:pPr>
      <w:spacing w:line="264" w:lineRule="auto"/>
      <w:jc w:val="center"/>
    </w:pPr>
    <w:rPr>
      <w:rFonts w:eastAsiaTheme="minorEastAsia"/>
      <w:caps/>
      <w:sz w:val="21"/>
      <w:szCs w:val="24"/>
    </w:rPr>
  </w:style>
  <w:style w:type="character" w:customStyle="1" w:styleId="95">
    <w:name w:val="表格 Char"/>
    <w:link w:val="96"/>
    <w:qFormat/>
    <w:uiPriority w:val="0"/>
    <w:rPr>
      <w:rFonts w:ascii="仿宋_GB2312" w:eastAsia="仿宋_GB2312"/>
      <w:sz w:val="28"/>
    </w:rPr>
  </w:style>
  <w:style w:type="paragraph" w:customStyle="1" w:styleId="96">
    <w:name w:val="表格"/>
    <w:basedOn w:val="1"/>
    <w:link w:val="95"/>
    <w:qFormat/>
    <w:uiPriority w:val="0"/>
    <w:pPr>
      <w:spacing w:line="240" w:lineRule="auto"/>
      <w:jc w:val="center"/>
    </w:pPr>
    <w:rPr>
      <w:rFonts w:ascii="仿宋_GB2312"/>
      <w:sz w:val="28"/>
    </w:rPr>
  </w:style>
  <w:style w:type="character" w:customStyle="1" w:styleId="97">
    <w:name w:val="表格 Char Char"/>
    <w:qFormat/>
    <w:uiPriority w:val="0"/>
    <w:rPr>
      <w:rFonts w:ascii="仿宋_GB2312" w:eastAsia="仿宋_GB2312"/>
      <w:kern w:val="2"/>
      <w:sz w:val="28"/>
      <w:lang w:val="en-US" w:eastAsia="zh-CN" w:bidi="ar-SA"/>
    </w:rPr>
  </w:style>
  <w:style w:type="character" w:customStyle="1" w:styleId="98">
    <w:name w:val="font21"/>
    <w:qFormat/>
    <w:uiPriority w:val="0"/>
    <w:rPr>
      <w:rFonts w:hint="default" w:ascii="Times New Roman" w:hAnsi="Times New Roman" w:cs="Times New Roman"/>
      <w:color w:val="000000"/>
      <w:sz w:val="24"/>
      <w:szCs w:val="24"/>
      <w:u w:val="none"/>
    </w:rPr>
  </w:style>
  <w:style w:type="character" w:customStyle="1" w:styleId="99">
    <w:name w:val="font11"/>
    <w:qFormat/>
    <w:uiPriority w:val="0"/>
    <w:rPr>
      <w:rFonts w:hint="eastAsia" w:ascii="宋体" w:hAnsi="宋体" w:eastAsia="宋体" w:cs="宋体"/>
      <w:color w:val="000000"/>
      <w:sz w:val="24"/>
      <w:szCs w:val="24"/>
      <w:u w:val="none"/>
    </w:rPr>
  </w:style>
  <w:style w:type="character" w:customStyle="1" w:styleId="100">
    <w:name w:val="font01"/>
    <w:qFormat/>
    <w:uiPriority w:val="0"/>
    <w:rPr>
      <w:rFonts w:hint="eastAsia" w:ascii="仿宋" w:hAnsi="仿宋" w:eastAsia="仿宋" w:cs="仿宋"/>
      <w:color w:val="000000"/>
      <w:sz w:val="20"/>
      <w:szCs w:val="20"/>
      <w:u w:val="none"/>
      <w:vertAlign w:val="superscript"/>
    </w:rPr>
  </w:style>
  <w:style w:type="character" w:customStyle="1" w:styleId="101">
    <w:name w:val="HTML 预设格式 字符1"/>
    <w:basedOn w:val="34"/>
    <w:semiHidden/>
    <w:qFormat/>
    <w:uiPriority w:val="99"/>
    <w:rPr>
      <w:rFonts w:ascii="Courier New" w:hAnsi="Courier New" w:eastAsia="仿宋_GB2312" w:cs="Courier New"/>
      <w:sz w:val="20"/>
      <w:szCs w:val="20"/>
    </w:rPr>
  </w:style>
  <w:style w:type="character" w:customStyle="1" w:styleId="102">
    <w:name w:val="副标题 字符1"/>
    <w:basedOn w:val="34"/>
    <w:qFormat/>
    <w:uiPriority w:val="11"/>
    <w:rPr>
      <w:b/>
      <w:bCs/>
      <w:kern w:val="28"/>
      <w:sz w:val="32"/>
      <w:szCs w:val="32"/>
    </w:rPr>
  </w:style>
  <w:style w:type="character" w:customStyle="1" w:styleId="103">
    <w:name w:val="正文文本缩进 字符1"/>
    <w:basedOn w:val="34"/>
    <w:semiHidden/>
    <w:qFormat/>
    <w:uiPriority w:val="99"/>
    <w:rPr>
      <w:rFonts w:eastAsia="仿宋_GB2312"/>
      <w:sz w:val="32"/>
    </w:rPr>
  </w:style>
  <w:style w:type="character" w:customStyle="1" w:styleId="104">
    <w:name w:val="正文文本缩进 3 字符1"/>
    <w:basedOn w:val="34"/>
    <w:semiHidden/>
    <w:qFormat/>
    <w:uiPriority w:val="99"/>
    <w:rPr>
      <w:rFonts w:eastAsia="仿宋_GB2312"/>
      <w:sz w:val="16"/>
      <w:szCs w:val="16"/>
    </w:rPr>
  </w:style>
  <w:style w:type="character" w:customStyle="1" w:styleId="105">
    <w:name w:val="文档结构图 字符1"/>
    <w:basedOn w:val="34"/>
    <w:semiHidden/>
    <w:qFormat/>
    <w:uiPriority w:val="99"/>
    <w:rPr>
      <w:rFonts w:ascii="Microsoft YaHei UI" w:eastAsia="Microsoft YaHei UI"/>
      <w:sz w:val="18"/>
      <w:szCs w:val="18"/>
    </w:rPr>
  </w:style>
  <w:style w:type="paragraph" w:customStyle="1" w:styleId="10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黑体" w:hAnsi="黑体" w:eastAsia="黑体" w:cs="宋体"/>
      <w:b/>
      <w:bCs/>
      <w:kern w:val="0"/>
      <w:sz w:val="20"/>
      <w:szCs w:val="20"/>
    </w:rPr>
  </w:style>
  <w:style w:type="paragraph" w:customStyle="1" w:styleId="1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jc w:val="center"/>
    </w:pPr>
    <w:rPr>
      <w:rFonts w:ascii="仿宋" w:hAnsi="仿宋" w:eastAsia="仿宋" w:cs="宋体"/>
      <w:b/>
      <w:bCs/>
      <w:kern w:val="0"/>
      <w:sz w:val="20"/>
      <w:szCs w:val="20"/>
    </w:rPr>
  </w:style>
  <w:style w:type="paragraph" w:customStyle="1" w:styleId="108">
    <w:name w:val="简单回函地址"/>
    <w:basedOn w:val="1"/>
    <w:qFormat/>
    <w:uiPriority w:val="0"/>
    <w:pPr>
      <w:spacing w:line="240" w:lineRule="auto"/>
    </w:pPr>
    <w:rPr>
      <w:rFonts w:ascii="Times New Roman" w:hAnsi="Times New Roman" w:eastAsia="宋体" w:cs="Times New Roman"/>
      <w:sz w:val="21"/>
      <w:szCs w:val="24"/>
    </w:rPr>
  </w:style>
  <w:style w:type="paragraph" w:customStyle="1" w:styleId="10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kern w:val="0"/>
      <w:sz w:val="20"/>
      <w:szCs w:val="20"/>
    </w:rPr>
  </w:style>
  <w:style w:type="paragraph" w:customStyle="1" w:styleId="11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jc w:val="center"/>
    </w:pPr>
    <w:rPr>
      <w:rFonts w:ascii="仿宋" w:hAnsi="仿宋" w:eastAsia="仿宋" w:cs="宋体"/>
      <w:b/>
      <w:bCs/>
      <w:kern w:val="0"/>
      <w:sz w:val="20"/>
      <w:szCs w:val="20"/>
    </w:rPr>
  </w:style>
  <w:style w:type="paragraph" w:customStyle="1" w:styleId="111">
    <w:name w:val="xl50"/>
    <w:basedOn w:val="1"/>
    <w:qFormat/>
    <w:uiPriority w:val="0"/>
    <w:pPr>
      <w:widowControl/>
      <w:spacing w:before="100" w:beforeAutospacing="1" w:after="100" w:afterAutospacing="1" w:line="240" w:lineRule="auto"/>
      <w:jc w:val="center"/>
    </w:pPr>
    <w:rPr>
      <w:rFonts w:hint="eastAsia" w:ascii="黑体" w:hAnsi="宋体" w:eastAsia="黑体" w:cs="Times New Roman"/>
      <w:kern w:val="0"/>
      <w:sz w:val="24"/>
      <w:szCs w:val="28"/>
    </w:rPr>
  </w:style>
  <w:style w:type="paragraph" w:customStyle="1" w:styleId="11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仿宋" w:hAnsi="仿宋" w:eastAsia="仿宋" w:cs="宋体"/>
      <w:kern w:val="0"/>
      <w:sz w:val="20"/>
      <w:szCs w:val="20"/>
    </w:rPr>
  </w:style>
  <w:style w:type="paragraph" w:customStyle="1" w:styleId="113">
    <w:name w:val="iw_poi_title"/>
    <w:basedOn w:val="1"/>
    <w:qFormat/>
    <w:uiPriority w:val="0"/>
    <w:pPr>
      <w:widowControl/>
      <w:spacing w:line="240" w:lineRule="auto"/>
      <w:jc w:val="left"/>
    </w:pPr>
    <w:rPr>
      <w:rFonts w:ascii="宋体" w:hAnsi="宋体" w:eastAsia="宋体" w:cs="宋体"/>
      <w:b/>
      <w:bCs/>
      <w:color w:val="4D4D4D"/>
      <w:kern w:val="0"/>
      <w:sz w:val="21"/>
      <w:szCs w:val="21"/>
    </w:rPr>
  </w:style>
  <w:style w:type="paragraph" w:customStyle="1" w:styleId="114">
    <w:name w:val="表名称"/>
    <w:basedOn w:val="1"/>
    <w:qFormat/>
    <w:uiPriority w:val="0"/>
    <w:pPr>
      <w:spacing w:line="240" w:lineRule="auto"/>
      <w:jc w:val="center"/>
    </w:pPr>
    <w:rPr>
      <w:rFonts w:ascii="黑体" w:hAnsi="Times New Roman" w:eastAsia="黑体" w:cs="宋体"/>
      <w:sz w:val="24"/>
      <w:szCs w:val="20"/>
    </w:rPr>
  </w:style>
  <w:style w:type="paragraph" w:customStyle="1" w:styleId="115">
    <w:name w:val="Char Char Char Char Char Char2 Char"/>
    <w:basedOn w:val="1"/>
    <w:qFormat/>
    <w:uiPriority w:val="0"/>
    <w:rPr>
      <w:rFonts w:ascii="宋体" w:hAnsi="宋体" w:eastAsia="宋体" w:cs="宋体"/>
      <w:sz w:val="24"/>
      <w:szCs w:val="24"/>
    </w:rPr>
  </w:style>
  <w:style w:type="paragraph" w:customStyle="1" w:styleId="116">
    <w:name w:val="表格号及注解"/>
    <w:basedOn w:val="1"/>
    <w:qFormat/>
    <w:uiPriority w:val="0"/>
    <w:pPr>
      <w:spacing w:line="0" w:lineRule="atLeast"/>
    </w:pPr>
    <w:rPr>
      <w:rFonts w:ascii="仿宋_GB2312" w:hAnsi="Times New Roman" w:cs="宋体"/>
      <w:sz w:val="21"/>
      <w:szCs w:val="20"/>
    </w:rPr>
  </w:style>
  <w:style w:type="paragraph" w:customStyle="1" w:styleId="11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kern w:val="0"/>
      <w:sz w:val="20"/>
      <w:szCs w:val="20"/>
    </w:rPr>
  </w:style>
  <w:style w:type="paragraph" w:customStyle="1" w:styleId="11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jc w:val="right"/>
    </w:pPr>
    <w:rPr>
      <w:rFonts w:ascii="仿宋" w:hAnsi="仿宋" w:eastAsia="仿宋" w:cs="宋体"/>
      <w:b/>
      <w:bCs/>
      <w:kern w:val="0"/>
      <w:sz w:val="20"/>
      <w:szCs w:val="20"/>
    </w:rPr>
  </w:style>
  <w:style w:type="paragraph" w:customStyle="1" w:styleId="119">
    <w:name w:val="样式 首行缩进"/>
    <w:basedOn w:val="1"/>
    <w:qFormat/>
    <w:uiPriority w:val="0"/>
    <w:pPr>
      <w:spacing w:line="240" w:lineRule="auto"/>
      <w:ind w:firstLine="551"/>
    </w:pPr>
    <w:rPr>
      <w:rFonts w:ascii="仿宋_GB2312" w:hAnsi="Times New Roman" w:cs="宋体"/>
      <w:sz w:val="24"/>
      <w:szCs w:val="20"/>
    </w:rPr>
  </w:style>
  <w:style w:type="paragraph" w:customStyle="1" w:styleId="12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kern w:val="0"/>
      <w:sz w:val="20"/>
      <w:szCs w:val="20"/>
    </w:rPr>
  </w:style>
  <w:style w:type="paragraph" w:customStyle="1" w:styleId="12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right"/>
    </w:pPr>
    <w:rPr>
      <w:rFonts w:ascii="仿宋" w:hAnsi="仿宋" w:eastAsia="仿宋" w:cs="宋体"/>
      <w:kern w:val="0"/>
      <w:sz w:val="20"/>
      <w:szCs w:val="20"/>
    </w:rPr>
  </w:style>
  <w:style w:type="paragraph" w:customStyle="1" w:styleId="122">
    <w:name w:val="表格内容（左）"/>
    <w:basedOn w:val="1"/>
    <w:qFormat/>
    <w:uiPriority w:val="0"/>
    <w:pPr>
      <w:spacing w:line="0" w:lineRule="atLeast"/>
      <w:jc w:val="left"/>
    </w:pPr>
    <w:rPr>
      <w:rFonts w:ascii="仿宋_GB2312" w:hAnsi="Times New Roman" w:cs="宋体"/>
      <w:sz w:val="21"/>
      <w:szCs w:val="21"/>
    </w:rPr>
  </w:style>
  <w:style w:type="paragraph" w:customStyle="1" w:styleId="12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仿宋" w:hAnsi="仿宋" w:eastAsia="仿宋" w:cs="宋体"/>
      <w:kern w:val="0"/>
      <w:sz w:val="20"/>
      <w:szCs w:val="20"/>
    </w:rPr>
  </w:style>
  <w:style w:type="paragraph" w:customStyle="1" w:styleId="124">
    <w:name w:val="xl65"/>
    <w:basedOn w:val="1"/>
    <w:qFormat/>
    <w:uiPriority w:val="0"/>
    <w:pPr>
      <w:widowControl/>
      <w:spacing w:before="100" w:beforeAutospacing="1" w:after="100" w:afterAutospacing="1" w:line="240" w:lineRule="auto"/>
      <w:jc w:val="left"/>
    </w:pPr>
    <w:rPr>
      <w:rFonts w:ascii="仿宋" w:hAnsi="仿宋" w:eastAsia="仿宋" w:cs="宋体"/>
      <w:kern w:val="0"/>
      <w:sz w:val="20"/>
      <w:szCs w:val="20"/>
    </w:rPr>
  </w:style>
  <w:style w:type="paragraph" w:customStyle="1" w:styleId="125">
    <w:name w:val="album-div"/>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12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left"/>
    </w:pPr>
    <w:rPr>
      <w:rFonts w:ascii="仿宋" w:hAnsi="仿宋" w:eastAsia="仿宋" w:cs="宋体"/>
      <w:kern w:val="0"/>
      <w:sz w:val="20"/>
      <w:szCs w:val="20"/>
    </w:rPr>
  </w:style>
  <w:style w:type="paragraph" w:customStyle="1" w:styleId="127">
    <w:name w:val="表格001"/>
    <w:basedOn w:val="1"/>
    <w:qFormat/>
    <w:uiPriority w:val="0"/>
    <w:pPr>
      <w:widowControl/>
      <w:tabs>
        <w:tab w:val="left" w:pos="2880"/>
        <w:tab w:val="left" w:pos="3120"/>
      </w:tabs>
      <w:spacing w:line="288" w:lineRule="auto"/>
      <w:ind w:firstLine="480"/>
      <w:jc w:val="left"/>
      <w:outlineLvl w:val="8"/>
    </w:pPr>
    <w:rPr>
      <w:rFonts w:ascii="宋体" w:hAnsi="宋体" w:eastAsia="宋体" w:cs="宋体"/>
      <w:kern w:val="0"/>
      <w:sz w:val="21"/>
      <w:szCs w:val="20"/>
    </w:rPr>
  </w:style>
  <w:style w:type="paragraph" w:customStyle="1" w:styleId="128">
    <w:name w:val="表格名"/>
    <w:basedOn w:val="1"/>
    <w:qFormat/>
    <w:uiPriority w:val="0"/>
    <w:pPr>
      <w:spacing w:line="240" w:lineRule="auto"/>
      <w:jc w:val="center"/>
    </w:pPr>
    <w:rPr>
      <w:rFonts w:ascii="仿宋_GB2312" w:hAnsi="Times New Roman" w:eastAsia="黑体" w:cs="宋体"/>
      <w:sz w:val="24"/>
      <w:szCs w:val="20"/>
    </w:rPr>
  </w:style>
  <w:style w:type="paragraph" w:customStyle="1" w:styleId="129">
    <w:name w:val="表格居中"/>
    <w:basedOn w:val="1"/>
    <w:qFormat/>
    <w:uiPriority w:val="0"/>
    <w:pPr>
      <w:spacing w:line="0" w:lineRule="atLeast"/>
      <w:jc w:val="center"/>
    </w:pPr>
    <w:rPr>
      <w:rFonts w:ascii="仿宋_GB2312" w:hAnsi="Times New Roman" w:cs="宋体"/>
      <w:sz w:val="21"/>
      <w:szCs w:val="20"/>
    </w:rPr>
  </w:style>
  <w:style w:type="paragraph" w:customStyle="1" w:styleId="130">
    <w:name w:val="Char Char Char Char Char Char2 Char1"/>
    <w:basedOn w:val="1"/>
    <w:qFormat/>
    <w:uiPriority w:val="0"/>
    <w:rPr>
      <w:rFonts w:ascii="宋体" w:hAnsi="宋体" w:eastAsia="宋体" w:cs="宋体"/>
      <w:sz w:val="24"/>
      <w:szCs w:val="24"/>
    </w:rPr>
  </w:style>
  <w:style w:type="paragraph" w:customStyle="1" w:styleId="13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仿宋" w:hAnsi="仿宋" w:eastAsia="仿宋" w:cs="宋体"/>
      <w:kern w:val="0"/>
      <w:sz w:val="20"/>
      <w:szCs w:val="20"/>
    </w:rPr>
  </w:style>
  <w:style w:type="paragraph" w:customStyle="1" w:styleId="132">
    <w:name w:val="表内容（中）"/>
    <w:basedOn w:val="1"/>
    <w:qFormat/>
    <w:uiPriority w:val="0"/>
    <w:pPr>
      <w:spacing w:line="0" w:lineRule="atLeast"/>
      <w:jc w:val="center"/>
    </w:pPr>
    <w:rPr>
      <w:rFonts w:ascii="仿宋_GB2312" w:hAnsi="仿宋_GB2312" w:cs="宋体"/>
      <w:snapToGrid w:val="0"/>
      <w:sz w:val="21"/>
      <w:szCs w:val="20"/>
    </w:rPr>
  </w:style>
  <w:style w:type="paragraph" w:customStyle="1" w:styleId="133">
    <w:name w:val="样式 (中文) 仿宋_GB2312 四号"/>
    <w:basedOn w:val="1"/>
    <w:qFormat/>
    <w:uiPriority w:val="0"/>
    <w:rPr>
      <w:rFonts w:ascii="Times New Roman" w:hAnsi="Times New Roman" w:cs="宋体"/>
      <w:sz w:val="24"/>
      <w:szCs w:val="20"/>
    </w:rPr>
  </w:style>
  <w:style w:type="paragraph" w:customStyle="1" w:styleId="134">
    <w:name w:val="表内容（黑体）"/>
    <w:basedOn w:val="71"/>
    <w:qFormat/>
    <w:uiPriority w:val="0"/>
    <w:pPr>
      <w:spacing w:line="0" w:lineRule="atLeast"/>
      <w:ind w:firstLine="0" w:firstLineChars="0"/>
      <w:jc w:val="center"/>
    </w:pPr>
    <w:rPr>
      <w:rFonts w:hAnsi="仿宋_GB2312" w:eastAsia="黑体" w:cs="宋体"/>
      <w:snapToGrid w:val="0"/>
      <w:sz w:val="21"/>
      <w:szCs w:val="20"/>
    </w:rPr>
  </w:style>
  <w:style w:type="paragraph" w:customStyle="1" w:styleId="135">
    <w:name w:val="表格标题_报告"/>
    <w:basedOn w:val="1"/>
    <w:qFormat/>
    <w:uiPriority w:val="0"/>
    <w:pPr>
      <w:spacing w:before="558" w:beforeLines="100" w:line="240" w:lineRule="auto"/>
      <w:jc w:val="center"/>
    </w:pPr>
    <w:rPr>
      <w:rFonts w:ascii="黑体" w:hAnsi="Times New Roman" w:eastAsia="黑体" w:cs="Times New Roman"/>
      <w:sz w:val="24"/>
      <w:szCs w:val="20"/>
    </w:rPr>
  </w:style>
  <w:style w:type="paragraph" w:customStyle="1" w:styleId="13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kern w:val="0"/>
      <w:sz w:val="20"/>
      <w:szCs w:val="20"/>
    </w:rPr>
  </w:style>
  <w:style w:type="paragraph" w:customStyle="1" w:styleId="137">
    <w:name w:val="表格左对齐"/>
    <w:basedOn w:val="1"/>
    <w:qFormat/>
    <w:uiPriority w:val="0"/>
    <w:pPr>
      <w:spacing w:line="0" w:lineRule="atLeast"/>
    </w:pPr>
    <w:rPr>
      <w:rFonts w:ascii="仿宋_GB2312" w:hAnsi="Times New Roman" w:cs="宋体"/>
      <w:sz w:val="21"/>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jc w:val="left"/>
    </w:pPr>
    <w:rPr>
      <w:rFonts w:ascii="仿宋" w:hAnsi="仿宋" w:eastAsia="仿宋" w:cs="宋体"/>
      <w:b/>
      <w:bCs/>
      <w:kern w:val="0"/>
      <w:sz w:val="20"/>
      <w:szCs w:val="20"/>
    </w:rPr>
  </w:style>
  <w:style w:type="paragraph" w:customStyle="1" w:styleId="139">
    <w:name w:val="表格第一行（黑体）"/>
    <w:basedOn w:val="1"/>
    <w:qFormat/>
    <w:uiPriority w:val="0"/>
    <w:pPr>
      <w:spacing w:line="0" w:lineRule="atLeast"/>
      <w:jc w:val="center"/>
    </w:pPr>
    <w:rPr>
      <w:rFonts w:ascii="黑体" w:hAnsi="Times New Roman" w:eastAsia="黑体" w:cs="宋体"/>
      <w:sz w:val="21"/>
      <w:szCs w:val="20"/>
    </w:rPr>
  </w:style>
  <w:style w:type="paragraph" w:customStyle="1" w:styleId="14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jc w:val="center"/>
    </w:pPr>
    <w:rPr>
      <w:rFonts w:ascii="仿宋" w:hAnsi="仿宋" w:eastAsia="仿宋" w:cs="宋体"/>
      <w:kern w:val="0"/>
      <w:sz w:val="20"/>
      <w:szCs w:val="20"/>
    </w:rPr>
  </w:style>
  <w:style w:type="paragraph" w:customStyle="1" w:styleId="141">
    <w:name w:val="xl76"/>
    <w:basedOn w:val="1"/>
    <w:qFormat/>
    <w:uiPriority w:val="0"/>
    <w:pPr>
      <w:widowControl/>
      <w:spacing w:before="100" w:beforeAutospacing="1" w:after="100" w:afterAutospacing="1" w:line="240" w:lineRule="auto"/>
      <w:jc w:val="center"/>
    </w:pPr>
    <w:rPr>
      <w:rFonts w:ascii="仿宋" w:hAnsi="仿宋" w:eastAsia="仿宋" w:cs="宋体"/>
      <w:kern w:val="0"/>
      <w:sz w:val="20"/>
      <w:szCs w:val="20"/>
    </w:rPr>
  </w:style>
  <w:style w:type="paragraph" w:customStyle="1" w:styleId="142">
    <w:name w:val="Char1 Char Char Char Char Char Char Char Char Char"/>
    <w:basedOn w:val="1"/>
    <w:qFormat/>
    <w:uiPriority w:val="0"/>
    <w:pPr>
      <w:widowControl/>
      <w:spacing w:line="400" w:lineRule="exact"/>
      <w:jc w:val="center"/>
    </w:pPr>
    <w:rPr>
      <w:rFonts w:ascii="Verdana" w:hAnsi="Verdana" w:eastAsia="宋体" w:cs="Times New Roman"/>
      <w:kern w:val="0"/>
      <w:sz w:val="21"/>
      <w:szCs w:val="20"/>
      <w:lang w:eastAsia="en-US"/>
    </w:rPr>
  </w:style>
  <w:style w:type="paragraph" w:customStyle="1" w:styleId="14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kern w:val="0"/>
      <w:sz w:val="20"/>
      <w:szCs w:val="20"/>
    </w:rPr>
  </w:style>
  <w:style w:type="paragraph" w:customStyle="1" w:styleId="14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jc w:val="left"/>
    </w:pPr>
    <w:rPr>
      <w:rFonts w:ascii="仿宋" w:hAnsi="仿宋" w:eastAsia="仿宋" w:cs="宋体"/>
      <w:b/>
      <w:bCs/>
      <w:kern w:val="0"/>
      <w:sz w:val="20"/>
      <w:szCs w:val="20"/>
    </w:rPr>
  </w:style>
  <w:style w:type="paragraph" w:customStyle="1" w:styleId="14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仿宋" w:hAnsi="仿宋" w:eastAsia="仿宋" w:cs="宋体"/>
      <w:kern w:val="0"/>
      <w:sz w:val="20"/>
      <w:szCs w:val="20"/>
    </w:rPr>
  </w:style>
  <w:style w:type="paragraph" w:customStyle="1" w:styleId="146">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jc w:val="center"/>
    </w:pPr>
    <w:rPr>
      <w:rFonts w:ascii="仿宋" w:hAnsi="仿宋" w:eastAsia="仿宋" w:cs="宋体"/>
      <w:b/>
      <w:bCs/>
      <w:kern w:val="0"/>
      <w:sz w:val="20"/>
      <w:szCs w:val="20"/>
    </w:rPr>
  </w:style>
  <w:style w:type="paragraph" w:customStyle="1" w:styleId="147">
    <w:name w:val="p0"/>
    <w:basedOn w:val="1"/>
    <w:qFormat/>
    <w:uiPriority w:val="0"/>
    <w:pPr>
      <w:widowControl/>
      <w:spacing w:line="240" w:lineRule="auto"/>
    </w:pPr>
    <w:rPr>
      <w:rFonts w:ascii="仿宋_GB2312" w:hAnsi="宋体" w:cs="宋体"/>
      <w:kern w:val="0"/>
      <w:sz w:val="24"/>
      <w:szCs w:val="28"/>
    </w:rPr>
  </w:style>
  <w:style w:type="paragraph" w:customStyle="1" w:styleId="14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黑体" w:hAnsi="黑体" w:eastAsia="黑体" w:cs="宋体"/>
      <w:b/>
      <w:bCs/>
      <w:kern w:val="0"/>
      <w:sz w:val="20"/>
      <w:szCs w:val="20"/>
    </w:rPr>
  </w:style>
  <w:style w:type="paragraph" w:customStyle="1" w:styleId="14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仿宋" w:hAnsi="仿宋" w:eastAsia="仿宋" w:cs="宋体"/>
      <w:kern w:val="0"/>
      <w:sz w:val="20"/>
      <w:szCs w:val="20"/>
    </w:rPr>
  </w:style>
  <w:style w:type="paragraph" w:customStyle="1" w:styleId="150">
    <w:name w:val="表格内容"/>
    <w:basedOn w:val="1"/>
    <w:qFormat/>
    <w:uiPriority w:val="0"/>
    <w:pPr>
      <w:spacing w:line="0" w:lineRule="atLeast"/>
      <w:jc w:val="center"/>
    </w:pPr>
    <w:rPr>
      <w:rFonts w:ascii="仿宋_GB2312" w:hAnsi="Times New Roman" w:eastAsia="黑体" w:cs="宋体"/>
      <w:sz w:val="21"/>
      <w:szCs w:val="20"/>
    </w:rPr>
  </w:style>
  <w:style w:type="paragraph" w:customStyle="1" w:styleId="151">
    <w:name w:val="表文"/>
    <w:basedOn w:val="1"/>
    <w:qFormat/>
    <w:uiPriority w:val="0"/>
    <w:pPr>
      <w:spacing w:line="240" w:lineRule="auto"/>
      <w:jc w:val="center"/>
    </w:pPr>
    <w:rPr>
      <w:rFonts w:ascii="宋体" w:hAnsi="Times New Roman" w:eastAsia="宋体" w:cs="Times New Roman"/>
      <w:sz w:val="24"/>
      <w:szCs w:val="20"/>
    </w:rPr>
  </w:style>
  <w:style w:type="paragraph" w:customStyle="1" w:styleId="15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jc w:val="center"/>
    </w:pPr>
    <w:rPr>
      <w:rFonts w:ascii="仿宋" w:hAnsi="仿宋" w:eastAsia="仿宋" w:cs="宋体"/>
      <w:kern w:val="0"/>
      <w:sz w:val="20"/>
      <w:szCs w:val="20"/>
    </w:rPr>
  </w:style>
  <w:style w:type="paragraph" w:customStyle="1" w:styleId="15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仿宋" w:hAnsi="仿宋" w:eastAsia="仿宋" w:cs="宋体"/>
      <w:kern w:val="0"/>
      <w:sz w:val="20"/>
      <w:szCs w:val="20"/>
    </w:rPr>
  </w:style>
  <w:style w:type="paragraph" w:customStyle="1" w:styleId="15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黑体" w:hAnsi="黑体" w:eastAsia="黑体" w:cs="宋体"/>
      <w:b/>
      <w:bCs/>
      <w:kern w:val="0"/>
      <w:sz w:val="20"/>
      <w:szCs w:val="20"/>
    </w:rPr>
  </w:style>
  <w:style w:type="paragraph" w:customStyle="1" w:styleId="155">
    <w:name w:val="表格右对齐"/>
    <w:basedOn w:val="1"/>
    <w:qFormat/>
    <w:uiPriority w:val="0"/>
    <w:pPr>
      <w:spacing w:line="0" w:lineRule="atLeast"/>
      <w:jc w:val="right"/>
    </w:pPr>
    <w:rPr>
      <w:rFonts w:ascii="仿宋_GB2312" w:hAnsi="Times New Roman" w:cs="宋体"/>
      <w:sz w:val="21"/>
      <w:szCs w:val="20"/>
    </w:rPr>
  </w:style>
  <w:style w:type="paragraph" w:styleId="156">
    <w:name w:val="List Paragraph"/>
    <w:basedOn w:val="1"/>
    <w:qFormat/>
    <w:uiPriority w:val="34"/>
    <w:pPr>
      <w:ind w:firstLine="420"/>
    </w:pPr>
    <w:rPr>
      <w:rFonts w:ascii="Calibri" w:hAnsi="Calibri" w:eastAsia="宋体" w:cs="Times New Roman"/>
      <w:sz w:val="24"/>
    </w:rPr>
  </w:style>
  <w:style w:type="paragraph" w:customStyle="1" w:styleId="157">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仿宋" w:hAnsi="仿宋" w:eastAsia="仿宋" w:cs="宋体"/>
      <w:kern w:val="0"/>
      <w:sz w:val="20"/>
      <w:szCs w:val="20"/>
    </w:rPr>
  </w:style>
  <w:style w:type="paragraph" w:customStyle="1" w:styleId="158">
    <w:name w:val="xl74"/>
    <w:basedOn w:val="1"/>
    <w:qFormat/>
    <w:uiPriority w:val="0"/>
    <w:pPr>
      <w:widowControl/>
      <w:spacing w:before="100" w:beforeAutospacing="1" w:after="100" w:afterAutospacing="1" w:line="240" w:lineRule="auto"/>
      <w:jc w:val="right"/>
    </w:pPr>
    <w:rPr>
      <w:rFonts w:ascii="仿宋" w:hAnsi="仿宋" w:eastAsia="仿宋" w:cs="宋体"/>
      <w:kern w:val="0"/>
      <w:sz w:val="20"/>
      <w:szCs w:val="20"/>
    </w:rPr>
  </w:style>
  <w:style w:type="paragraph" w:customStyle="1" w:styleId="159">
    <w:name w:val="样式1"/>
    <w:basedOn w:val="5"/>
    <w:qFormat/>
    <w:uiPriority w:val="0"/>
    <w:rPr>
      <w:b/>
    </w:rPr>
  </w:style>
  <w:style w:type="paragraph" w:customStyle="1" w:styleId="16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jc w:val="center"/>
    </w:pPr>
    <w:rPr>
      <w:rFonts w:ascii="仿宋" w:hAnsi="仿宋" w:eastAsia="仿宋" w:cs="宋体"/>
      <w:kern w:val="0"/>
      <w:sz w:val="20"/>
      <w:szCs w:val="20"/>
    </w:rPr>
  </w:style>
  <w:style w:type="paragraph" w:customStyle="1" w:styleId="161">
    <w:name w:val="xl67"/>
    <w:basedOn w:val="1"/>
    <w:qFormat/>
    <w:uiPriority w:val="0"/>
    <w:pPr>
      <w:widowControl/>
      <w:spacing w:before="100" w:beforeAutospacing="1" w:after="100" w:afterAutospacing="1" w:line="240" w:lineRule="auto"/>
      <w:jc w:val="center"/>
    </w:pPr>
    <w:rPr>
      <w:rFonts w:ascii="黑体" w:hAnsi="黑体" w:eastAsia="黑体" w:cs="宋体"/>
      <w:b/>
      <w:bCs/>
      <w:kern w:val="0"/>
      <w:sz w:val="20"/>
      <w:szCs w:val="20"/>
    </w:rPr>
  </w:style>
  <w:style w:type="paragraph" w:customStyle="1" w:styleId="162">
    <w:name w:val="首行缩进"/>
    <w:basedOn w:val="1"/>
    <w:qFormat/>
    <w:uiPriority w:val="0"/>
    <w:pPr>
      <w:spacing w:line="240" w:lineRule="auto"/>
      <w:ind w:firstLine="560"/>
    </w:pPr>
    <w:rPr>
      <w:rFonts w:ascii="仿宋_GB2312" w:hAnsi="Times New Roman" w:cs="宋体"/>
      <w:sz w:val="24"/>
      <w:szCs w:val="20"/>
    </w:rPr>
  </w:style>
  <w:style w:type="paragraph" w:customStyle="1" w:styleId="163">
    <w:name w:val="样式2"/>
    <w:basedOn w:val="5"/>
    <w:qFormat/>
    <w:uiPriority w:val="0"/>
    <w:pPr>
      <w:spacing w:before="280" w:after="290" w:line="376" w:lineRule="atLeast"/>
      <w:textAlignment w:val="baseline"/>
    </w:pPr>
    <w:rPr>
      <w:rFonts w:ascii="Arial"/>
      <w:b/>
      <w:bCs w:val="0"/>
      <w:kern w:val="0"/>
      <w:szCs w:val="20"/>
    </w:rPr>
  </w:style>
  <w:style w:type="paragraph" w:customStyle="1" w:styleId="164">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jc w:val="left"/>
    </w:pPr>
    <w:rPr>
      <w:rFonts w:ascii="仿宋" w:hAnsi="仿宋" w:eastAsia="仿宋" w:cs="宋体"/>
      <w:kern w:val="0"/>
      <w:sz w:val="20"/>
      <w:szCs w:val="20"/>
    </w:rPr>
  </w:style>
  <w:style w:type="paragraph" w:customStyle="1" w:styleId="165">
    <w:name w:val="xl68"/>
    <w:basedOn w:val="1"/>
    <w:qFormat/>
    <w:uiPriority w:val="0"/>
    <w:pPr>
      <w:widowControl/>
      <w:shd w:val="clear" w:color="000000" w:fill="FFC000"/>
      <w:spacing w:before="100" w:beforeAutospacing="1" w:after="100" w:afterAutospacing="1" w:line="240" w:lineRule="auto"/>
      <w:jc w:val="left"/>
    </w:pPr>
    <w:rPr>
      <w:rFonts w:ascii="仿宋" w:hAnsi="仿宋" w:eastAsia="仿宋" w:cs="宋体"/>
      <w:b/>
      <w:bCs/>
      <w:kern w:val="0"/>
      <w:sz w:val="20"/>
      <w:szCs w:val="20"/>
    </w:rPr>
  </w:style>
  <w:style w:type="paragraph" w:customStyle="1" w:styleId="166">
    <w:name w:val="表格内容（中）"/>
    <w:basedOn w:val="1"/>
    <w:qFormat/>
    <w:uiPriority w:val="0"/>
    <w:pPr>
      <w:spacing w:line="0" w:lineRule="atLeast"/>
      <w:jc w:val="center"/>
    </w:pPr>
    <w:rPr>
      <w:rFonts w:ascii="仿宋_GB2312" w:hAnsi="Times New Roman" w:cs="宋体"/>
      <w:sz w:val="21"/>
      <w:szCs w:val="21"/>
    </w:rPr>
  </w:style>
  <w:style w:type="paragraph" w:customStyle="1" w:styleId="167">
    <w:name w:val="表格内容（右）"/>
    <w:basedOn w:val="1"/>
    <w:qFormat/>
    <w:uiPriority w:val="0"/>
    <w:pPr>
      <w:spacing w:line="0" w:lineRule="atLeast"/>
      <w:jc w:val="right"/>
    </w:pPr>
    <w:rPr>
      <w:rFonts w:ascii="仿宋_GB2312" w:hAnsi="Times New Roman" w:cs="宋体"/>
      <w:sz w:val="21"/>
      <w:szCs w:val="21"/>
    </w:rPr>
  </w:style>
  <w:style w:type="paragraph" w:customStyle="1" w:styleId="168">
    <w:name w:val="pic-info"/>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16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right"/>
    </w:pPr>
    <w:rPr>
      <w:rFonts w:ascii="仿宋" w:hAnsi="仿宋" w:eastAsia="仿宋" w:cs="宋体"/>
      <w:kern w:val="0"/>
      <w:sz w:val="20"/>
      <w:szCs w:val="20"/>
    </w:rPr>
  </w:style>
  <w:style w:type="paragraph" w:customStyle="1" w:styleId="170">
    <w:name w:val="样式 标题 2 + 宋体 四号 左侧:  0 厘米 行距: 1.5 倍行距"/>
    <w:basedOn w:val="3"/>
    <w:qFormat/>
    <w:uiPriority w:val="0"/>
    <w:pPr>
      <w:widowControl/>
      <w:overflowPunct w:val="0"/>
      <w:autoSpaceDE w:val="0"/>
      <w:autoSpaceDN w:val="0"/>
      <w:spacing w:beforeLines="50"/>
      <w:ind w:right="-206" w:rightChars="-98"/>
      <w:textAlignment w:val="baseline"/>
    </w:pPr>
    <w:rPr>
      <w:rFonts w:ascii="黑体" w:hAnsi="宋体" w:eastAsia="黑体" w:cs="宋体"/>
      <w:b w:val="0"/>
      <w:color w:val="000000"/>
      <w:spacing w:val="-10"/>
      <w:kern w:val="0"/>
      <w:sz w:val="28"/>
      <w:szCs w:val="28"/>
      <w:lang w:val="sq-AL"/>
    </w:rPr>
  </w:style>
  <w:style w:type="paragraph" w:customStyle="1" w:styleId="171">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仿宋" w:hAnsi="仿宋" w:eastAsia="仿宋" w:cs="宋体"/>
      <w:kern w:val="0"/>
      <w:sz w:val="20"/>
      <w:szCs w:val="20"/>
    </w:rPr>
  </w:style>
  <w:style w:type="paragraph" w:customStyle="1" w:styleId="172">
    <w:name w:val="Char1"/>
    <w:basedOn w:val="1"/>
    <w:qFormat/>
    <w:uiPriority w:val="0"/>
    <w:pPr>
      <w:tabs>
        <w:tab w:val="left" w:pos="425"/>
      </w:tabs>
      <w:spacing w:line="240" w:lineRule="auto"/>
      <w:ind w:left="425" w:hanging="425"/>
    </w:pPr>
    <w:rPr>
      <w:rFonts w:ascii="Times New Roman" w:hAnsi="Times New Roman" w:cs="Times New Roman"/>
      <w:kern w:val="24"/>
      <w:sz w:val="24"/>
      <w:szCs w:val="24"/>
    </w:rPr>
  </w:style>
  <w:style w:type="paragraph" w:customStyle="1" w:styleId="173">
    <w:name w:val="正文1"/>
    <w:basedOn w:val="1"/>
    <w:qFormat/>
    <w:uiPriority w:val="0"/>
    <w:rPr>
      <w:rFonts w:ascii="宋体" w:hAnsi="宋体" w:eastAsia="宋体" w:cs="Times New Roman"/>
      <w:kern w:val="0"/>
      <w:sz w:val="24"/>
      <w:szCs w:val="24"/>
    </w:rPr>
  </w:style>
  <w:style w:type="paragraph" w:customStyle="1" w:styleId="17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仿宋" w:hAnsi="仿宋" w:eastAsia="仿宋" w:cs="宋体"/>
      <w:kern w:val="0"/>
      <w:sz w:val="20"/>
      <w:szCs w:val="20"/>
    </w:rPr>
  </w:style>
  <w:style w:type="paragraph" w:customStyle="1" w:styleId="17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黑体" w:hAnsi="黑体" w:eastAsia="黑体" w:cs="宋体"/>
      <w:b/>
      <w:bCs/>
      <w:kern w:val="0"/>
      <w:sz w:val="20"/>
      <w:szCs w:val="20"/>
    </w:rPr>
  </w:style>
  <w:style w:type="paragraph" w:customStyle="1" w:styleId="176">
    <w:name w:val="font5"/>
    <w:basedOn w:val="1"/>
    <w:qFormat/>
    <w:uiPriority w:val="0"/>
    <w:pPr>
      <w:widowControl/>
      <w:spacing w:before="100" w:beforeAutospacing="1" w:after="100" w:afterAutospacing="1" w:line="240" w:lineRule="auto"/>
      <w:jc w:val="left"/>
    </w:pPr>
    <w:rPr>
      <w:rFonts w:ascii="宋体" w:hAnsi="宋体" w:eastAsia="宋体" w:cs="宋体"/>
      <w:kern w:val="0"/>
      <w:sz w:val="18"/>
      <w:szCs w:val="18"/>
    </w:rPr>
  </w:style>
  <w:style w:type="paragraph" w:customStyle="1" w:styleId="17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kern w:val="0"/>
      <w:sz w:val="20"/>
      <w:szCs w:val="20"/>
    </w:rPr>
  </w:style>
  <w:style w:type="paragraph" w:customStyle="1" w:styleId="178">
    <w:name w:val="xl66"/>
    <w:basedOn w:val="1"/>
    <w:qFormat/>
    <w:uiPriority w:val="0"/>
    <w:pPr>
      <w:widowControl/>
      <w:spacing w:before="100" w:beforeAutospacing="1" w:after="100" w:afterAutospacing="1" w:line="240" w:lineRule="auto"/>
      <w:jc w:val="left"/>
    </w:pPr>
    <w:rPr>
      <w:rFonts w:ascii="黑体" w:hAnsi="黑体" w:eastAsia="黑体" w:cs="宋体"/>
      <w:b/>
      <w:bCs/>
      <w:kern w:val="0"/>
      <w:sz w:val="20"/>
      <w:szCs w:val="20"/>
    </w:rPr>
  </w:style>
  <w:style w:type="paragraph" w:customStyle="1" w:styleId="179">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仿宋" w:hAnsi="仿宋" w:eastAsia="仿宋" w:cs="宋体"/>
      <w:kern w:val="0"/>
      <w:sz w:val="20"/>
      <w:szCs w:val="20"/>
    </w:rPr>
  </w:style>
  <w:style w:type="paragraph" w:customStyle="1" w:styleId="180">
    <w:name w:val="xl69"/>
    <w:basedOn w:val="1"/>
    <w:qFormat/>
    <w:uiPriority w:val="0"/>
    <w:pPr>
      <w:widowControl/>
      <w:shd w:val="clear" w:color="000000" w:fill="FFFF00"/>
      <w:spacing w:before="100" w:beforeAutospacing="1" w:after="100" w:afterAutospacing="1" w:line="240" w:lineRule="auto"/>
      <w:jc w:val="left"/>
    </w:pPr>
    <w:rPr>
      <w:rFonts w:ascii="仿宋" w:hAnsi="仿宋" w:eastAsia="仿宋" w:cs="宋体"/>
      <w:kern w:val="0"/>
      <w:sz w:val="20"/>
      <w:szCs w:val="20"/>
    </w:rPr>
  </w:style>
  <w:style w:type="paragraph" w:customStyle="1" w:styleId="18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jc w:val="left"/>
    </w:pPr>
    <w:rPr>
      <w:rFonts w:ascii="仿宋" w:hAnsi="仿宋" w:eastAsia="仿宋" w:cs="宋体"/>
      <w:kern w:val="0"/>
      <w:sz w:val="20"/>
      <w:szCs w:val="20"/>
    </w:rPr>
  </w:style>
  <w:style w:type="paragraph" w:customStyle="1" w:styleId="182">
    <w:name w:val="xl70"/>
    <w:basedOn w:val="1"/>
    <w:qFormat/>
    <w:uiPriority w:val="0"/>
    <w:pPr>
      <w:widowControl/>
      <w:shd w:val="clear" w:color="000000" w:fill="00B050"/>
      <w:spacing w:before="100" w:beforeAutospacing="1" w:after="100" w:afterAutospacing="1" w:line="240" w:lineRule="auto"/>
      <w:jc w:val="left"/>
    </w:pPr>
    <w:rPr>
      <w:rFonts w:ascii="仿宋" w:hAnsi="仿宋" w:eastAsia="仿宋" w:cs="宋体"/>
      <w:kern w:val="0"/>
      <w:sz w:val="20"/>
      <w:szCs w:val="20"/>
    </w:rPr>
  </w:style>
  <w:style w:type="paragraph" w:customStyle="1" w:styleId="18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仿宋" w:hAnsi="仿宋" w:eastAsia="仿宋" w:cs="宋体"/>
      <w:kern w:val="0"/>
      <w:sz w:val="20"/>
      <w:szCs w:val="20"/>
    </w:rPr>
  </w:style>
  <w:style w:type="paragraph" w:customStyle="1" w:styleId="184">
    <w:name w:val="xl71"/>
    <w:basedOn w:val="1"/>
    <w:qFormat/>
    <w:uiPriority w:val="0"/>
    <w:pPr>
      <w:widowControl/>
      <w:shd w:val="clear" w:color="000000" w:fill="92D050"/>
      <w:spacing w:before="100" w:beforeAutospacing="1" w:after="100" w:afterAutospacing="1" w:line="240" w:lineRule="auto"/>
      <w:jc w:val="left"/>
    </w:pPr>
    <w:rPr>
      <w:rFonts w:ascii="仿宋" w:hAnsi="仿宋" w:eastAsia="仿宋" w:cs="宋体"/>
      <w:kern w:val="0"/>
      <w:sz w:val="20"/>
      <w:szCs w:val="20"/>
    </w:rPr>
  </w:style>
  <w:style w:type="paragraph" w:customStyle="1" w:styleId="18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jc w:val="center"/>
    </w:pPr>
    <w:rPr>
      <w:rFonts w:ascii="仿宋" w:hAnsi="仿宋" w:eastAsia="仿宋" w:cs="宋体"/>
      <w:b/>
      <w:bCs/>
      <w:kern w:val="0"/>
      <w:sz w:val="20"/>
      <w:szCs w:val="20"/>
    </w:rPr>
  </w:style>
  <w:style w:type="paragraph" w:customStyle="1" w:styleId="186">
    <w:name w:val="xl72"/>
    <w:basedOn w:val="1"/>
    <w:qFormat/>
    <w:uiPriority w:val="0"/>
    <w:pPr>
      <w:widowControl/>
      <w:spacing w:before="100" w:beforeAutospacing="1" w:after="100" w:afterAutospacing="1" w:line="240" w:lineRule="auto"/>
      <w:jc w:val="left"/>
    </w:pPr>
    <w:rPr>
      <w:rFonts w:ascii="仿宋" w:hAnsi="仿宋" w:eastAsia="仿宋" w:cs="宋体"/>
      <w:kern w:val="0"/>
      <w:sz w:val="20"/>
      <w:szCs w:val="20"/>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仿宋" w:hAnsi="仿宋" w:eastAsia="仿宋" w:cs="宋体"/>
      <w:kern w:val="0"/>
      <w:sz w:val="20"/>
      <w:szCs w:val="20"/>
    </w:rPr>
  </w:style>
  <w:style w:type="paragraph" w:customStyle="1" w:styleId="188">
    <w:name w:val="xl73"/>
    <w:basedOn w:val="1"/>
    <w:qFormat/>
    <w:uiPriority w:val="0"/>
    <w:pPr>
      <w:widowControl/>
      <w:spacing w:before="100" w:beforeAutospacing="1" w:after="100" w:afterAutospacing="1" w:line="240" w:lineRule="auto"/>
      <w:jc w:val="center"/>
    </w:pPr>
    <w:rPr>
      <w:rFonts w:ascii="仿宋" w:hAnsi="仿宋" w:eastAsia="仿宋" w:cs="宋体"/>
      <w:kern w:val="0"/>
      <w:sz w:val="20"/>
      <w:szCs w:val="20"/>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jc w:val="center"/>
    </w:pPr>
    <w:rPr>
      <w:rFonts w:ascii="仿宋" w:hAnsi="仿宋" w:eastAsia="仿宋" w:cs="宋体"/>
      <w:kern w:val="0"/>
      <w:sz w:val="20"/>
      <w:szCs w:val="20"/>
    </w:rPr>
  </w:style>
  <w:style w:type="paragraph" w:customStyle="1" w:styleId="190">
    <w:name w:val="xl75"/>
    <w:basedOn w:val="1"/>
    <w:qFormat/>
    <w:uiPriority w:val="0"/>
    <w:pPr>
      <w:widowControl/>
      <w:spacing w:before="100" w:beforeAutospacing="1" w:after="100" w:afterAutospacing="1" w:line="240" w:lineRule="auto"/>
      <w:jc w:val="center"/>
    </w:pPr>
    <w:rPr>
      <w:rFonts w:ascii="仿宋" w:hAnsi="仿宋" w:eastAsia="仿宋" w:cs="宋体"/>
      <w:kern w:val="0"/>
      <w:sz w:val="20"/>
      <w:szCs w:val="20"/>
    </w:rPr>
  </w:style>
  <w:style w:type="paragraph" w:customStyle="1" w:styleId="19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仿宋" w:hAnsi="仿宋" w:eastAsia="仿宋" w:cs="宋体"/>
      <w:kern w:val="0"/>
      <w:sz w:val="20"/>
      <w:szCs w:val="20"/>
    </w:rPr>
  </w:style>
  <w:style w:type="paragraph" w:customStyle="1" w:styleId="19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jc w:val="right"/>
    </w:pPr>
    <w:rPr>
      <w:rFonts w:ascii="仿宋" w:hAnsi="仿宋" w:eastAsia="仿宋" w:cs="宋体"/>
      <w:kern w:val="0"/>
      <w:sz w:val="20"/>
      <w:szCs w:val="20"/>
    </w:rPr>
  </w:style>
  <w:style w:type="paragraph" w:customStyle="1" w:styleId="19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left"/>
    </w:pPr>
    <w:rPr>
      <w:rFonts w:ascii="仿宋" w:hAnsi="仿宋" w:eastAsia="仿宋" w:cs="宋体"/>
      <w:kern w:val="0"/>
      <w:sz w:val="20"/>
      <w:szCs w:val="20"/>
    </w:rPr>
  </w:style>
  <w:style w:type="paragraph" w:customStyle="1" w:styleId="19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kern w:val="0"/>
      <w:sz w:val="20"/>
      <w:szCs w:val="20"/>
    </w:rPr>
  </w:style>
  <w:style w:type="paragraph" w:customStyle="1" w:styleId="19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仿宋" w:hAnsi="仿宋" w:eastAsia="仿宋" w:cs="宋体"/>
      <w:kern w:val="0"/>
      <w:sz w:val="20"/>
      <w:szCs w:val="20"/>
    </w:rPr>
  </w:style>
  <w:style w:type="paragraph" w:customStyle="1" w:styleId="196">
    <w:name w:val="TOC 标题1"/>
    <w:basedOn w:val="2"/>
    <w:next w:val="1"/>
    <w:unhideWhenUsed/>
    <w:qFormat/>
    <w:uiPriority w:val="39"/>
    <w:pPr>
      <w:widowControl/>
      <w:adjustRightInd/>
      <w:snapToGrid/>
      <w:spacing w:before="240" w:line="259" w:lineRule="auto"/>
      <w:ind w:firstLine="0" w:firstLineChars="0"/>
      <w:jc w:val="left"/>
      <w:outlineLvl w:val="9"/>
    </w:pPr>
    <w:rPr>
      <w:rFonts w:asciiTheme="majorHAnsi" w:hAnsiTheme="majorHAnsi" w:eastAsiaTheme="majorEastAsia" w:cstheme="majorBidi"/>
      <w:bCs w:val="0"/>
      <w:color w:val="2E75B6" w:themeColor="accent1" w:themeShade="BF"/>
      <w:kern w:val="0"/>
      <w:szCs w:val="32"/>
    </w:rPr>
  </w:style>
  <w:style w:type="paragraph" w:customStyle="1" w:styleId="197">
    <w:name w:val="修订2"/>
    <w:hidden/>
    <w:semiHidden/>
    <w:qFormat/>
    <w:uiPriority w:val="99"/>
    <w:rPr>
      <w:rFonts w:eastAsia="仿宋_GB2312" w:asciiTheme="minorHAnsi" w:hAnsiTheme="minorHAnsi" w:cstheme="minorBidi"/>
      <w:kern w:val="2"/>
      <w:sz w:val="32"/>
      <w:szCs w:val="22"/>
      <w:lang w:val="en-US" w:eastAsia="zh-CN" w:bidi="ar-SA"/>
    </w:rPr>
  </w:style>
  <w:style w:type="paragraph" w:customStyle="1" w:styleId="198">
    <w:name w:val="修订3"/>
    <w:hidden/>
    <w:semiHidden/>
    <w:qFormat/>
    <w:uiPriority w:val="99"/>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a&#39033;&#30446;\&#38902;&#20851;&#36130;&#23616;2019&#24180;&#24230;&#37325;&#28857;&#32489;&#25928;&#35780;&#20215;\&#39033;&#30446;&#25104;&#26524;\&#31038;&#20445;&#23616;\V0.1%20&#38902;&#20851;&#24066;2019&#24180;&#24230;&#20225;&#19994;&#20851;&#38381;&#30772;&#20135;&#34917;&#21161;&#39033;&#30446;&#35780;&#20998;.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a&#39033;&#30446;\&#38902;&#20851;&#36130;&#23616;2019&#24180;&#24230;&#37325;&#28857;&#32489;&#25928;&#35780;&#20215;\&#39033;&#30446;&#25104;&#26524;\&#31038;&#20445;&#23616;\V0.1%20&#38902;&#20851;&#24066;2019&#24180;&#24230;&#20225;&#19994;&#20851;&#38381;&#30772;&#20135;&#34917;&#21161;&#39033;&#30446;&#35780;&#2099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1" i="0" u="none" strike="noStrike" kern="1200" spc="0" baseline="0">
                <a:solidFill>
                  <a:schemeClr val="tx1"/>
                </a:solidFill>
                <a:latin typeface="+mn-lt"/>
                <a:ea typeface="+mn-ea"/>
                <a:cs typeface="+mn-cs"/>
              </a:defRPr>
            </a:pPr>
            <a:r>
              <a:rPr lang="zh-CN" altLang="en-US" b="1">
                <a:solidFill>
                  <a:schemeClr val="tx1"/>
                </a:solidFill>
              </a:rPr>
              <a:t>项目投入各指标得分率</a:t>
            </a:r>
            <a:endParaRPr lang="zh-CN" altLang="en-US" b="1">
              <a:solidFill>
                <a:schemeClr val="tx1"/>
              </a:solidFill>
            </a:endParaRPr>
          </a:p>
        </c:rich>
      </c:tx>
      <c:layout/>
      <c:overlay val="0"/>
      <c:spPr>
        <a:noFill/>
        <a:ln>
          <a:noFill/>
        </a:ln>
        <a:effectLst/>
      </c:spPr>
    </c:title>
    <c:autoTitleDeleted val="0"/>
    <c:plotArea>
      <c:layout/>
      <c:barChart>
        <c:barDir val="bar"/>
        <c:grouping val="clustered"/>
        <c:varyColors val="0"/>
        <c:ser>
          <c:idx val="0"/>
          <c:order val="0"/>
          <c:tx>
            <c:strRef>
              <c:f>得分率</c:f>
              <c:strCache>
                <c:ptCount val="1"/>
                <c:pt idx="0">
                  <c:v>得分率</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bg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Sheet1!$G$2:$H$6</c:f>
              <c:multiLvlStrCache>
                <c:ptCount val="5"/>
                <c:lvl>
                  <c:pt idx="0">
                    <c:v>资金分配</c:v>
                  </c:pt>
                  <c:pt idx="1">
                    <c:v>资金到位</c:v>
                  </c:pt>
                  <c:pt idx="2">
                    <c:v>保障措施</c:v>
                  </c:pt>
                  <c:pt idx="3">
                    <c:v>目标设置</c:v>
                  </c:pt>
                  <c:pt idx="4">
                    <c:v>论证决策</c:v>
                  </c:pt>
                </c:lvl>
                <c:lvl>
                  <c:pt idx="0">
                    <c:v>资金落实</c:v>
                  </c:pt>
                  <c:pt idx="2">
                    <c:v>项目立项</c:v>
                  </c:pt>
                </c:lvl>
              </c:multiLvlStrCache>
            </c:multiLvlStrRef>
          </c:cat>
          <c:val>
            <c:numRef>
              <c:f>Sheet1!$I$2:$I$6</c:f>
              <c:numCache>
                <c:formatCode>0.00%</c:formatCode>
                <c:ptCount val="5"/>
                <c:pt idx="0">
                  <c:v>1</c:v>
                </c:pt>
                <c:pt idx="1">
                  <c:v>1</c:v>
                </c:pt>
                <c:pt idx="2">
                  <c:v>1</c:v>
                </c:pt>
                <c:pt idx="3">
                  <c:v>0.6667</c:v>
                </c:pt>
                <c:pt idx="4">
                  <c:v>0.75</c:v>
                </c:pt>
              </c:numCache>
            </c:numRef>
          </c:val>
        </c:ser>
        <c:dLbls>
          <c:showLegendKey val="0"/>
          <c:showVal val="1"/>
          <c:showCatName val="0"/>
          <c:showSerName val="0"/>
          <c:showPercent val="0"/>
          <c:showBubbleSize val="0"/>
        </c:dLbls>
        <c:gapWidth val="182"/>
        <c:axId val="551777360"/>
        <c:axId val="556678512"/>
      </c:barChart>
      <c:catAx>
        <c:axId val="551777360"/>
        <c:scaling>
          <c:orientation val="minMax"/>
        </c:scaling>
        <c:delete val="0"/>
        <c:axPos val="l"/>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ea"/>
                <a:ea typeface="+mn-ea"/>
                <a:cs typeface="+mn-cs"/>
              </a:defRPr>
            </a:pPr>
          </a:p>
        </c:txPr>
        <c:crossAx val="556678512"/>
        <c:crosses val="autoZero"/>
        <c:auto val="1"/>
        <c:lblAlgn val="ctr"/>
        <c:lblOffset val="100"/>
        <c:noMultiLvlLbl val="0"/>
      </c:catAx>
      <c:valAx>
        <c:axId val="556678512"/>
        <c:scaling>
          <c:orientation val="minMax"/>
          <c:max val="1"/>
        </c:scaling>
        <c:delete val="0"/>
        <c:axPos val="b"/>
        <c:numFmt formatCode="0.00%" sourceLinked="1"/>
        <c:majorTickMark val="out"/>
        <c:minorTickMark val="in"/>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551777360"/>
        <c:crosses val="autoZero"/>
        <c:crossBetween val="between"/>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1" i="0" u="none" strike="noStrike" kern="1200" spc="0" baseline="0">
                <a:solidFill>
                  <a:schemeClr val="tx1"/>
                </a:solidFill>
                <a:latin typeface="+mn-lt"/>
                <a:ea typeface="+mn-ea"/>
                <a:cs typeface="+mn-cs"/>
              </a:defRPr>
            </a:pPr>
            <a:r>
              <a:rPr lang="zh-CN" altLang="en-US" b="1">
                <a:solidFill>
                  <a:schemeClr val="tx1"/>
                </a:solidFill>
              </a:rPr>
              <a:t>项目过程</a:t>
            </a:r>
            <a:r>
              <a:rPr lang="zh-CN" altLang="zh-CN" sz="1400" b="1" i="0" u="none" strike="noStrike" baseline="0">
                <a:effectLst/>
              </a:rPr>
              <a:t>各指标得分率</a:t>
            </a:r>
            <a:endParaRPr lang="zh-CN" altLang="en-US" b="1">
              <a:solidFill>
                <a:schemeClr val="tx1"/>
              </a:solidFill>
            </a:endParaRPr>
          </a:p>
        </c:rich>
      </c:tx>
      <c:layout/>
      <c:overlay val="0"/>
      <c:spPr>
        <a:noFill/>
        <a:ln>
          <a:noFill/>
        </a:ln>
        <a:effectLst/>
      </c:spPr>
    </c:title>
    <c:autoTitleDeleted val="0"/>
    <c:plotArea>
      <c:layout>
        <c:manualLayout>
          <c:layoutTarget val="inner"/>
          <c:xMode val="edge"/>
          <c:yMode val="edge"/>
          <c:x val="0.160583394063984"/>
          <c:y val="0.176851851851852"/>
          <c:w val="0.792897051790682"/>
          <c:h val="0.637045056867891"/>
        </c:manualLayout>
      </c:layout>
      <c:barChart>
        <c:barDir val="bar"/>
        <c:grouping val="clustered"/>
        <c:varyColors val="0"/>
        <c:ser>
          <c:idx val="0"/>
          <c:order val="0"/>
          <c:tx>
            <c:strRef>
              <c:f>得分率</c:f>
              <c:strCache>
                <c:ptCount val="1"/>
                <c:pt idx="0">
                  <c:v>得分率</c:v>
                </c:pt>
              </c:strCache>
            </c:strRef>
          </c:tx>
          <c:spPr>
            <a:solidFill>
              <a:schemeClr val="accent1"/>
            </a:solidFill>
            <a:ln>
              <a:noFill/>
            </a:ln>
            <a:effectLst/>
          </c:spPr>
          <c:invertIfNegative val="0"/>
          <c:dLbls>
            <c:dLbl>
              <c:idx val="3"/>
              <c:layout/>
              <c:tx>
                <c:rich>
                  <a:bodyPr rot="0" spcFirstLastPara="1" vertOverflow="ellipsis" vert="horz" wrap="square" lIns="38100" tIns="19050" rIns="38100" bIns="19050" anchor="ctr" anchorCtr="1">
                    <a:noAutofit/>
                  </a:bodyPr>
                  <a:lstStyle/>
                  <a:p>
                    <a:pPr>
                      <a:defRPr lang="zh-CN" sz="900" b="0" i="0" u="none" strike="noStrike" kern="1200" baseline="0">
                        <a:solidFill>
                          <a:schemeClr val="bg1"/>
                        </a:solidFill>
                        <a:latin typeface="+mn-lt"/>
                        <a:ea typeface="+mn-ea"/>
                        <a:cs typeface="+mn-cs"/>
                      </a:defRPr>
                    </a:pPr>
                    <a:r>
                      <a:rPr lang="en-US" altLang="zh-CN"/>
                      <a:t>97.16%</a:t>
                    </a:r>
                    <a:endParaRPr lang="en-US" altLang="zh-CN"/>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chemeClr val="bg1"/>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bg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multiLvlStrRef>
              <c:f>Sheet1!$G$7:$H$10</c:f>
              <c:multiLvlStrCache>
                <c:ptCount val="4"/>
                <c:lvl>
                  <c:pt idx="0">
                    <c:v>管理情况</c:v>
                  </c:pt>
                  <c:pt idx="1">
                    <c:v>实施程序</c:v>
                  </c:pt>
                  <c:pt idx="2">
                    <c:v>支出规范性</c:v>
                  </c:pt>
                  <c:pt idx="3">
                    <c:v>资金支付</c:v>
                  </c:pt>
                </c:lvl>
                <c:lvl>
                  <c:pt idx="0">
                    <c:v>事项管理</c:v>
                  </c:pt>
                  <c:pt idx="2">
                    <c:v>资金管理</c:v>
                  </c:pt>
                </c:lvl>
              </c:multiLvlStrCache>
            </c:multiLvlStrRef>
          </c:cat>
          <c:val>
            <c:numRef>
              <c:f>Sheet1!$I$7:$I$10</c:f>
              <c:numCache>
                <c:formatCode>0.00%</c:formatCode>
                <c:ptCount val="4"/>
                <c:pt idx="0">
                  <c:v>0.5</c:v>
                </c:pt>
                <c:pt idx="1">
                  <c:v>0.5</c:v>
                </c:pt>
                <c:pt idx="2">
                  <c:v>0.9767</c:v>
                </c:pt>
                <c:pt idx="3">
                  <c:v>0.9717</c:v>
                </c:pt>
              </c:numCache>
            </c:numRef>
          </c:val>
        </c:ser>
        <c:dLbls>
          <c:showLegendKey val="0"/>
          <c:showVal val="1"/>
          <c:showCatName val="0"/>
          <c:showSerName val="0"/>
          <c:showPercent val="0"/>
          <c:showBubbleSize val="0"/>
        </c:dLbls>
        <c:gapWidth val="182"/>
        <c:axId val="558006800"/>
        <c:axId val="555672736"/>
      </c:barChart>
      <c:catAx>
        <c:axId val="558006800"/>
        <c:scaling>
          <c:orientation val="minMax"/>
        </c:scaling>
        <c:delete val="0"/>
        <c:axPos val="l"/>
        <c:numFmt formatCode="General" sourceLinked="1"/>
        <c:majorTickMark val="none"/>
        <c:minorTickMark val="none"/>
        <c:tickLblPos val="nextTo"/>
        <c:spPr>
          <a:noFill/>
          <a:ln w="9525" cap="flat" cmpd="sng" algn="ctr">
            <a:solidFill>
              <a:sysClr val="windowText" lastClr="000000"/>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555672736"/>
        <c:crosses val="autoZero"/>
        <c:auto val="1"/>
        <c:lblAlgn val="ctr"/>
        <c:lblOffset val="100"/>
        <c:noMultiLvlLbl val="0"/>
      </c:catAx>
      <c:valAx>
        <c:axId val="555672736"/>
        <c:scaling>
          <c:orientation val="minMax"/>
          <c:max val="1"/>
        </c:scaling>
        <c:delete val="0"/>
        <c:axPos val="b"/>
        <c:numFmt formatCode="0.00%" sourceLinked="1"/>
        <c:majorTickMark val="out"/>
        <c:minorTickMark val="in"/>
        <c:tickLblPos val="nextTo"/>
        <c:spPr>
          <a:noFill/>
          <a:ln w="6350" cap="flat" cmpd="sng" algn="ctr">
            <a:solidFill>
              <a:sysClr val="windowText" lastClr="000000"/>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558006800"/>
        <c:crosses val="autoZero"/>
        <c:crossBetween val="between"/>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ysClr val="windowText" lastClr="000000"/>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1" i="0" u="none" strike="noStrike" kern="1200" spc="0" baseline="0">
                <a:solidFill>
                  <a:schemeClr val="tx1"/>
                </a:solidFill>
                <a:latin typeface="+mn-lt"/>
                <a:ea typeface="+mn-ea"/>
                <a:cs typeface="+mn-cs"/>
              </a:defRPr>
            </a:pPr>
            <a:r>
              <a:rPr lang="zh-CN" altLang="en-US" b="1">
                <a:solidFill>
                  <a:schemeClr val="tx1"/>
                </a:solidFill>
              </a:rPr>
              <a:t>项目产出</a:t>
            </a:r>
            <a:r>
              <a:rPr lang="zh-CN" altLang="zh-CN" sz="1400" b="1" i="0" u="none" strike="noStrike" baseline="0">
                <a:effectLst/>
              </a:rPr>
              <a:t>各指标得分率</a:t>
            </a:r>
            <a:endParaRPr lang="zh-CN" altLang="en-US" b="1">
              <a:solidFill>
                <a:schemeClr val="tx1"/>
              </a:solidFill>
            </a:endParaRPr>
          </a:p>
        </c:rich>
      </c:tx>
      <c:layout/>
      <c:overlay val="0"/>
      <c:spPr>
        <a:noFill/>
        <a:ln>
          <a:noFill/>
        </a:ln>
        <a:effectLst/>
      </c:spPr>
    </c:title>
    <c:autoTitleDeleted val="0"/>
    <c:plotArea>
      <c:layout/>
      <c:barChart>
        <c:barDir val="bar"/>
        <c:grouping val="clustered"/>
        <c:varyColors val="0"/>
        <c:ser>
          <c:idx val="0"/>
          <c:order val="0"/>
          <c:tx>
            <c:strRef>
              <c:f>得分率</c:f>
              <c:strCache>
                <c:ptCount val="1"/>
                <c:pt idx="0">
                  <c:v>得分率</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bg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Sheet1!$G$11:$H$14</c:f>
              <c:multiLvlStrCache>
                <c:ptCount val="4"/>
                <c:lvl>
                  <c:pt idx="0">
                    <c:v>完成质量</c:v>
                  </c:pt>
                  <c:pt idx="1">
                    <c:v>完成进度</c:v>
                  </c:pt>
                  <c:pt idx="2">
                    <c:v>成本控制</c:v>
                  </c:pt>
                  <c:pt idx="3">
                    <c:v>预算控制</c:v>
                  </c:pt>
                </c:lvl>
                <c:lvl>
                  <c:pt idx="0">
                    <c:v>效率性</c:v>
                  </c:pt>
                  <c:pt idx="2">
                    <c:v>经济性</c:v>
                  </c:pt>
                </c:lvl>
              </c:multiLvlStrCache>
            </c:multiLvlStrRef>
          </c:cat>
          <c:val>
            <c:numRef>
              <c:f>Sheet1!$I$11:$I$14</c:f>
              <c:numCache>
                <c:formatCode>0.00%</c:formatCode>
                <c:ptCount val="4"/>
                <c:pt idx="0">
                  <c:v>1</c:v>
                </c:pt>
                <c:pt idx="1">
                  <c:v>1</c:v>
                </c:pt>
                <c:pt idx="2">
                  <c:v>1</c:v>
                </c:pt>
                <c:pt idx="3">
                  <c:v>1</c:v>
                </c:pt>
              </c:numCache>
            </c:numRef>
          </c:val>
        </c:ser>
        <c:dLbls>
          <c:showLegendKey val="0"/>
          <c:showVal val="1"/>
          <c:showCatName val="0"/>
          <c:showSerName val="0"/>
          <c:showPercent val="0"/>
          <c:showBubbleSize val="0"/>
        </c:dLbls>
        <c:gapWidth val="182"/>
        <c:axId val="555265664"/>
        <c:axId val="554223120"/>
      </c:barChart>
      <c:catAx>
        <c:axId val="555265664"/>
        <c:scaling>
          <c:orientation val="minMax"/>
        </c:scaling>
        <c:delete val="0"/>
        <c:axPos val="l"/>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554223120"/>
        <c:crosses val="autoZero"/>
        <c:auto val="1"/>
        <c:lblAlgn val="ctr"/>
        <c:lblOffset val="100"/>
        <c:noMultiLvlLbl val="0"/>
      </c:catAx>
      <c:valAx>
        <c:axId val="554223120"/>
        <c:scaling>
          <c:orientation val="minMax"/>
          <c:max val="1"/>
        </c:scaling>
        <c:delete val="0"/>
        <c:axPos val="b"/>
        <c:numFmt formatCode="0.00%" sourceLinked="1"/>
        <c:majorTickMark val="out"/>
        <c:minorTickMark val="out"/>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555265664"/>
        <c:crosses val="autoZero"/>
        <c:crossBetween val="between"/>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1" i="0" u="none" strike="noStrike" kern="1200" spc="0" baseline="0">
                <a:solidFill>
                  <a:schemeClr val="tx1"/>
                </a:solidFill>
                <a:latin typeface="+mn-lt"/>
                <a:ea typeface="+mn-ea"/>
                <a:cs typeface="+mn-cs"/>
              </a:defRPr>
            </a:pPr>
            <a:r>
              <a:rPr lang="zh-CN" altLang="en-US" b="1">
                <a:solidFill>
                  <a:schemeClr val="tx1"/>
                </a:solidFill>
              </a:rPr>
              <a:t>项目效益</a:t>
            </a:r>
            <a:r>
              <a:rPr lang="zh-CN" altLang="zh-CN" sz="1400" b="1" i="0" u="none" strike="noStrike" baseline="0">
                <a:effectLst/>
              </a:rPr>
              <a:t>各指标得分率</a:t>
            </a:r>
            <a:endParaRPr lang="zh-CN" altLang="en-US" b="1">
              <a:solidFill>
                <a:schemeClr val="tx1"/>
              </a:solidFill>
            </a:endParaRPr>
          </a:p>
        </c:rich>
      </c:tx>
      <c:layout/>
      <c:overlay val="0"/>
      <c:spPr>
        <a:noFill/>
        <a:ln>
          <a:noFill/>
        </a:ln>
        <a:effectLst/>
      </c:spPr>
    </c:title>
    <c:autoTitleDeleted val="0"/>
    <c:plotArea>
      <c:layout/>
      <c:barChart>
        <c:barDir val="bar"/>
        <c:grouping val="clustered"/>
        <c:varyColors val="0"/>
        <c:ser>
          <c:idx val="0"/>
          <c:order val="0"/>
          <c:tx>
            <c:strRef>
              <c:f>得分率</c:f>
              <c:strCache>
                <c:ptCount val="1"/>
                <c:pt idx="0">
                  <c:v>得分率</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bg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Sheet1!$G$15:$H$18</c:f>
              <c:multiLvlStrCache>
                <c:ptCount val="4"/>
                <c:lvl>
                  <c:pt idx="0">
                    <c:v>满意度</c:v>
                  </c:pt>
                  <c:pt idx="1">
                    <c:v>可持续发展</c:v>
                  </c:pt>
                  <c:pt idx="2">
                    <c:v>社会效益</c:v>
                  </c:pt>
                  <c:pt idx="3">
                    <c:v>经济效益</c:v>
                  </c:pt>
                </c:lvl>
                <c:lvl>
                  <c:pt idx="0">
                    <c:v>公平性</c:v>
                  </c:pt>
                  <c:pt idx="1">
                    <c:v>效果性</c:v>
                  </c:pt>
                </c:lvl>
              </c:multiLvlStrCache>
            </c:multiLvlStrRef>
          </c:cat>
          <c:val>
            <c:numRef>
              <c:f>Sheet1!$I$15:$I$18</c:f>
              <c:numCache>
                <c:formatCode>0.00%</c:formatCode>
                <c:ptCount val="4"/>
                <c:pt idx="0">
                  <c:v>0.8</c:v>
                </c:pt>
                <c:pt idx="1">
                  <c:v>0.6</c:v>
                </c:pt>
                <c:pt idx="2">
                  <c:v>0.8667</c:v>
                </c:pt>
                <c:pt idx="3">
                  <c:v>0.6</c:v>
                </c:pt>
              </c:numCache>
            </c:numRef>
          </c:val>
        </c:ser>
        <c:dLbls>
          <c:showLegendKey val="0"/>
          <c:showVal val="1"/>
          <c:showCatName val="0"/>
          <c:showSerName val="0"/>
          <c:showPercent val="0"/>
          <c:showBubbleSize val="0"/>
        </c:dLbls>
        <c:gapWidth val="182"/>
        <c:axId val="585553888"/>
        <c:axId val="473822896"/>
      </c:barChart>
      <c:catAx>
        <c:axId val="585553888"/>
        <c:scaling>
          <c:orientation val="minMax"/>
        </c:scaling>
        <c:delete val="0"/>
        <c:axPos val="l"/>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473822896"/>
        <c:crosses val="autoZero"/>
        <c:auto val="1"/>
        <c:lblAlgn val="ctr"/>
        <c:lblOffset val="100"/>
        <c:noMultiLvlLbl val="0"/>
      </c:catAx>
      <c:valAx>
        <c:axId val="473822896"/>
        <c:scaling>
          <c:orientation val="minMax"/>
        </c:scaling>
        <c:delete val="0"/>
        <c:axPos val="b"/>
        <c:numFmt formatCode="0.00%" sourceLinked="1"/>
        <c:majorTickMark val="out"/>
        <c:minorTickMark val="in"/>
        <c:tickLblPos val="nextTo"/>
        <c:spPr>
          <a:noFill/>
          <a:ln>
            <a:solidFill>
              <a:sysClr val="windowText" lastClr="000000"/>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585553888"/>
        <c:crosses val="autoZero"/>
        <c:crossBetween val="between"/>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226E1C-7AB2-4996-BB39-6DE65ACBBE24}">
  <ds:schemaRefs/>
</ds:datastoreItem>
</file>

<file path=docProps/app.xml><?xml version="1.0" encoding="utf-8"?>
<Properties xmlns="http://schemas.openxmlformats.org/officeDocument/2006/extended-properties" xmlns:vt="http://schemas.openxmlformats.org/officeDocument/2006/docPropsVTypes">
  <Template>Normal</Template>
  <Company>MPGROUP</Company>
  <Pages>41</Pages>
  <Words>3023</Words>
  <Characters>17233</Characters>
  <Lines>143</Lines>
  <Paragraphs>40</Paragraphs>
  <TotalTime>4</TotalTime>
  <ScaleCrop>false</ScaleCrop>
  <LinksUpToDate>false</LinksUpToDate>
  <CharactersWithSpaces>20216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2020-07-07T02:12:00Z</dcterms:created>
  <dc:creator>周胜</dc:creator>
  <cp:lastModifiedBy>Tina申</cp:lastModifiedBy>
  <cp:lastPrinted>2019-12-04T01:25:00Z</cp:lastPrinted>
  <dcterms:modified xsi:type="dcterms:W3CDTF">2020-12-01T01:15:14Z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