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napToGrid/>
        <w:spacing w:line="240" w:lineRule="auto"/>
        <w:ind w:firstLine="0" w:firstLineChars="0"/>
        <w:jc w:val="center"/>
        <w:rPr>
          <w:rFonts w:ascii="Times New Roman" w:hAnsi="Times New Roman" w:eastAsia="方正小标宋简体" w:cs="Times New Roman"/>
          <w:color w:val="000000" w:themeColor="text1"/>
          <w:sz w:val="52"/>
          <w:szCs w:val="52"/>
          <w14:textFill>
            <w14:solidFill>
              <w14:schemeClr w14:val="tx1"/>
            </w14:solidFill>
          </w14:textFill>
        </w:rPr>
      </w:pPr>
    </w:p>
    <w:p>
      <w:pPr>
        <w:snapToGrid/>
        <w:spacing w:line="240" w:lineRule="auto"/>
        <w:ind w:firstLine="0" w:firstLineChars="0"/>
        <w:jc w:val="center"/>
        <w:rPr>
          <w:rFonts w:ascii="Times New Roman" w:hAnsi="Times New Roman" w:eastAsia="方正小标宋简体" w:cs="Times New Roman"/>
          <w:color w:val="000000" w:themeColor="text1"/>
          <w:sz w:val="52"/>
          <w:szCs w:val="52"/>
          <w14:textFill>
            <w14:solidFill>
              <w14:schemeClr w14:val="tx1"/>
            </w14:solidFill>
          </w14:textFill>
        </w:rPr>
      </w:pPr>
    </w:p>
    <w:p>
      <w:pPr>
        <w:snapToGrid/>
        <w:spacing w:line="240" w:lineRule="auto"/>
        <w:ind w:firstLine="0" w:firstLineChars="0"/>
        <w:jc w:val="center"/>
        <w:rPr>
          <w:rFonts w:ascii="Times New Roman" w:hAnsi="Times New Roman" w:eastAsia="方正小标宋简体" w:cs="Times New Roman"/>
          <w:color w:val="000000" w:themeColor="text1"/>
          <w:sz w:val="52"/>
          <w:szCs w:val="52"/>
          <w14:textFill>
            <w14:solidFill>
              <w14:schemeClr w14:val="tx1"/>
            </w14:solidFill>
          </w14:textFill>
        </w:rPr>
      </w:pPr>
    </w:p>
    <w:p>
      <w:pPr>
        <w:snapToGrid/>
        <w:spacing w:line="240" w:lineRule="auto"/>
        <w:ind w:firstLine="0" w:firstLineChars="0"/>
        <w:jc w:val="center"/>
        <w:rPr>
          <w:rFonts w:ascii="Times New Roman" w:hAnsi="Times New Roman" w:eastAsia="方正小标宋简体" w:cs="Times New Roman"/>
          <w:color w:val="000000" w:themeColor="text1"/>
          <w:sz w:val="52"/>
          <w:szCs w:val="52"/>
          <w14:textFill>
            <w14:solidFill>
              <w14:schemeClr w14:val="tx1"/>
            </w14:solidFill>
          </w14:textFill>
        </w:rPr>
      </w:pPr>
    </w:p>
    <w:p>
      <w:pPr>
        <w:snapToGrid/>
        <w:spacing w:line="240" w:lineRule="auto"/>
        <w:ind w:firstLine="0" w:firstLineChars="0"/>
        <w:jc w:val="center"/>
        <w:rPr>
          <w:rFonts w:ascii="Times New Roman" w:hAnsi="Times New Roman" w:eastAsia="方正小标宋简体" w:cs="Times New Roman"/>
          <w:b/>
          <w:color w:val="000000" w:themeColor="text1"/>
          <w:sz w:val="52"/>
          <w:szCs w:val="52"/>
          <w14:textFill>
            <w14:solidFill>
              <w14:schemeClr w14:val="tx1"/>
            </w14:solidFill>
          </w14:textFill>
        </w:rPr>
      </w:pPr>
      <w:bookmarkStart w:id="0" w:name="_Hlk19625411"/>
      <w:r>
        <w:rPr>
          <w:rFonts w:hint="eastAsia" w:ascii="Times New Roman" w:hAnsi="Times New Roman" w:eastAsia="方正小标宋简体" w:cs="Times New Roman"/>
          <w:b/>
          <w:color w:val="000000" w:themeColor="text1"/>
          <w:sz w:val="52"/>
          <w:szCs w:val="52"/>
          <w14:textFill>
            <w14:solidFill>
              <w14:schemeClr w14:val="tx1"/>
            </w14:solidFill>
          </w14:textFill>
        </w:rPr>
        <w:t>韶关市2</w:t>
      </w:r>
      <w:r>
        <w:rPr>
          <w:rFonts w:ascii="Times New Roman" w:hAnsi="Times New Roman" w:eastAsia="方正小标宋简体" w:cs="Times New Roman"/>
          <w:b/>
          <w:color w:val="000000" w:themeColor="text1"/>
          <w:sz w:val="52"/>
          <w:szCs w:val="52"/>
          <w14:textFill>
            <w14:solidFill>
              <w14:schemeClr w14:val="tx1"/>
            </w14:solidFill>
          </w14:textFill>
        </w:rPr>
        <w:t>019</w:t>
      </w:r>
      <w:r>
        <w:rPr>
          <w:rFonts w:hint="eastAsia" w:ascii="Times New Roman" w:hAnsi="Times New Roman" w:eastAsia="方正小标宋简体" w:cs="Times New Roman"/>
          <w:b/>
          <w:color w:val="000000" w:themeColor="text1"/>
          <w:sz w:val="52"/>
          <w:szCs w:val="52"/>
          <w14:textFill>
            <w14:solidFill>
              <w14:schemeClr w14:val="tx1"/>
            </w14:solidFill>
          </w14:textFill>
        </w:rPr>
        <w:t>年度全市科技创新</w:t>
      </w:r>
    </w:p>
    <w:p>
      <w:pPr>
        <w:snapToGrid/>
        <w:spacing w:line="240" w:lineRule="auto"/>
        <w:ind w:firstLine="0" w:firstLineChars="0"/>
        <w:jc w:val="center"/>
        <w:rPr>
          <w:rFonts w:ascii="Times New Roman" w:hAnsi="Times New Roman" w:eastAsia="方正小标宋简体" w:cs="Times New Roman"/>
          <w:b/>
          <w:color w:val="000000" w:themeColor="text1"/>
          <w:sz w:val="52"/>
          <w:szCs w:val="52"/>
          <w14:textFill>
            <w14:solidFill>
              <w14:schemeClr w14:val="tx1"/>
            </w14:solidFill>
          </w14:textFill>
        </w:rPr>
      </w:pPr>
    </w:p>
    <w:p>
      <w:pPr>
        <w:snapToGrid/>
        <w:spacing w:line="240" w:lineRule="auto"/>
        <w:ind w:firstLine="0" w:firstLineChars="0"/>
        <w:jc w:val="center"/>
        <w:rPr>
          <w:rFonts w:ascii="Times New Roman" w:hAnsi="Times New Roman" w:eastAsia="方正小标宋简体" w:cs="Times New Roman"/>
          <w:b/>
          <w:color w:val="000000" w:themeColor="text1"/>
          <w:sz w:val="52"/>
          <w:szCs w:val="52"/>
          <w14:textFill>
            <w14:solidFill>
              <w14:schemeClr w14:val="tx1"/>
            </w14:solidFill>
          </w14:textFill>
        </w:rPr>
      </w:pPr>
      <w:r>
        <w:rPr>
          <w:rFonts w:ascii="Times New Roman" w:hAnsi="Times New Roman" w:eastAsia="方正小标宋简体" w:cs="Times New Roman"/>
          <w:b/>
          <w:color w:val="000000" w:themeColor="text1"/>
          <w:sz w:val="52"/>
          <w:szCs w:val="52"/>
          <w14:textFill>
            <w14:solidFill>
              <w14:schemeClr w14:val="tx1"/>
            </w14:solidFill>
          </w14:textFill>
        </w:rPr>
        <w:t>项目</w:t>
      </w:r>
      <w:r>
        <w:rPr>
          <w:rFonts w:hint="eastAsia" w:ascii="Times New Roman" w:hAnsi="Times New Roman" w:eastAsia="方正小标宋简体" w:cs="Times New Roman"/>
          <w:b/>
          <w:color w:val="000000" w:themeColor="text1"/>
          <w:sz w:val="52"/>
          <w:szCs w:val="52"/>
          <w14:textFill>
            <w14:solidFill>
              <w14:schemeClr w14:val="tx1"/>
            </w14:solidFill>
          </w14:textFill>
        </w:rPr>
        <w:t>绩效评价报告</w:t>
      </w:r>
      <w:bookmarkEnd w:id="0"/>
    </w:p>
    <w:p>
      <w:pPr>
        <w:ind w:firstLine="643"/>
        <w:rPr>
          <w:rFonts w:ascii="Times New Roman" w:hAnsi="Times New Roman"/>
          <w:b/>
          <w:color w:val="000000" w:themeColor="text1"/>
          <w:szCs w:val="32"/>
          <w14:textFill>
            <w14:solidFill>
              <w14:schemeClr w14:val="tx1"/>
            </w14:solidFill>
          </w14:textFill>
        </w:rPr>
      </w:pPr>
    </w:p>
    <w:p>
      <w:pPr>
        <w:ind w:firstLine="643"/>
        <w:rPr>
          <w:rFonts w:ascii="Times New Roman" w:hAnsi="Times New Roman"/>
          <w:b/>
          <w:color w:val="000000" w:themeColor="text1"/>
          <w:szCs w:val="32"/>
          <w14:textFill>
            <w14:solidFill>
              <w14:schemeClr w14:val="tx1"/>
            </w14:solidFill>
          </w14:textFill>
        </w:rPr>
      </w:pPr>
    </w:p>
    <w:p>
      <w:pPr>
        <w:ind w:firstLine="643"/>
        <w:rPr>
          <w:rFonts w:ascii="Times New Roman" w:hAnsi="Times New Roman"/>
          <w:b/>
          <w:color w:val="000000" w:themeColor="text1"/>
          <w:szCs w:val="32"/>
          <w14:textFill>
            <w14:solidFill>
              <w14:schemeClr w14:val="tx1"/>
            </w14:solidFill>
          </w14:textFill>
        </w:rPr>
      </w:pPr>
    </w:p>
    <w:p>
      <w:pPr>
        <w:ind w:firstLine="643"/>
        <w:rPr>
          <w:rFonts w:ascii="Times New Roman" w:hAnsi="Times New Roman"/>
          <w:b/>
          <w:color w:val="000000" w:themeColor="text1"/>
          <w:szCs w:val="32"/>
          <w14:textFill>
            <w14:solidFill>
              <w14:schemeClr w14:val="tx1"/>
            </w14:solidFill>
          </w14:textFill>
        </w:rPr>
      </w:pPr>
    </w:p>
    <w:p>
      <w:pPr>
        <w:ind w:firstLine="643"/>
        <w:rPr>
          <w:rFonts w:ascii="Times New Roman" w:hAnsi="Times New Roman"/>
          <w:b/>
          <w:color w:val="000000" w:themeColor="text1"/>
          <w:szCs w:val="32"/>
          <w14:textFill>
            <w14:solidFill>
              <w14:schemeClr w14:val="tx1"/>
            </w14:solidFill>
          </w14:textFill>
        </w:rPr>
      </w:pPr>
    </w:p>
    <w:p>
      <w:pPr>
        <w:tabs>
          <w:tab w:val="left" w:pos="3330"/>
        </w:tabs>
        <w:adjustRightInd/>
        <w:snapToGrid/>
        <w:ind w:firstLine="1132" w:firstLineChars="354"/>
        <w:jc w:val="left"/>
        <w:rPr>
          <w:rFonts w:ascii="Times New Roman" w:hAnsi="Times New Roman"/>
          <w:color w:val="000000" w:themeColor="text1"/>
          <w14:textFill>
            <w14:solidFill>
              <w14:schemeClr w14:val="tx1"/>
            </w14:solidFill>
          </w14:textFill>
        </w:rPr>
      </w:pPr>
    </w:p>
    <w:p>
      <w:pPr>
        <w:tabs>
          <w:tab w:val="left" w:pos="3330"/>
        </w:tabs>
        <w:adjustRightInd/>
        <w:snapToGrid/>
        <w:ind w:firstLine="1132" w:firstLineChars="354"/>
        <w:jc w:val="left"/>
        <w:rPr>
          <w:rFonts w:ascii="Times New Roman" w:hAnsi="Times New Roman"/>
          <w:color w:val="000000" w:themeColor="text1"/>
          <w14:textFill>
            <w14:solidFill>
              <w14:schemeClr w14:val="tx1"/>
            </w14:solidFill>
          </w14:textFill>
        </w:rPr>
      </w:pPr>
    </w:p>
    <w:p>
      <w:pPr>
        <w:widowControl/>
        <w:adjustRightInd/>
        <w:snapToGrid/>
        <w:spacing w:line="240" w:lineRule="auto"/>
        <w:ind w:firstLine="0" w:firstLineChars="0"/>
        <w:jc w:val="left"/>
        <w:rPr>
          <w:rFonts w:ascii="Times New Roman" w:hAnsi="Times New Roman"/>
          <w:b/>
          <w:color w:val="000000" w:themeColor="text1"/>
          <w:szCs w:val="32"/>
          <w:highlight w:val="red"/>
          <w14:textFill>
            <w14:solidFill>
              <w14:schemeClr w14:val="tx1"/>
            </w14:solidFill>
          </w14:textFill>
        </w:rPr>
        <w:sectPr>
          <w:headerReference r:id="rId6" w:type="first"/>
          <w:footerReference r:id="rId9" w:type="first"/>
          <w:headerReference r:id="rId4" w:type="default"/>
          <w:footerReference r:id="rId7" w:type="default"/>
          <w:headerReference r:id="rId5" w:type="even"/>
          <w:footerReference r:id="rId8" w:type="even"/>
          <w:footnotePr>
            <w:numRestart w:val="eachPage"/>
          </w:footnotePr>
          <w:pgSz w:w="11906" w:h="16838"/>
          <w:pgMar w:top="1440" w:right="1800" w:bottom="1440" w:left="1418" w:header="851" w:footer="992" w:gutter="0"/>
          <w:pgNumType w:fmt="numberInDash" w:start="1"/>
          <w:cols w:space="425" w:num="1"/>
          <w:docGrid w:type="lines" w:linePitch="312" w:charSpace="0"/>
        </w:sectPr>
      </w:pPr>
    </w:p>
    <w:sdt>
      <w:sdtPr>
        <w:rPr>
          <w:rFonts w:hint="eastAsia" w:ascii="宋体" w:hAnsi="宋体" w:eastAsia="宋体" w:cs="宋体"/>
          <w:color w:val="000000" w:themeColor="text1"/>
          <w:sz w:val="24"/>
          <w:szCs w:val="32"/>
          <w:lang w:val="zh-CN"/>
          <w14:textFill>
            <w14:solidFill>
              <w14:schemeClr w14:val="tx1"/>
            </w14:solidFill>
          </w14:textFill>
        </w:rPr>
        <w:id w:val="-1733147341"/>
        <w:docPartObj>
          <w:docPartGallery w:val="Table of Contents"/>
          <w:docPartUnique/>
        </w:docPartObj>
      </w:sdtPr>
      <w:sdtEndPr>
        <w:rPr>
          <w:rFonts w:hint="eastAsia" w:ascii="宋体" w:hAnsi="宋体" w:eastAsia="宋体" w:cs="Times New Roman"/>
          <w:bCs/>
          <w:color w:val="000000" w:themeColor="text1"/>
          <w:sz w:val="24"/>
          <w:szCs w:val="24"/>
          <w:lang w:val="zh-CN"/>
          <w14:textFill>
            <w14:solidFill>
              <w14:schemeClr w14:val="tx1"/>
            </w14:solidFill>
          </w14:textFill>
        </w:rPr>
      </w:sdtEndPr>
      <w:sdtContent>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color w:val="000000" w:themeColor="text1"/>
              <w:szCs w:val="32"/>
              <w14:textFill>
                <w14:solidFill>
                  <w14:schemeClr w14:val="tx1"/>
                </w14:solidFill>
              </w14:textFill>
            </w:rPr>
          </w:pPr>
          <w:r>
            <w:rPr>
              <w:rFonts w:hint="eastAsia" w:ascii="宋体" w:hAnsi="宋体" w:eastAsia="宋体" w:cs="宋体"/>
              <w:b/>
              <w:color w:val="000000" w:themeColor="text1"/>
              <w:sz w:val="36"/>
              <w:szCs w:val="32"/>
              <w14:textFill>
                <w14:solidFill>
                  <w14:schemeClr w14:val="tx1"/>
                </w14:solidFill>
              </w14:textFill>
            </w:rPr>
            <w:t>目  录</w:t>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TOC \o "1-2" \h \z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"_Toc53500202"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摘  要</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_Toc53500202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"_Toc53500203"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一、项目概况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- 4 -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"_Toc53500204"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（一）项目背景</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_Toc53500204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"_Toc53500205"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（二）项目实施情况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_Toc53500205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"_Toc53500206"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（三）资金到位及使用情况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_Toc53500206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"_Toc53500207"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（四）项目目标及实现情况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_Toc53500207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"_Toc53500208"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二、绩效分析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_Toc53500208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- 11 -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"_Toc53500209"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（一）项目投入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_Toc53500209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"_Toc53500210"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（二）项目过程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_Toc53500210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"_Toc53500211"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（三）项目产出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_Toc53500211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"_Toc53500212"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（四）项目效益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_Toc53500212 \h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"_Toc53500213"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三、评价结论</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_Toc53500213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- 2</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"_Toc53500214"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四、主要绩效</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- 24 -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"_Toc53500215"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五、主要问题及原因分析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- 2</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"_Toc53500216"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（一）项目缺乏总体目标，政策意图反映效果不佳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_Toc53500216 \h </w:instrText>
          </w:r>
          <w:r>
            <w:rPr>
              <w:rFonts w:hint="eastAsia" w:ascii="宋体" w:hAnsi="宋体" w:eastAsia="宋体" w:cs="宋体"/>
              <w:sz w:val="28"/>
              <w:szCs w:val="28"/>
            </w:rPr>
            <w:fldChar w:fldCharType="separate"/>
          </w:r>
          <w:r>
            <w:rPr>
              <w:rFonts w:hint="eastAsia" w:ascii="宋体" w:hAnsi="宋体" w:eastAsia="宋体" w:cs="宋体"/>
              <w:sz w:val="28"/>
              <w:szCs w:val="28"/>
            </w:rPr>
            <w:t>- 2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"_Toc53500217"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（二）子项前期准备不足，政策合力支撑作用较差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_Toc53500217 \h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"_Toc53500218"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（三）子项管理不够规范，政策目的实现程度稍弱</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_Toc53500218 \h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2"/>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"_Toc53500219" </w:instrText>
          </w:r>
          <w:r>
            <w:rPr>
              <w:rFonts w:hint="eastAsia" w:ascii="宋体" w:hAnsi="宋体" w:eastAsia="宋体" w:cs="宋体"/>
              <w:b/>
              <w:bCs/>
              <w:sz w:val="28"/>
              <w:szCs w:val="28"/>
            </w:rPr>
            <w:fldChar w:fldCharType="separate"/>
          </w:r>
          <w:r>
            <w:rPr>
              <w:rStyle w:val="38"/>
              <w:rFonts w:hint="eastAsia" w:ascii="宋体" w:hAnsi="宋体" w:eastAsia="宋体" w:cs="宋体"/>
              <w:b/>
              <w:bCs/>
              <w:sz w:val="28"/>
              <w:szCs w:val="28"/>
            </w:rPr>
            <w:t>六、对策及建议</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_Toc53500219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- 28 -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"_Toc53500220"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（一）梳理政策文件，确保绩效目标合理性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_Toc53500220 \h </w:instrText>
          </w:r>
          <w:r>
            <w:rPr>
              <w:rFonts w:hint="eastAsia" w:ascii="宋体" w:hAnsi="宋体" w:eastAsia="宋体" w:cs="宋体"/>
              <w:sz w:val="28"/>
              <w:szCs w:val="28"/>
            </w:rPr>
            <w:fldChar w:fldCharType="separate"/>
          </w:r>
          <w:r>
            <w:rPr>
              <w:rFonts w:hint="eastAsia" w:ascii="宋体" w:hAnsi="宋体" w:eastAsia="宋体" w:cs="宋体"/>
              <w:sz w:val="28"/>
              <w:szCs w:val="28"/>
            </w:rPr>
            <w:t>- 28 -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"_Toc53500221"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（二）加强前期论证，提高项目决策科学性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_Toc53500221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29</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"_Toc53500222"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（三）优化项目管理，推动项目管理规范性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_Toc53500222 \h </w:instrText>
          </w:r>
          <w:r>
            <w:rPr>
              <w:rFonts w:hint="eastAsia" w:ascii="宋体" w:hAnsi="宋体" w:eastAsia="宋体" w:cs="宋体"/>
              <w:sz w:val="28"/>
              <w:szCs w:val="28"/>
            </w:rPr>
            <w:fldChar w:fldCharType="separate"/>
          </w:r>
          <w:r>
            <w:rPr>
              <w:rFonts w:hint="eastAsia" w:ascii="宋体" w:hAnsi="宋体" w:eastAsia="宋体" w:cs="宋体"/>
              <w:sz w:val="28"/>
              <w:szCs w:val="28"/>
            </w:rPr>
            <w:t>- 30 -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"_Toc53500223"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附件1</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_Toc53500223 \h </w:instrText>
          </w:r>
          <w:r>
            <w:rPr>
              <w:rFonts w:hint="eastAsia" w:ascii="宋体" w:hAnsi="宋体" w:eastAsia="宋体" w:cs="宋体"/>
              <w:sz w:val="28"/>
              <w:szCs w:val="28"/>
            </w:rPr>
            <w:fldChar w:fldCharType="separate"/>
          </w:r>
          <w:r>
            <w:rPr>
              <w:rFonts w:hint="eastAsia" w:ascii="宋体" w:hAnsi="宋体" w:eastAsia="宋体" w:cs="宋体"/>
              <w:sz w:val="28"/>
              <w:szCs w:val="28"/>
            </w:rPr>
            <w:t>- 3</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"_Toc53500224"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附件2</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_Toc53500224 \h </w:instrText>
          </w:r>
          <w:r>
            <w:rPr>
              <w:rFonts w:hint="eastAsia" w:ascii="宋体" w:hAnsi="宋体" w:eastAsia="宋体" w:cs="宋体"/>
              <w:sz w:val="28"/>
              <w:szCs w:val="28"/>
            </w:rPr>
            <w:fldChar w:fldCharType="separate"/>
          </w:r>
          <w:r>
            <w:rPr>
              <w:rFonts w:hint="eastAsia" w:ascii="宋体" w:hAnsi="宋体" w:eastAsia="宋体" w:cs="宋体"/>
              <w:sz w:val="28"/>
              <w:szCs w:val="28"/>
            </w:rPr>
            <w:t>- 3</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6"/>
            <w:tabs>
              <w:tab w:val="right" w:leader="dot" w:pos="8296"/>
            </w:tabs>
            <w:spacing w:line="360" w:lineRule="auto"/>
            <w:ind w:left="419" w:leftChars="131" w:firstLine="232" w:firstLineChars="8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"_Toc53500225" </w:instrText>
          </w:r>
          <w:r>
            <w:rPr>
              <w:rFonts w:hint="eastAsia" w:ascii="宋体" w:hAnsi="宋体" w:eastAsia="宋体" w:cs="宋体"/>
              <w:sz w:val="28"/>
              <w:szCs w:val="28"/>
            </w:rPr>
            <w:fldChar w:fldCharType="separate"/>
          </w:r>
          <w:r>
            <w:rPr>
              <w:rStyle w:val="38"/>
              <w:rFonts w:hint="eastAsia" w:ascii="宋体" w:hAnsi="宋体" w:eastAsia="宋体" w:cs="宋体"/>
              <w:sz w:val="28"/>
              <w:szCs w:val="28"/>
            </w:rPr>
            <w:t>附件3</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_Toc53500225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39</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22"/>
            <w:spacing w:line="360" w:lineRule="auto"/>
            <w:ind w:firstLine="0" w:firstLineChars="0"/>
            <w:rPr>
              <w:rFonts w:ascii="宋体" w:hAnsi="宋体" w:eastAsia="宋体"/>
              <w:color w:val="000000" w:themeColor="text1"/>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end"/>
          </w:r>
        </w:p>
      </w:sdtContent>
    </w:sdt>
    <w:p>
      <w:pPr>
        <w:ind w:firstLine="643"/>
        <w:rPr>
          <w:rFonts w:ascii="Times New Roman" w:hAnsi="Times New Roman"/>
          <w:b/>
          <w:color w:val="000000" w:themeColor="text1"/>
          <w:szCs w:val="32"/>
          <w14:textFill>
            <w14:solidFill>
              <w14:schemeClr w14:val="tx1"/>
            </w14:solidFill>
          </w14:textFill>
        </w:rPr>
        <w:sectPr>
          <w:headerReference r:id="rId10" w:type="default"/>
          <w:footerReference r:id="rId11" w:type="default"/>
          <w:footnotePr>
            <w:numRestart w:val="eachPage"/>
          </w:footnotePr>
          <w:pgSz w:w="11906" w:h="16838"/>
          <w:pgMar w:top="1440" w:right="1800" w:bottom="1440" w:left="1800" w:header="851" w:footer="992" w:gutter="0"/>
          <w:pgNumType w:fmt="numberInDash" w:start="1"/>
          <w:cols w:space="425" w:num="1"/>
          <w:docGrid w:type="lines" w:linePitch="312" w:charSpace="0"/>
        </w:sectPr>
      </w:pPr>
    </w:p>
    <w:p>
      <w:pPr>
        <w:pStyle w:val="2"/>
        <w:ind w:firstLine="0" w:firstLineChars="0"/>
        <w:jc w:val="center"/>
        <w:rPr>
          <w:sz w:val="44"/>
        </w:rPr>
      </w:pPr>
      <w:bookmarkStart w:id="1" w:name="_Toc53500202"/>
      <w:r>
        <w:rPr>
          <w:rFonts w:hint="eastAsia"/>
          <w:sz w:val="44"/>
        </w:rPr>
        <w:t>摘  要</w:t>
      </w:r>
      <w:bookmarkEnd w:id="1"/>
    </w:p>
    <w:p>
      <w:pPr>
        <w:spacing w:line="600" w:lineRule="exact"/>
        <w:ind w:firstLine="640"/>
        <w:rPr>
          <w:rFonts w:ascii="仿宋_GB2312" w:hAnsi="Times New Roman"/>
          <w:color w:val="000000"/>
          <w:szCs w:val="32"/>
        </w:rPr>
      </w:pPr>
      <w:r>
        <w:rPr>
          <w:rFonts w:hint="eastAsia" w:ascii="仿宋_GB2312" w:hAnsi="Times New Roman"/>
          <w:color w:val="000000"/>
          <w:szCs w:val="32"/>
        </w:rPr>
        <w:t>受韶关市财政局（下称市财政局）委托，广东中大管理咨询集团股份有限公司（下称中大咨询）根据《关于2020年</w:t>
      </w:r>
      <w:r>
        <w:rPr>
          <w:rFonts w:ascii="仿宋_GB2312" w:hAnsi="Times New Roman"/>
          <w:color w:val="000000"/>
          <w:szCs w:val="32"/>
        </w:rPr>
        <w:t>预算绩效管理工作委托任务的通知</w:t>
      </w:r>
      <w:r>
        <w:rPr>
          <w:rFonts w:hint="eastAsia" w:ascii="仿宋_GB2312" w:hAnsi="Times New Roman"/>
          <w:color w:val="000000"/>
          <w:szCs w:val="32"/>
        </w:rPr>
        <w:t>》文件的有关要求，组织绩效评价工作组，对韶关市2019年</w:t>
      </w:r>
      <w:r>
        <w:rPr>
          <w:rFonts w:ascii="仿宋_GB2312" w:hAnsi="Times New Roman"/>
          <w:color w:val="000000"/>
          <w:szCs w:val="32"/>
        </w:rPr>
        <w:t>度</w:t>
      </w:r>
      <w:r>
        <w:rPr>
          <w:rFonts w:hint="eastAsia" w:ascii="仿宋_GB2312" w:hAnsi="Times New Roman"/>
          <w:color w:val="000000"/>
          <w:szCs w:val="32"/>
        </w:rPr>
        <w:t>全市科技</w:t>
      </w:r>
      <w:r>
        <w:rPr>
          <w:rFonts w:ascii="仿宋_GB2312" w:hAnsi="Times New Roman"/>
          <w:color w:val="000000"/>
          <w:szCs w:val="32"/>
        </w:rPr>
        <w:t>创新项目开展绩效评价</w:t>
      </w:r>
      <w:r>
        <w:rPr>
          <w:rFonts w:hint="eastAsia" w:ascii="仿宋_GB2312" w:hAnsi="Times New Roman"/>
          <w:color w:val="000000"/>
          <w:szCs w:val="32"/>
        </w:rPr>
        <w:t>，</w:t>
      </w:r>
      <w:bookmarkStart w:id="2" w:name="_Hlk25574400"/>
      <w:r>
        <w:rPr>
          <w:rFonts w:hint="eastAsia" w:ascii="仿宋_GB2312" w:hAnsi="Times New Roman"/>
          <w:color w:val="000000"/>
          <w:szCs w:val="32"/>
        </w:rPr>
        <w:t>本次评价基准日</w:t>
      </w:r>
      <w:bookmarkStart w:id="3" w:name="_Hlk45023350"/>
      <w:r>
        <w:rPr>
          <w:rFonts w:hint="eastAsia" w:ascii="仿宋_GB2312" w:hAnsi="Times New Roman"/>
          <w:color w:val="000000"/>
          <w:szCs w:val="32"/>
        </w:rPr>
        <w:t>为2019年</w:t>
      </w:r>
      <w:r>
        <w:rPr>
          <w:rFonts w:ascii="仿宋_GB2312" w:hAnsi="Times New Roman"/>
          <w:color w:val="000000"/>
          <w:szCs w:val="32"/>
        </w:rPr>
        <w:t>12</w:t>
      </w:r>
      <w:r>
        <w:rPr>
          <w:rFonts w:hint="eastAsia" w:ascii="仿宋_GB2312" w:hAnsi="Times New Roman"/>
          <w:color w:val="000000"/>
          <w:szCs w:val="32"/>
        </w:rPr>
        <w:t>月3</w:t>
      </w:r>
      <w:r>
        <w:rPr>
          <w:rFonts w:ascii="仿宋_GB2312" w:hAnsi="Times New Roman"/>
          <w:color w:val="000000"/>
          <w:szCs w:val="32"/>
        </w:rPr>
        <w:t>1</w:t>
      </w:r>
      <w:r>
        <w:rPr>
          <w:rFonts w:hint="eastAsia" w:ascii="仿宋_GB2312" w:hAnsi="Times New Roman"/>
          <w:color w:val="000000"/>
          <w:szCs w:val="32"/>
        </w:rPr>
        <w:t>日</w:t>
      </w:r>
      <w:bookmarkEnd w:id="2"/>
      <w:bookmarkEnd w:id="3"/>
      <w:r>
        <w:rPr>
          <w:rFonts w:hint="eastAsia" w:ascii="仿宋_GB2312" w:hAnsi="Times New Roman"/>
          <w:color w:val="000000"/>
          <w:szCs w:val="32"/>
        </w:rPr>
        <w:t>。</w:t>
      </w:r>
    </w:p>
    <w:p>
      <w:pPr>
        <w:spacing w:line="600" w:lineRule="exact"/>
        <w:ind w:firstLine="640"/>
        <w:rPr>
          <w:rFonts w:ascii="仿宋_GB2312" w:hAnsi="Times New Roman"/>
          <w:color w:val="000000"/>
          <w:szCs w:val="32"/>
        </w:rPr>
      </w:pPr>
      <w:r>
        <w:rPr>
          <w:rFonts w:hint="eastAsia" w:ascii="仿宋_GB2312" w:hAnsi="Times New Roman"/>
          <w:color w:val="000000"/>
          <w:szCs w:val="32"/>
        </w:rPr>
        <w:t>创新是引领发展的第一动力，是推动高质量发展的战略支撑。为推动</w:t>
      </w:r>
      <w:r>
        <w:rPr>
          <w:rFonts w:ascii="仿宋_GB2312" w:hAnsi="Times New Roman"/>
          <w:color w:val="000000"/>
          <w:szCs w:val="32"/>
        </w:rPr>
        <w:t>韶关市科技的全面</w:t>
      </w:r>
      <w:r>
        <w:rPr>
          <w:rFonts w:hint="eastAsia" w:ascii="仿宋_GB2312" w:hAnsi="Times New Roman"/>
          <w:color w:val="000000"/>
          <w:szCs w:val="32"/>
        </w:rPr>
        <w:t>创新</w:t>
      </w:r>
      <w:r>
        <w:rPr>
          <w:rFonts w:ascii="仿宋_GB2312" w:hAnsi="Times New Roman"/>
          <w:color w:val="000000"/>
          <w:szCs w:val="32"/>
        </w:rPr>
        <w:t>，</w:t>
      </w:r>
      <w:r>
        <w:rPr>
          <w:rFonts w:hint="eastAsia" w:ascii="仿宋_GB2312" w:hAnsi="Times New Roman"/>
          <w:color w:val="000000"/>
          <w:szCs w:val="32"/>
        </w:rPr>
        <w:t>建立并逐步完善科技服务体系，加快集聚和配置优质创新资源，韶关市人民政府修订了《韶关市科技计划项目资金管理办法》（韶府规〔2019〕11号），明确了</w:t>
      </w:r>
      <w:r>
        <w:rPr>
          <w:rFonts w:ascii="仿宋_GB2312" w:hAnsi="Times New Roman"/>
          <w:color w:val="000000"/>
          <w:szCs w:val="32"/>
        </w:rPr>
        <w:t>全市科技创新项目</w:t>
      </w:r>
      <w:r>
        <w:rPr>
          <w:rFonts w:hint="eastAsia" w:ascii="仿宋_GB2312" w:hAnsi="Times New Roman"/>
          <w:color w:val="000000"/>
          <w:szCs w:val="32"/>
        </w:rPr>
        <w:t>由韶关市科学技术局（以下简称市科技局）实施，主要支持韶关市战略性新兴产业和优势传统产业等项目。2019年全市科技创新项目共安排资金9611.70万元，包括13个支出子项及项目管理费用142.61万元，主要采用竞争性事前资助及事后奖补等方式给予支持。</w:t>
      </w:r>
    </w:p>
    <w:p>
      <w:pPr>
        <w:spacing w:line="600" w:lineRule="exact"/>
        <w:ind w:firstLine="640"/>
        <w:rPr>
          <w:rFonts w:ascii="仿宋_GB2312" w:hAnsi="Times New Roman"/>
          <w:color w:val="000000"/>
          <w:szCs w:val="32"/>
        </w:rPr>
      </w:pPr>
      <w:r>
        <w:rPr>
          <w:rFonts w:hint="eastAsia" w:ascii="仿宋_GB2312" w:hAnsi="Times New Roman"/>
          <w:color w:val="000000"/>
          <w:szCs w:val="32"/>
        </w:rPr>
        <w:t>综合评价表明，项目基本完成了相关高新技术企业和创新创业载体培育、科研成果产出、人才引进等绩效目标，项目实施有利于助推韶关市经济增长，促进科技服务体系的完善和科技创新能力的提高，营造科技创新的良好氛围。第三方综合评分</w:t>
      </w:r>
      <w:r>
        <w:rPr>
          <w:rFonts w:ascii="仿宋_GB2312" w:hAnsi="Times New Roman"/>
          <w:color w:val="000000"/>
          <w:szCs w:val="32"/>
        </w:rPr>
        <w:t>87</w:t>
      </w:r>
      <w:r>
        <w:rPr>
          <w:rFonts w:hint="eastAsia" w:ascii="仿宋_GB2312" w:hAnsi="Times New Roman"/>
          <w:color w:val="000000"/>
          <w:szCs w:val="32"/>
        </w:rPr>
        <w:t>分，绩效等级均为“良”。</w:t>
      </w:r>
    </w:p>
    <w:p>
      <w:pPr>
        <w:spacing w:line="600" w:lineRule="exact"/>
        <w:ind w:firstLine="640"/>
        <w:rPr>
          <w:rFonts w:ascii="仿宋_GB2312" w:hAnsi="Times New Roman"/>
          <w:color w:val="000000"/>
          <w:szCs w:val="32"/>
        </w:rPr>
      </w:pPr>
      <w:r>
        <w:rPr>
          <w:rFonts w:hint="eastAsia" w:ascii="仿宋_GB2312" w:hAnsi="Times New Roman"/>
          <w:color w:val="000000"/>
          <w:szCs w:val="32"/>
        </w:rPr>
        <w:t>通过绩效分析，项目整体还存在一些不足：</w:t>
      </w:r>
      <w:r>
        <w:rPr>
          <w:rFonts w:hint="eastAsia" w:ascii="仿宋_GB2312" w:hAnsi="Times New Roman"/>
          <w:b/>
          <w:color w:val="000000"/>
          <w:szCs w:val="32"/>
        </w:rPr>
        <w:t>第一，项目未设置整体绩效目标，子项绩效指标设置也缺乏效益指标，不能较好的反映政策意图。</w:t>
      </w:r>
      <w:r>
        <w:rPr>
          <w:rFonts w:hint="eastAsia" w:ascii="仿宋_GB2312" w:hAnsi="Times New Roman"/>
          <w:color w:val="000000"/>
          <w:szCs w:val="32"/>
        </w:rPr>
        <w:t>根据项目绩效自评基础信息表，各子项绩效指标设置也比较单一，大多直接以拨付资金惠及的企业个数等为绩效指标，没有体现财政资金的社会效益和经济效益。</w:t>
      </w:r>
      <w:r>
        <w:rPr>
          <w:rFonts w:hint="eastAsia" w:ascii="仿宋_GB2312" w:hAnsi="Times New Roman"/>
          <w:b/>
          <w:color w:val="000000"/>
          <w:szCs w:val="32"/>
        </w:rPr>
        <w:t>第二，部分子项目前期准备工作不充分，个别子项实施合理性不足，不利于各子项对科技创新政策形成合力支撑。</w:t>
      </w:r>
      <w:r>
        <w:rPr>
          <w:rFonts w:hint="eastAsia" w:ascii="仿宋_GB2312" w:hAnsi="Times New Roman"/>
          <w:color w:val="000000"/>
          <w:szCs w:val="32"/>
        </w:rPr>
        <w:t>一是社会发展科技专项子项目预算申报时对后续工作预测不准，导致该子项资金</w:t>
      </w:r>
      <w:r>
        <w:rPr>
          <w:rFonts w:ascii="仿宋_GB2312" w:hAnsi="Times New Roman"/>
          <w:color w:val="000000"/>
          <w:szCs w:val="32"/>
        </w:rPr>
        <w:t>支出率较低。</w:t>
      </w:r>
      <w:r>
        <w:rPr>
          <w:rFonts w:hint="eastAsia" w:ascii="仿宋_GB2312" w:hAnsi="Times New Roman"/>
          <w:color w:val="000000"/>
          <w:szCs w:val="32"/>
        </w:rPr>
        <w:t>二是企业研发市级财政补助子项目前期测算不足，导致实际奖补时资金</w:t>
      </w:r>
      <w:r>
        <w:rPr>
          <w:rFonts w:ascii="仿宋_GB2312" w:hAnsi="Times New Roman"/>
          <w:color w:val="000000"/>
          <w:szCs w:val="32"/>
        </w:rPr>
        <w:t>分配金额悬殊，不利于充分调动企业投入研发积极性。</w:t>
      </w:r>
      <w:r>
        <w:rPr>
          <w:rFonts w:hint="eastAsia" w:ascii="仿宋_GB2312" w:hAnsi="Times New Roman"/>
          <w:color w:val="000000"/>
          <w:szCs w:val="32"/>
        </w:rPr>
        <w:t>三是部分与其他部门合作的子项目，职责不够清晰，不利于项目的绩效管理。</w:t>
      </w:r>
      <w:r>
        <w:rPr>
          <w:rFonts w:hint="eastAsia" w:ascii="仿宋_GB2312" w:hAnsi="Times New Roman"/>
          <w:b/>
          <w:color w:val="000000"/>
          <w:szCs w:val="32"/>
        </w:rPr>
        <w:t>第三，项目个别子项管理实施过程中的规范性、科学性稍有不足，不利于政策目的的有效实现。</w:t>
      </w:r>
      <w:r>
        <w:rPr>
          <w:rFonts w:hint="eastAsia" w:ascii="仿宋_GB2312" w:hAnsi="Times New Roman"/>
          <w:color w:val="000000"/>
          <w:szCs w:val="32"/>
        </w:rPr>
        <w:t>一是“先进智造-新材料”创新大赛承办单位未</w:t>
      </w:r>
      <w:r>
        <w:rPr>
          <w:rFonts w:ascii="仿宋_GB2312" w:hAnsi="Times New Roman"/>
          <w:color w:val="000000"/>
          <w:szCs w:val="32"/>
        </w:rPr>
        <w:t>通过招投标</w:t>
      </w:r>
      <w:r>
        <w:rPr>
          <w:rFonts w:hint="eastAsia" w:ascii="仿宋_GB2312" w:hAnsi="Times New Roman"/>
          <w:color w:val="000000"/>
          <w:szCs w:val="32"/>
        </w:rPr>
        <w:t>、</w:t>
      </w:r>
      <w:r>
        <w:rPr>
          <w:rFonts w:ascii="仿宋_GB2312" w:hAnsi="Times New Roman"/>
          <w:color w:val="000000"/>
          <w:szCs w:val="32"/>
        </w:rPr>
        <w:t>政府购买服务</w:t>
      </w:r>
      <w:r>
        <w:rPr>
          <w:rFonts w:hint="eastAsia" w:ascii="仿宋_GB2312" w:hAnsi="Times New Roman"/>
          <w:color w:val="000000"/>
          <w:szCs w:val="32"/>
        </w:rPr>
        <w:t>等</w:t>
      </w:r>
      <w:r>
        <w:rPr>
          <w:rFonts w:ascii="仿宋_GB2312" w:hAnsi="Times New Roman"/>
          <w:color w:val="000000"/>
          <w:szCs w:val="32"/>
        </w:rPr>
        <w:t>方式进行</w:t>
      </w:r>
      <w:r>
        <w:rPr>
          <w:rFonts w:hint="eastAsia" w:ascii="仿宋_GB2312" w:hAnsi="Times New Roman"/>
          <w:color w:val="000000"/>
          <w:szCs w:val="32"/>
        </w:rPr>
        <w:t>，</w:t>
      </w:r>
      <w:r>
        <w:rPr>
          <w:rFonts w:ascii="仿宋_GB2312" w:hAnsi="Times New Roman"/>
          <w:color w:val="000000"/>
          <w:szCs w:val="32"/>
        </w:rPr>
        <w:t>选择程序不够规范</w:t>
      </w:r>
      <w:r>
        <w:rPr>
          <w:rFonts w:hint="eastAsia" w:ascii="仿宋_GB2312" w:hAnsi="Times New Roman"/>
          <w:color w:val="000000"/>
          <w:szCs w:val="32"/>
        </w:rPr>
        <w:t>。二是项目跟踪管理科学性有待加强。项目单位监管工作未形成具体方案和保留记录，收集到的材料也未妥善利用，进行分析总结。三是个别子</w:t>
      </w:r>
      <w:r>
        <w:rPr>
          <w:rFonts w:ascii="仿宋_GB2312" w:hAnsi="Times New Roman"/>
          <w:color w:val="000000"/>
          <w:szCs w:val="32"/>
        </w:rPr>
        <w:t>项目监管不足</w:t>
      </w:r>
      <w:r>
        <w:rPr>
          <w:rFonts w:hint="eastAsia" w:ascii="仿宋_GB2312" w:hAnsi="Times New Roman"/>
          <w:color w:val="000000"/>
          <w:szCs w:val="32"/>
        </w:rPr>
        <w:t>，不利于</w:t>
      </w:r>
      <w:r>
        <w:rPr>
          <w:rFonts w:ascii="仿宋_GB2312" w:hAnsi="Times New Roman"/>
          <w:color w:val="000000"/>
          <w:szCs w:val="32"/>
        </w:rPr>
        <w:t>提高财政资金的使用效率。</w:t>
      </w:r>
      <w:r>
        <w:rPr>
          <w:rFonts w:hint="eastAsia" w:ascii="仿宋_GB2312" w:hAnsi="Times New Roman"/>
          <w:color w:val="000000"/>
          <w:szCs w:val="32"/>
        </w:rPr>
        <w:t>重大</w:t>
      </w:r>
      <w:r>
        <w:rPr>
          <w:rFonts w:ascii="仿宋_GB2312" w:hAnsi="Times New Roman"/>
          <w:color w:val="000000"/>
          <w:szCs w:val="32"/>
        </w:rPr>
        <w:t>科技专项</w:t>
      </w:r>
      <w:r>
        <w:rPr>
          <w:rFonts w:hint="eastAsia" w:ascii="仿宋_GB2312" w:hAnsi="Times New Roman"/>
          <w:color w:val="000000"/>
          <w:szCs w:val="32"/>
        </w:rPr>
        <w:t>补助</w:t>
      </w:r>
      <w:r>
        <w:rPr>
          <w:rFonts w:ascii="仿宋_GB2312" w:hAnsi="Times New Roman"/>
          <w:color w:val="000000"/>
          <w:szCs w:val="32"/>
        </w:rPr>
        <w:t>金额较大，但</w:t>
      </w:r>
      <w:r>
        <w:rPr>
          <w:rFonts w:hint="eastAsia" w:ascii="仿宋_GB2312" w:hAnsi="Times New Roman"/>
          <w:color w:val="000000"/>
          <w:szCs w:val="32"/>
        </w:rPr>
        <w:t>资金</w:t>
      </w:r>
      <w:r>
        <w:rPr>
          <w:rFonts w:ascii="仿宋_GB2312" w:hAnsi="Times New Roman"/>
          <w:color w:val="000000"/>
          <w:szCs w:val="32"/>
        </w:rPr>
        <w:t>一次性</w:t>
      </w:r>
      <w:r>
        <w:rPr>
          <w:rFonts w:hint="eastAsia" w:ascii="仿宋_GB2312" w:hAnsi="Times New Roman"/>
          <w:color w:val="000000"/>
          <w:szCs w:val="32"/>
        </w:rPr>
        <w:t>支付</w:t>
      </w:r>
      <w:r>
        <w:rPr>
          <w:rFonts w:ascii="仿宋_GB2312" w:hAnsi="Times New Roman"/>
          <w:color w:val="000000"/>
          <w:szCs w:val="32"/>
        </w:rPr>
        <w:t>后未</w:t>
      </w:r>
      <w:r>
        <w:rPr>
          <w:rFonts w:hint="eastAsia" w:ascii="仿宋_GB2312" w:hAnsi="Times New Roman"/>
          <w:color w:val="000000"/>
          <w:szCs w:val="32"/>
        </w:rPr>
        <w:t>对</w:t>
      </w:r>
      <w:r>
        <w:rPr>
          <w:rFonts w:ascii="仿宋_GB2312" w:hAnsi="Times New Roman"/>
          <w:color w:val="000000"/>
          <w:szCs w:val="32"/>
        </w:rPr>
        <w:t>资金使用情况</w:t>
      </w:r>
      <w:r>
        <w:rPr>
          <w:rFonts w:hint="eastAsia" w:ascii="仿宋_GB2312" w:hAnsi="Times New Roman"/>
          <w:color w:val="000000"/>
          <w:szCs w:val="32"/>
        </w:rPr>
        <w:t>和</w:t>
      </w:r>
      <w:r>
        <w:rPr>
          <w:rFonts w:ascii="仿宋_GB2312" w:hAnsi="Times New Roman"/>
          <w:color w:val="000000"/>
          <w:szCs w:val="32"/>
        </w:rPr>
        <w:t>效果进行管理监控和绩效追踪，也未要求企业进行资金的配套和设立专户管理</w:t>
      </w:r>
      <w:r>
        <w:rPr>
          <w:rFonts w:hint="eastAsia" w:ascii="仿宋_GB2312" w:hAnsi="Times New Roman"/>
          <w:color w:val="000000"/>
          <w:szCs w:val="32"/>
        </w:rPr>
        <w:t>。</w:t>
      </w:r>
    </w:p>
    <w:p>
      <w:pPr>
        <w:spacing w:line="600" w:lineRule="exact"/>
        <w:ind w:firstLine="640"/>
      </w:pPr>
      <w:r>
        <w:rPr>
          <w:rFonts w:hint="eastAsia" w:ascii="仿宋_GB2312" w:hAnsi="Times New Roman"/>
          <w:color w:val="000000"/>
          <w:szCs w:val="32"/>
        </w:rPr>
        <w:t>针对以上问题，特提出如下建议：</w:t>
      </w:r>
      <w:r>
        <w:rPr>
          <w:rFonts w:hint="eastAsia" w:ascii="仿宋_GB2312" w:hAnsi="Times New Roman"/>
          <w:b/>
          <w:color w:val="000000"/>
          <w:szCs w:val="32"/>
        </w:rPr>
        <w:t>第一，梳理政策文件，确保绩效目标合理性。</w:t>
      </w:r>
      <w:r>
        <w:rPr>
          <w:rFonts w:hint="eastAsia" w:ascii="仿宋_GB2312" w:hAnsi="Times New Roman"/>
          <w:color w:val="000000"/>
          <w:szCs w:val="32"/>
        </w:rPr>
        <w:t>一是要梳理国家、省、市级政策文件，结合韶关市科技创新发展现状，制定切合实际的中长期科技创新战略目标，以此来指导每年科技创新整体目标。二是基于各子项</w:t>
      </w:r>
      <w:r>
        <w:rPr>
          <w:rFonts w:ascii="仿宋_GB2312" w:hAnsi="Times New Roman"/>
          <w:color w:val="000000"/>
          <w:szCs w:val="32"/>
        </w:rPr>
        <w:t>政策目的</w:t>
      </w:r>
      <w:r>
        <w:rPr>
          <w:rFonts w:hint="eastAsia" w:ascii="仿宋_GB2312" w:hAnsi="Times New Roman"/>
          <w:color w:val="000000"/>
          <w:szCs w:val="32"/>
        </w:rPr>
        <w:t>和</w:t>
      </w:r>
      <w:r>
        <w:rPr>
          <w:rFonts w:ascii="仿宋_GB2312" w:hAnsi="Times New Roman"/>
          <w:color w:val="000000"/>
          <w:szCs w:val="32"/>
        </w:rPr>
        <w:t>实施内容，</w:t>
      </w:r>
      <w:r>
        <w:rPr>
          <w:rFonts w:hint="eastAsia" w:ascii="仿宋_GB2312" w:hAnsi="Times New Roman"/>
          <w:color w:val="000000"/>
          <w:szCs w:val="32"/>
        </w:rPr>
        <w:t>设置以各创新要素为主的绩效目标，作为支撑和诠释科技创新整体目标的绩效指标。</w:t>
      </w:r>
      <w:r>
        <w:rPr>
          <w:rFonts w:hint="eastAsia" w:ascii="仿宋_GB2312" w:hAnsi="Times New Roman"/>
          <w:b/>
          <w:color w:val="000000"/>
          <w:szCs w:val="32"/>
        </w:rPr>
        <w:t>第二，加强前期论证，提高项目决策科学性。</w:t>
      </w:r>
      <w:r>
        <w:rPr>
          <w:rFonts w:hint="eastAsia" w:ascii="仿宋_GB2312" w:hAnsi="Times New Roman"/>
          <w:color w:val="000000"/>
          <w:szCs w:val="32"/>
        </w:rPr>
        <w:t>一是提高与省科技厅的沟通交流，及时发现相关政策改动，并对相关预算作调整，提高预算编制的准确性，提高资金支出率。二是对于企业研发市级财政补贴子项该类受益群体广的竞争性奖补项目，应提前测算，避免资金出现与政策目的有所偏离的“扶强不扶弱”现象。三是与其他部门合作的项目，应提前确定好职责分工，明确韶关市科技局在项目实施中的职责，建立相应的管理制度及方案。</w:t>
      </w:r>
      <w:r>
        <w:rPr>
          <w:rFonts w:hint="eastAsia" w:ascii="仿宋_GB2312" w:hAnsi="Times New Roman"/>
          <w:b/>
          <w:color w:val="000000"/>
          <w:szCs w:val="32"/>
        </w:rPr>
        <w:t>第三，优化项目管理，推动项目管理规范性。</w:t>
      </w:r>
      <w:r>
        <w:rPr>
          <w:rFonts w:hint="eastAsia" w:ascii="仿宋_GB2312" w:hAnsi="Times New Roman"/>
          <w:color w:val="000000"/>
          <w:szCs w:val="32"/>
        </w:rPr>
        <w:t>一是建立科技创新政策评估常态机制。例如针对政策评估的关键环节、适用方法和评估内容形成规范，强化创新政策评估的关键技术支撑；鼓励通过委托第三方机构、实地调研、企业访谈等方式加强科技创新政策落实情况评估，及时总结，修订完善本地落实相关创新政策及实施细则，建立科技政策评估动态调整机制。二是优化项目跟踪管理，提高资金使用效益。例如金额较大的项目可采用分段拨付的方式对企业创新进行跟踪管理，分段支付的各支付前，可由县/区科技局对创新企业进行走访调研，了解项目情况及企业实际困难。</w:t>
      </w:r>
    </w:p>
    <w:p>
      <w:pPr>
        <w:ind w:firstLine="64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pStyle w:val="2"/>
        <w:ind w:firstLine="640"/>
        <w:rPr>
          <w:rFonts w:ascii="Times New Roman" w:hAnsi="Times New Roman"/>
          <w:color w:val="000000" w:themeColor="text1"/>
          <w14:textFill>
            <w14:solidFill>
              <w14:schemeClr w14:val="tx1"/>
            </w14:solidFill>
          </w14:textFill>
        </w:rPr>
      </w:pPr>
      <w:bookmarkStart w:id="4" w:name="_Toc53500203"/>
      <w:r>
        <w:rPr>
          <w:rFonts w:hint="eastAsia" w:ascii="Times New Roman" w:hAnsi="Times New Roman"/>
          <w:color w:val="000000" w:themeColor="text1"/>
          <w14:textFill>
            <w14:solidFill>
              <w14:schemeClr w14:val="tx1"/>
            </w14:solidFill>
          </w14:textFill>
        </w:rPr>
        <w:t>一、项目概况</w:t>
      </w:r>
      <w:bookmarkEnd w:id="4"/>
    </w:p>
    <w:p>
      <w:pPr>
        <w:pStyle w:val="3"/>
        <w:ind w:firstLine="640"/>
        <w:rPr>
          <w:rFonts w:hint="eastAsia" w:eastAsia="楷体_GB2312"/>
          <w:b w:val="0"/>
          <w:bCs w:val="0"/>
          <w:lang w:eastAsia="zh-CN"/>
        </w:rPr>
      </w:pPr>
      <w:bookmarkStart w:id="5" w:name="_Toc53500204"/>
      <w:r>
        <w:rPr>
          <w:rFonts w:hint="eastAsia"/>
          <w:b w:val="0"/>
          <w:bCs w:val="0"/>
        </w:rPr>
        <w:t>（一）项目背景</w:t>
      </w:r>
      <w:bookmarkEnd w:id="5"/>
      <w:r>
        <w:rPr>
          <w:rFonts w:hint="eastAsia"/>
          <w:b w:val="0"/>
          <w:bCs w:val="0"/>
          <w:lang w:eastAsia="zh-CN"/>
        </w:rPr>
        <w:t>。</w:t>
      </w:r>
    </w:p>
    <w:p>
      <w:pPr>
        <w:ind w:firstLine="640"/>
        <w:rPr>
          <w:rFonts w:ascii="仿宋_GB2312" w:hAnsi="Times New Roman"/>
        </w:rPr>
      </w:pPr>
      <w:r>
        <w:rPr>
          <w:rFonts w:hint="eastAsia" w:ascii="仿宋_GB2312" w:hAnsi="Times New Roman"/>
        </w:rPr>
        <w:t>创新是引领发展的第一动力，是推动高质量发展的战略支撑。韶关市人民政府高度重视科技创新对于资源集聚、激发全社会创新创业活力的重要作用，推动实施了《韶关市加快培育高新技术企业扶持办法》（韶科〔2017〕76号）、《韶关市重大科技专项设立方案》 (韶科〔2017〕81号)、《韶关市推动企业建立研发机构扶持办法》（韶科〔2017〕77号）等一系列科技创新驱动发展的战略政策；并</w:t>
      </w:r>
      <w:bookmarkStart w:id="6" w:name="_Hlk44866141"/>
      <w:r>
        <w:rPr>
          <w:rFonts w:hint="eastAsia" w:ascii="仿宋_GB2312" w:hAnsi="Times New Roman"/>
        </w:rPr>
        <w:t>在</w:t>
      </w:r>
      <w:r>
        <w:rPr>
          <w:rFonts w:ascii="仿宋_GB2312" w:hAnsi="Times New Roman"/>
        </w:rPr>
        <w:t>粤港澳大湾区建设全面推进的关键时刻</w:t>
      </w:r>
      <w:bookmarkEnd w:id="6"/>
      <w:r>
        <w:rPr>
          <w:rFonts w:hint="eastAsia" w:ascii="仿宋_GB2312" w:hAnsi="Times New Roman"/>
        </w:rPr>
        <w:t>，</w:t>
      </w:r>
      <w:r>
        <w:rPr>
          <w:rFonts w:ascii="仿宋_GB2312" w:hAnsi="Times New Roman"/>
        </w:rPr>
        <w:t>结合韶关市实际制定</w:t>
      </w:r>
      <w:r>
        <w:rPr>
          <w:rFonts w:hint="eastAsia" w:ascii="仿宋_GB2312" w:hAnsi="Times New Roman"/>
        </w:rPr>
        <w:t>及修订</w:t>
      </w:r>
      <w:r>
        <w:rPr>
          <w:rFonts w:ascii="仿宋_GB2312" w:hAnsi="Times New Roman"/>
        </w:rPr>
        <w:t>了</w:t>
      </w:r>
      <w:r>
        <w:rPr>
          <w:rFonts w:hint="eastAsia" w:ascii="仿宋_GB2312" w:hAnsi="Times New Roman"/>
        </w:rPr>
        <w:t>《韶关市人民政府印发关于进一步促进科技创新若干政策措施的通知》（韶府〔2019〕19号）、《韶关市科技计划项目资金管理办法》（韶府规〔2019〕11号）等文件，以进一步推进科技的全面创新、完善科技服务体系、加快集聚和配置优质创新资源，发挥科技创新对经济社会发展的引领作用。</w:t>
      </w:r>
    </w:p>
    <w:p>
      <w:pPr>
        <w:ind w:firstLine="640"/>
        <w:rPr>
          <w:rFonts w:ascii="仿宋_GB2312" w:hAnsi="Times New Roman"/>
        </w:rPr>
      </w:pPr>
      <w:r>
        <w:rPr>
          <w:rFonts w:hint="eastAsia" w:ascii="仿宋_GB2312" w:hAnsi="Times New Roman"/>
        </w:rPr>
        <w:t>本次评价基准日为2019年12月31日，评价对象为“韶关市2019年度全市科技创新项目”。本次评价通过对韶关市2019年度全市科技创新项目开展绩效评价，梳理各子项的实施方式和实施过程，了解项目资金使用和绩效情况，以改善项目实施效果，提高财政资源配置效率和使用效益。</w:t>
      </w:r>
    </w:p>
    <w:p>
      <w:pPr>
        <w:pStyle w:val="3"/>
        <w:ind w:firstLine="640"/>
        <w:rPr>
          <w:rFonts w:hint="eastAsia" w:eastAsia="楷体_GB2312"/>
          <w:b w:val="0"/>
          <w:bCs w:val="0"/>
          <w:lang w:eastAsia="zh-CN"/>
        </w:rPr>
      </w:pPr>
      <w:bookmarkStart w:id="7" w:name="_Toc53500205"/>
      <w:r>
        <w:rPr>
          <w:rFonts w:hint="eastAsia"/>
          <w:b w:val="0"/>
          <w:bCs w:val="0"/>
        </w:rPr>
        <w:t>（二）项目实施情况</w:t>
      </w:r>
      <w:bookmarkEnd w:id="7"/>
      <w:r>
        <w:rPr>
          <w:rFonts w:hint="eastAsia"/>
          <w:b w:val="0"/>
          <w:bCs w:val="0"/>
          <w:lang w:eastAsia="zh-CN"/>
        </w:rPr>
        <w:t>。</w:t>
      </w:r>
    </w:p>
    <w:p>
      <w:pPr>
        <w:ind w:firstLine="640"/>
        <w:rPr>
          <w:rFonts w:ascii="仿宋_GB2312" w:hAnsi="Times New Roman"/>
        </w:rPr>
      </w:pPr>
      <w:bookmarkStart w:id="8" w:name="_Hlk44873712"/>
      <w:r>
        <w:rPr>
          <w:rFonts w:hint="eastAsia" w:ascii="仿宋_GB2312" w:hAnsi="Times New Roman"/>
        </w:rPr>
        <w:t>韶关市2019年全市科技创新项目（下称项目），主要指的是包括用于</w:t>
      </w:r>
      <w:r>
        <w:rPr>
          <w:rFonts w:ascii="仿宋_GB2312" w:hAnsi="Times New Roman"/>
        </w:rPr>
        <w:t>支持韶关市战略性新兴产业和优势传统产业</w:t>
      </w:r>
      <w:r>
        <w:rPr>
          <w:rFonts w:hint="eastAsia" w:ascii="仿宋_GB2312" w:hAnsi="Times New Roman"/>
        </w:rPr>
        <w:t>的相关政策资金</w:t>
      </w:r>
      <w:r>
        <w:rPr>
          <w:rFonts w:ascii="仿宋_GB2312" w:hAnsi="Times New Roman"/>
        </w:rPr>
        <w:t>，以及按照相关政策文件进行奖励性补助</w:t>
      </w:r>
      <w:r>
        <w:rPr>
          <w:rFonts w:hint="eastAsia" w:ascii="仿宋_GB2312" w:hAnsi="Times New Roman"/>
        </w:rPr>
        <w:t>和支持</w:t>
      </w:r>
      <w:r>
        <w:rPr>
          <w:rFonts w:ascii="仿宋_GB2312" w:hAnsi="Times New Roman"/>
        </w:rPr>
        <w:t>市委市政委确定的重点项目</w:t>
      </w:r>
      <w:r>
        <w:rPr>
          <w:rFonts w:hint="eastAsia" w:ascii="仿宋_GB2312" w:hAnsi="Times New Roman"/>
        </w:rPr>
        <w:t>等相关一系列政策资金，由韶关市科学技术局（下称市科技局）负责实施。</w:t>
      </w:r>
    </w:p>
    <w:bookmarkEnd w:id="8"/>
    <w:p>
      <w:pPr>
        <w:ind w:firstLine="640"/>
        <w:rPr>
          <w:rFonts w:ascii="仿宋_GB2312" w:hAnsi="Times New Roman"/>
        </w:rPr>
      </w:pPr>
      <w:bookmarkStart w:id="9" w:name="_Hlk44873814"/>
      <w:r>
        <w:rPr>
          <w:rFonts w:hint="eastAsia" w:ascii="仿宋_GB2312" w:hAnsi="Times New Roman"/>
        </w:rPr>
        <w:t>项目共安排资金9611.70万元，包括1</w:t>
      </w:r>
      <w:r>
        <w:rPr>
          <w:rFonts w:ascii="仿宋_GB2312" w:hAnsi="Times New Roman"/>
        </w:rPr>
        <w:t>4</w:t>
      </w:r>
      <w:r>
        <w:rPr>
          <w:rFonts w:hint="eastAsia" w:ascii="仿宋_GB2312" w:hAnsi="Times New Roman"/>
        </w:rPr>
        <w:t>个子项，其中1</w:t>
      </w:r>
      <w:r>
        <w:rPr>
          <w:rFonts w:ascii="仿宋_GB2312" w:hAnsi="Times New Roman"/>
        </w:rPr>
        <w:t>3</w:t>
      </w:r>
      <w:r>
        <w:rPr>
          <w:rFonts w:hint="eastAsia" w:ascii="仿宋_GB2312" w:hAnsi="Times New Roman"/>
        </w:rPr>
        <w:t>个专项及项目</w:t>
      </w:r>
      <w:r>
        <w:rPr>
          <w:rFonts w:ascii="仿宋_GB2312" w:hAnsi="Times New Roman"/>
        </w:rPr>
        <w:t>管理费用</w:t>
      </w:r>
      <w:r>
        <w:rPr>
          <w:rFonts w:hint="eastAsia" w:ascii="仿宋_GB2312" w:hAnsi="Times New Roman"/>
        </w:rPr>
        <w:t>142.61万元，</w:t>
      </w:r>
      <w:bookmarkEnd w:id="9"/>
      <w:r>
        <w:rPr>
          <w:rFonts w:hint="eastAsia" w:ascii="仿宋_GB2312" w:hAnsi="Times New Roman"/>
        </w:rPr>
        <w:t>由于项目主要采用竞争性事前资助及事后奖补等方式对科技创新进行扶持，根据此逻辑将各子项政策</w:t>
      </w:r>
      <w:r>
        <w:rPr>
          <w:rFonts w:ascii="仿宋_GB2312" w:hAnsi="Times New Roman"/>
        </w:rPr>
        <w:t>内容</w:t>
      </w:r>
      <w:r>
        <w:rPr>
          <w:rFonts w:hint="eastAsia" w:ascii="仿宋_GB2312" w:hAnsi="Times New Roman"/>
        </w:rPr>
        <w:t>梳理如下：</w:t>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表1 韶关市2019年度全市科技创新项目各子项内容</w:t>
      </w:r>
    </w:p>
    <w:tbl>
      <w:tblPr>
        <w:tblStyle w:val="33"/>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28"/>
        <w:gridCol w:w="1095"/>
        <w:gridCol w:w="2925"/>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shd w:val="clear" w:color="auto" w:fill="D6DCE4" w:themeFill="text2" w:themeFillTint="33"/>
            <w:vAlign w:val="center"/>
          </w:tcPr>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扶持方式</w:t>
            </w:r>
          </w:p>
        </w:tc>
        <w:tc>
          <w:tcPr>
            <w:tcW w:w="1328" w:type="dxa"/>
            <w:shd w:val="clear" w:color="auto" w:fill="D6DCE4" w:themeFill="text2" w:themeFillTint="33"/>
            <w:vAlign w:val="center"/>
          </w:tcPr>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项目名称</w:t>
            </w:r>
          </w:p>
        </w:tc>
        <w:tc>
          <w:tcPr>
            <w:tcW w:w="1095" w:type="dxa"/>
            <w:shd w:val="clear" w:color="auto" w:fill="D6DCE4" w:themeFill="text2" w:themeFillTint="33"/>
            <w:vAlign w:val="center"/>
          </w:tcPr>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项目支出金额</w:t>
            </w:r>
          </w:p>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（万元）</w:t>
            </w:r>
          </w:p>
        </w:tc>
        <w:tc>
          <w:tcPr>
            <w:tcW w:w="2925" w:type="dxa"/>
            <w:shd w:val="clear" w:color="auto" w:fill="D6DCE4" w:themeFill="text2" w:themeFillTint="33"/>
            <w:vAlign w:val="center"/>
          </w:tcPr>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政策依据</w:t>
            </w:r>
          </w:p>
        </w:tc>
        <w:tc>
          <w:tcPr>
            <w:tcW w:w="3772" w:type="dxa"/>
            <w:shd w:val="clear" w:color="auto" w:fill="D6DCE4" w:themeFill="text2" w:themeFillTint="33"/>
            <w:vAlign w:val="center"/>
          </w:tcPr>
          <w:p>
            <w:pPr>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政策内容（扶持方向）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竞争性事前资助</w:t>
            </w: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重大科技专项</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1200.00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《韶关市重大科技专项设立方案》 (韶科〔2017〕81号)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2019年重点支持传统优势产业、战略性新兴产业开展核心、关键、共性技术攻关及成果应用，支持创新资源的引进，鼓励申报单位开展产学研合作，对8个项目给予100-200万元不等的支持。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社会发展与企业科技特派员（社会发展科技计划项目）</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340.00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《广东省人民政府关于印发深化广东省级财政科技计划（专项、基金等）管理改革实施方案的通知》（粤府〔2016〕14号）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社会发展领域项目主要支持科研工作者专项、社会发展领域专项。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社会发展与企业科技特派员（企业科技特派员方向）</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100.00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《韶关市推动企业建立研发机构扶持办法》（韶科〔2017〕77号）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对入库的省级科技特派员与企业开展科技创新项目的活动进行补助，根据公示，2019年对10个项目进行奖补，每个项目10万元。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农业农村科技方向</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470.00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《广东省人民政府印发关于进一步促进科技创新若干政策措施的通知》(粤府〔2019〕1号)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农业农村科技方向包括现代农业农村新技术研究与示范、科技精准脱贫专项和科技创新创业平台专项3个专题。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产学研合作专项</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490.00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《关于组织申报2019年度韶关市科技计划项目（产学研合作专项）的通知》</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产学研合作专项包括产学研结合创新、产学研创新平台公共服务2个专题。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事后补助</w:t>
            </w:r>
          </w:p>
        </w:tc>
        <w:tc>
          <w:tcPr>
            <w:tcW w:w="1328" w:type="dxa"/>
            <w:vAlign w:val="center"/>
          </w:tcPr>
          <w:p>
            <w:pPr>
              <w:spacing w:line="240" w:lineRule="auto"/>
              <w:ind w:firstLine="0" w:firstLineChars="0"/>
              <w:jc w:val="center"/>
              <w:rPr>
                <w:rFonts w:ascii="宋体" w:hAnsi="宋体" w:eastAsia="宋体" w:cs="宋体"/>
                <w:sz w:val="21"/>
                <w:szCs w:val="21"/>
              </w:rPr>
            </w:pPr>
            <w:bookmarkStart w:id="10" w:name="_Hlk44839349"/>
            <w:r>
              <w:rPr>
                <w:rFonts w:hint="eastAsia" w:ascii="宋体" w:hAnsi="宋体" w:eastAsia="宋体" w:cs="宋体"/>
                <w:sz w:val="21"/>
                <w:szCs w:val="21"/>
              </w:rPr>
              <w:t>高新技术企业培育奖补</w:t>
            </w:r>
            <w:bookmarkEnd w:id="10"/>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3582.42</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《韶关市加快培育高新技术企业扶持办法》（韶科〔2017〕76号）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1.补贴通过高新技术认定、获得高新技术培育入库企业30万元；</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2.奖补获得广东省科技厅组织认定的高新技术产品1万元/件；</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3.对高新技术企业的银行贷款给予政策贴息补助。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孵化器众创空间专项</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229.2</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《韶关市科技企业孵化器（众创空间）专项资金管理暂行办法》（韶财教〔2016〕119号）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根据政策文件和奖补名单公示对新增孵化器面积进行补贴，2019年度补贴标准为100元/平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企业研发市级财政补助资金</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499.96</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《韶关市人民政府关于印发韶关市加快推进科技创新驱动发展1+N政策意见的通知》（韶府〔2015〕66号）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对建立了研发准备金制度且已先行投入自筹资金开展研发活动的企业按“基础补助+增长补助”的方式进行补助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省科学技术配套奖励经费</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30.00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《韶关市人民政府印发关于进一步促进科技创新若干政策措施的通知》（韶府〔2019〕19号）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对韶关市获得国家级、省级优秀科技成果加大奖励力度，推动科技人才争创优秀科研成果。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企业研发机构奖补</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880.00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《韶关市推动企业建立研发机构扶持办法》（韶科〔2017〕77号）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对依托企业组建并获得科技部门批准的各级企业工程加护研究（开发）中心，按市级、省级给予10万元、20万元的一次性奖补。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restart"/>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其他</w:t>
            </w: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广东跨元航天配套资金</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300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《韶关市人民政府广东跨元航天医学工程技术有限公司合作协议》</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根据协议对乙方新型研发机构所获得的省级科技资金给与1:1比例配套支持。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bookmarkStart w:id="11" w:name="_Hlk44954600"/>
            <w:r>
              <w:rPr>
                <w:rFonts w:hint="eastAsia" w:ascii="宋体" w:hAnsi="宋体" w:eastAsia="宋体" w:cs="宋体"/>
                <w:sz w:val="21"/>
                <w:szCs w:val="21"/>
              </w:rPr>
              <w:t>孵化器众创空间专项（众投邦）</w:t>
            </w:r>
            <w:bookmarkEnd w:id="11"/>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961.51</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1.《关于众投邦·众创加速器办公场地租赁装修有关问题的会议纪要》（市政府工作会议纪要〔2018〕295号）</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2.《众投邦·众创加速器合作协议》</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根据会议要求和相关合作协议对众投邦19、20、21层装修按800元/平方米进行补贴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bookmarkStart w:id="12" w:name="_Hlk44954620"/>
            <w:r>
              <w:rPr>
                <w:rFonts w:hint="eastAsia" w:ascii="宋体" w:hAnsi="宋体" w:eastAsia="宋体" w:cs="宋体"/>
                <w:sz w:val="21"/>
                <w:szCs w:val="21"/>
              </w:rPr>
              <w:t>第八届中国创新创业大赛</w:t>
            </w:r>
            <w:bookmarkEnd w:id="12"/>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206</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《关于组织申报韶关市2019年科技计划项目（第八届中国创新创业大赛方向）的通知》（韶科〔2019〕35号）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开展韶关市第8届中国创新创业大赛，并对专项、参赛获奖企业等进行补助。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Merge w:val="continue"/>
            <w:vAlign w:val="center"/>
          </w:tcPr>
          <w:p>
            <w:pPr>
              <w:spacing w:line="240" w:lineRule="auto"/>
              <w:ind w:firstLine="0" w:firstLineChars="0"/>
              <w:jc w:val="center"/>
              <w:rPr>
                <w:rFonts w:ascii="宋体" w:hAnsi="宋体" w:eastAsia="宋体" w:cs="宋体"/>
                <w:sz w:val="21"/>
                <w:szCs w:val="21"/>
              </w:rPr>
            </w:pPr>
          </w:p>
        </w:tc>
        <w:tc>
          <w:tcPr>
            <w:tcW w:w="1328"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“先进智造-新材料”创新大赛</w:t>
            </w:r>
          </w:p>
        </w:tc>
        <w:tc>
          <w:tcPr>
            <w:tcW w:w="1095" w:type="dxa"/>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180</w:t>
            </w:r>
          </w:p>
        </w:tc>
        <w:tc>
          <w:tcPr>
            <w:tcW w:w="2925"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《关于下达韶关市2019年科技计划项目资金（“先进制造-新材料”科技创新大赛承办单位）的通知》（韶财教〔2019〕130号）</w:t>
            </w:r>
          </w:p>
        </w:tc>
        <w:tc>
          <w:tcPr>
            <w:tcW w:w="3772" w:type="dxa"/>
            <w:vAlign w:val="center"/>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举办“先进智造-新材料”创新大赛，引进企业落地韶关，并对参赛项目给予奖金支持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gridSpan w:val="2"/>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合计</w:t>
            </w:r>
          </w:p>
        </w:tc>
        <w:tc>
          <w:tcPr>
            <w:tcW w:w="1095" w:type="dxa"/>
            <w:vAlign w:val="center"/>
          </w:tcPr>
          <w:p>
            <w:pPr>
              <w:spacing w:line="240" w:lineRule="auto"/>
              <w:ind w:firstLine="0" w:firstLineChars="0"/>
              <w:jc w:val="center"/>
              <w:rPr>
                <w:rFonts w:ascii="宋体" w:hAnsi="宋体" w:eastAsia="宋体" w:cs="宋体"/>
                <w:sz w:val="21"/>
                <w:szCs w:val="21"/>
              </w:rPr>
            </w:pPr>
          </w:p>
        </w:tc>
        <w:tc>
          <w:tcPr>
            <w:tcW w:w="6697" w:type="dxa"/>
            <w:gridSpan w:val="2"/>
            <w:vAlign w:val="center"/>
          </w:tcPr>
          <w:p>
            <w:pPr>
              <w:spacing w:line="240" w:lineRule="auto"/>
              <w:ind w:firstLine="0" w:firstLineChars="0"/>
              <w:jc w:val="center"/>
              <w:rPr>
                <w:rFonts w:ascii="宋体" w:hAnsi="宋体" w:eastAsia="宋体" w:cs="宋体"/>
                <w:sz w:val="21"/>
                <w:szCs w:val="21"/>
              </w:rPr>
            </w:pPr>
            <w:r>
              <w:rPr>
                <w:rFonts w:hint="eastAsia" w:ascii="宋体" w:hAnsi="宋体" w:eastAsia="宋体" w:cs="宋体"/>
                <w:sz w:val="21"/>
                <w:szCs w:val="21"/>
              </w:rPr>
              <w:t>—</w:t>
            </w:r>
          </w:p>
        </w:tc>
      </w:tr>
    </w:tbl>
    <w:p>
      <w:pPr>
        <w:ind w:firstLine="640"/>
        <w:rPr>
          <w:rFonts w:ascii="仿宋_GB2312" w:hAnsi="Times New Roman"/>
        </w:rPr>
      </w:pPr>
    </w:p>
    <w:p>
      <w:pPr>
        <w:ind w:firstLine="640"/>
        <w:rPr>
          <w:rFonts w:ascii="仿宋_GB2312" w:hAnsi="Times New Roman"/>
        </w:rPr>
      </w:pPr>
      <w:r>
        <w:rPr>
          <w:rFonts w:hint="eastAsia" w:ascii="仿宋_GB2312" w:hAnsi="Times New Roman"/>
        </w:rPr>
        <w:t>竞争性事前资助项目主要</w:t>
      </w:r>
      <w:r>
        <w:rPr>
          <w:rFonts w:ascii="仿宋_GB2312" w:hAnsi="Times New Roman"/>
        </w:rPr>
        <w:t>以</w:t>
      </w:r>
      <w:r>
        <w:rPr>
          <w:rFonts w:hint="eastAsia" w:ascii="仿宋_GB2312" w:hAnsi="Times New Roman"/>
        </w:rPr>
        <w:t>专家</w:t>
      </w:r>
      <w:r>
        <w:rPr>
          <w:rFonts w:ascii="仿宋_GB2312" w:hAnsi="Times New Roman"/>
        </w:rPr>
        <w:t>评审的意见为</w:t>
      </w:r>
      <w:r>
        <w:rPr>
          <w:rFonts w:hint="eastAsia" w:ascii="仿宋_GB2312" w:hAnsi="Times New Roman"/>
        </w:rPr>
        <w:t>依据</w:t>
      </w:r>
      <w:r>
        <w:rPr>
          <w:rFonts w:ascii="仿宋_GB2312" w:hAnsi="Times New Roman"/>
        </w:rPr>
        <w:t>，</w:t>
      </w:r>
      <w:r>
        <w:rPr>
          <w:rFonts w:hint="eastAsia" w:ascii="仿宋_GB2312" w:hAnsi="Times New Roman"/>
        </w:rPr>
        <w:t>具体</w:t>
      </w:r>
      <w:r>
        <w:rPr>
          <w:rFonts w:ascii="仿宋_GB2312" w:hAnsi="Times New Roman"/>
        </w:rPr>
        <w:t>实施流程</w:t>
      </w:r>
      <w:r>
        <w:rPr>
          <w:rFonts w:hint="eastAsia" w:ascii="仿宋_GB2312" w:hAnsi="Times New Roman"/>
        </w:rPr>
        <w:t>为</w:t>
      </w:r>
      <w:r>
        <w:rPr>
          <w:rFonts w:ascii="仿宋_GB2312" w:hAnsi="Times New Roman"/>
        </w:rPr>
        <w:t>：</w:t>
      </w:r>
      <w:r>
        <w:rPr>
          <w:rFonts w:hint="eastAsia" w:ascii="仿宋_GB2312" w:hAnsi="Times New Roman"/>
        </w:rPr>
        <w:t>开展前期</w:t>
      </w:r>
      <w:r>
        <w:rPr>
          <w:rFonts w:ascii="仿宋_GB2312" w:hAnsi="Times New Roman"/>
        </w:rPr>
        <w:t>调研、制定工作计划</w:t>
      </w:r>
      <w:r>
        <w:rPr>
          <w:rFonts w:hint="eastAsia" w:ascii="仿宋_GB2312" w:hAnsi="Times New Roman"/>
        </w:rPr>
        <w:t>、</w:t>
      </w:r>
      <w:r>
        <w:rPr>
          <w:rFonts w:ascii="仿宋_GB2312" w:hAnsi="Times New Roman"/>
        </w:rPr>
        <w:t>制定并发布申报</w:t>
      </w:r>
      <w:r>
        <w:rPr>
          <w:rFonts w:hint="eastAsia" w:ascii="仿宋_GB2312" w:hAnsi="Times New Roman"/>
        </w:rPr>
        <w:t>通知</w:t>
      </w:r>
      <w:r>
        <w:rPr>
          <w:rFonts w:ascii="仿宋_GB2312" w:hAnsi="Times New Roman"/>
        </w:rPr>
        <w:t>指南</w:t>
      </w:r>
      <w:r>
        <w:rPr>
          <w:rFonts w:hint="eastAsia" w:ascii="仿宋_GB2312" w:hAnsi="Times New Roman"/>
        </w:rPr>
        <w:t>、</w:t>
      </w:r>
      <w:r>
        <w:rPr>
          <w:rFonts w:ascii="仿宋_GB2312" w:hAnsi="Times New Roman"/>
        </w:rPr>
        <w:t>受理申报、开展形式审查、委托专家进行评审</w:t>
      </w:r>
      <w:r>
        <w:rPr>
          <w:rFonts w:hint="eastAsia" w:ascii="仿宋_GB2312" w:hAnsi="Times New Roman"/>
        </w:rPr>
        <w:t>、</w:t>
      </w:r>
      <w:r>
        <w:rPr>
          <w:rFonts w:ascii="仿宋_GB2312" w:hAnsi="Times New Roman"/>
        </w:rPr>
        <w:t>根据评审结果</w:t>
      </w:r>
      <w:r>
        <w:rPr>
          <w:rFonts w:hint="eastAsia" w:ascii="仿宋_GB2312" w:hAnsi="Times New Roman"/>
        </w:rPr>
        <w:t>及</w:t>
      </w:r>
      <w:r>
        <w:rPr>
          <w:rFonts w:ascii="仿宋_GB2312" w:hAnsi="Times New Roman"/>
        </w:rPr>
        <w:t>文件依据制定资金分配方案</w:t>
      </w:r>
      <w:r>
        <w:rPr>
          <w:rFonts w:hint="eastAsia" w:ascii="仿宋_GB2312" w:hAnsi="Times New Roman"/>
        </w:rPr>
        <w:t>、</w:t>
      </w:r>
      <w:r>
        <w:rPr>
          <w:rFonts w:ascii="仿宋_GB2312" w:hAnsi="Times New Roman"/>
        </w:rPr>
        <w:t>上交党组会审议</w:t>
      </w:r>
      <w:r>
        <w:rPr>
          <w:rFonts w:hint="eastAsia" w:ascii="仿宋_GB2312" w:hAnsi="Times New Roman"/>
        </w:rPr>
        <w:t>、</w:t>
      </w:r>
      <w:r>
        <w:rPr>
          <w:rFonts w:ascii="仿宋_GB2312" w:hAnsi="Times New Roman"/>
        </w:rPr>
        <w:t>公示</w:t>
      </w:r>
      <w:r>
        <w:rPr>
          <w:rFonts w:hint="eastAsia" w:ascii="仿宋_GB2312" w:hAnsi="Times New Roman"/>
        </w:rPr>
        <w:t>、</w:t>
      </w:r>
      <w:r>
        <w:rPr>
          <w:rFonts w:ascii="仿宋_GB2312" w:hAnsi="Times New Roman"/>
        </w:rPr>
        <w:t>征求相关部门意见</w:t>
      </w:r>
      <w:r>
        <w:rPr>
          <w:rFonts w:hint="eastAsia" w:ascii="仿宋_GB2312" w:hAnsi="Times New Roman"/>
        </w:rPr>
        <w:t>、</w:t>
      </w:r>
      <w:r>
        <w:rPr>
          <w:rFonts w:ascii="仿宋_GB2312" w:hAnsi="Times New Roman"/>
        </w:rPr>
        <w:t>提交</w:t>
      </w:r>
      <w:r>
        <w:rPr>
          <w:rFonts w:hint="eastAsia" w:ascii="仿宋_GB2312" w:hAnsi="Times New Roman"/>
        </w:rPr>
        <w:t>市政府</w:t>
      </w:r>
      <w:r>
        <w:rPr>
          <w:rFonts w:ascii="仿宋_GB2312" w:hAnsi="Times New Roman"/>
        </w:rPr>
        <w:t>、拨付资金</w:t>
      </w:r>
      <w:r>
        <w:rPr>
          <w:rFonts w:hint="eastAsia" w:ascii="仿宋_GB2312" w:hAnsi="Times New Roman"/>
        </w:rPr>
        <w:t>。</w:t>
      </w:r>
      <w:r>
        <w:rPr>
          <w:rFonts w:ascii="仿宋_GB2312" w:hAnsi="Times New Roman"/>
        </w:rPr>
        <w:t>实施</w:t>
      </w:r>
      <w:r>
        <w:rPr>
          <w:rFonts w:hint="eastAsia" w:ascii="仿宋_GB2312" w:hAnsi="Times New Roman"/>
        </w:rPr>
        <w:t>中期</w:t>
      </w:r>
      <w:r>
        <w:rPr>
          <w:rFonts w:ascii="仿宋_GB2312" w:hAnsi="Times New Roman"/>
        </w:rPr>
        <w:t>将对项目开展中期检查，实施后</w:t>
      </w:r>
      <w:r>
        <w:rPr>
          <w:rFonts w:hint="eastAsia" w:ascii="仿宋_GB2312" w:hAnsi="Times New Roman"/>
        </w:rPr>
        <w:t>进行</w:t>
      </w:r>
      <w:r>
        <w:rPr>
          <w:rFonts w:ascii="仿宋_GB2312" w:hAnsi="Times New Roman"/>
        </w:rPr>
        <w:t>结题验收</w:t>
      </w:r>
      <w:r>
        <w:rPr>
          <w:rFonts w:hint="eastAsia" w:ascii="仿宋_GB2312" w:hAnsi="Times New Roman"/>
        </w:rPr>
        <w:t>。</w:t>
      </w:r>
    </w:p>
    <w:p>
      <w:pPr>
        <w:ind w:firstLine="640"/>
        <w:rPr>
          <w:rFonts w:ascii="仿宋_GB2312" w:hAnsi="Times New Roman"/>
        </w:rPr>
      </w:pPr>
      <w:r>
        <w:rPr>
          <w:rFonts w:hint="eastAsia" w:ascii="仿宋_GB2312" w:hAnsi="Times New Roman"/>
        </w:rPr>
        <w:t>事后奖补</w:t>
      </w:r>
      <w:r>
        <w:rPr>
          <w:rFonts w:ascii="仿宋_GB2312" w:hAnsi="Times New Roman"/>
        </w:rPr>
        <w:t>项目</w:t>
      </w:r>
      <w:r>
        <w:rPr>
          <w:rFonts w:hint="eastAsia" w:ascii="仿宋_GB2312" w:hAnsi="Times New Roman"/>
        </w:rPr>
        <w:t>主要</w:t>
      </w:r>
      <w:r>
        <w:rPr>
          <w:rFonts w:ascii="仿宋_GB2312" w:hAnsi="Times New Roman"/>
        </w:rPr>
        <w:t>依据出台的相关政策或</w:t>
      </w:r>
      <w:r>
        <w:rPr>
          <w:rFonts w:hint="eastAsia" w:ascii="仿宋_GB2312" w:hAnsi="Times New Roman"/>
        </w:rPr>
        <w:t>文件</w:t>
      </w:r>
      <w:r>
        <w:rPr>
          <w:rFonts w:ascii="仿宋_GB2312" w:hAnsi="Times New Roman"/>
        </w:rPr>
        <w:t>给予补助，需企业申报的项目实施程序与</w:t>
      </w:r>
      <w:r>
        <w:rPr>
          <w:rFonts w:hint="eastAsia" w:ascii="仿宋_GB2312" w:hAnsi="Times New Roman"/>
        </w:rPr>
        <w:t>竞争性</w:t>
      </w:r>
      <w:r>
        <w:rPr>
          <w:rFonts w:ascii="仿宋_GB2312" w:hAnsi="Times New Roman"/>
        </w:rPr>
        <w:t>事前资助项目实施流程相同，部分项目无需企业申报，由科技局根据相关文件</w:t>
      </w:r>
      <w:r>
        <w:rPr>
          <w:rFonts w:hint="eastAsia" w:ascii="仿宋_GB2312" w:hAnsi="Times New Roman"/>
        </w:rPr>
        <w:t>要求</w:t>
      </w:r>
      <w:r>
        <w:rPr>
          <w:rFonts w:ascii="仿宋_GB2312" w:hAnsi="Times New Roman"/>
        </w:rPr>
        <w:t>直接向人民银行、</w:t>
      </w:r>
      <w:r>
        <w:rPr>
          <w:rFonts w:hint="eastAsia" w:ascii="仿宋_GB2312" w:hAnsi="Times New Roman"/>
        </w:rPr>
        <w:t>税局</w:t>
      </w:r>
      <w:r>
        <w:rPr>
          <w:rFonts w:ascii="仿宋_GB2312" w:hAnsi="Times New Roman"/>
        </w:rPr>
        <w:t>、统计局等相关部门获得数据，再按程序进行认定并发放相关</w:t>
      </w:r>
      <w:r>
        <w:rPr>
          <w:rFonts w:hint="eastAsia" w:ascii="仿宋_GB2312" w:hAnsi="Times New Roman"/>
        </w:rPr>
        <w:t>补助</w:t>
      </w:r>
      <w:r>
        <w:rPr>
          <w:rFonts w:ascii="仿宋_GB2312" w:hAnsi="Times New Roman"/>
        </w:rPr>
        <w:t>，如</w:t>
      </w:r>
      <w:r>
        <w:rPr>
          <w:rFonts w:hint="eastAsia" w:ascii="仿宋_GB2312" w:hAnsi="Times New Roman"/>
        </w:rPr>
        <w:t>高新技术企业培育奖补、企业研发市级财政补助资金等</w:t>
      </w:r>
      <w:r>
        <w:rPr>
          <w:rFonts w:ascii="仿宋_GB2312" w:hAnsi="Times New Roman"/>
        </w:rPr>
        <w:t>。</w:t>
      </w:r>
    </w:p>
    <w:p>
      <w:pPr>
        <w:ind w:firstLine="640"/>
        <w:rPr>
          <w:rFonts w:ascii="仿宋_GB2312" w:hAnsi="Times New Roman"/>
        </w:rPr>
      </w:pPr>
      <w:r>
        <w:rPr>
          <w:rFonts w:hint="eastAsia" w:ascii="仿宋_GB2312" w:hAnsi="Times New Roman"/>
        </w:rPr>
        <w:t>其他类</w:t>
      </w:r>
      <w:r>
        <w:rPr>
          <w:rFonts w:ascii="仿宋_GB2312" w:hAnsi="Times New Roman"/>
        </w:rPr>
        <w:t>项目中</w:t>
      </w:r>
      <w:r>
        <w:rPr>
          <w:rFonts w:hint="eastAsia" w:ascii="仿宋_GB2312" w:hAnsi="Times New Roman"/>
        </w:rPr>
        <w:t>，广东跨元航天配套资金和孵化器众创空间专项（众投邦）子项主要</w:t>
      </w:r>
      <w:r>
        <w:rPr>
          <w:rFonts w:ascii="仿宋_GB2312" w:hAnsi="Times New Roman"/>
        </w:rPr>
        <w:t>根据相关协议支付资金，</w:t>
      </w:r>
      <w:r>
        <w:rPr>
          <w:rFonts w:hint="eastAsia" w:ascii="仿宋_GB2312" w:hAnsi="Times New Roman"/>
        </w:rPr>
        <w:t>第八届中国创新创业大赛和“先进智造-新材料”创新大赛子项</w:t>
      </w:r>
      <w:r>
        <w:rPr>
          <w:rFonts w:ascii="仿宋_GB2312" w:hAnsi="Times New Roman"/>
        </w:rPr>
        <w:t>主要通过</w:t>
      </w:r>
      <w:r>
        <w:rPr>
          <w:rFonts w:hint="eastAsia" w:ascii="仿宋_GB2312" w:hAnsi="Times New Roman"/>
        </w:rPr>
        <w:t>委托</w:t>
      </w:r>
      <w:r>
        <w:rPr>
          <w:rFonts w:ascii="仿宋_GB2312" w:hAnsi="Times New Roman"/>
        </w:rPr>
        <w:t>承办方举办</w:t>
      </w:r>
      <w:r>
        <w:rPr>
          <w:rFonts w:hint="eastAsia" w:ascii="仿宋_GB2312" w:hAnsi="Times New Roman"/>
        </w:rPr>
        <w:t>相关赛事</w:t>
      </w:r>
      <w:r>
        <w:rPr>
          <w:rFonts w:ascii="仿宋_GB2312" w:hAnsi="Times New Roman"/>
        </w:rPr>
        <w:t>并对</w:t>
      </w:r>
      <w:r>
        <w:rPr>
          <w:rFonts w:hint="eastAsia" w:ascii="仿宋_GB2312" w:hAnsi="Times New Roman"/>
        </w:rPr>
        <w:t>参赛</w:t>
      </w:r>
      <w:r>
        <w:rPr>
          <w:rFonts w:ascii="仿宋_GB2312" w:hAnsi="Times New Roman"/>
        </w:rPr>
        <w:t>企业进行</w:t>
      </w:r>
      <w:r>
        <w:rPr>
          <w:rFonts w:hint="eastAsia" w:ascii="仿宋_GB2312" w:hAnsi="Times New Roman"/>
        </w:rPr>
        <w:t>评奖。</w:t>
      </w:r>
    </w:p>
    <w:p>
      <w:pPr>
        <w:pStyle w:val="3"/>
        <w:ind w:firstLine="640"/>
        <w:rPr>
          <w:rFonts w:hint="eastAsia" w:eastAsia="楷体_GB2312"/>
          <w:b w:val="0"/>
          <w:bCs w:val="0"/>
          <w:lang w:val="en-US" w:eastAsia="zh-CN"/>
        </w:rPr>
      </w:pPr>
      <w:bookmarkStart w:id="13" w:name="_Toc21995283"/>
      <w:bookmarkStart w:id="14" w:name="_Toc19623151"/>
      <w:bookmarkStart w:id="15" w:name="_Toc21995515"/>
      <w:bookmarkStart w:id="16" w:name="_Toc53500206"/>
      <w:r>
        <w:rPr>
          <w:rFonts w:hint="eastAsia"/>
          <w:b w:val="0"/>
          <w:bCs w:val="0"/>
        </w:rPr>
        <w:t>（三）</w:t>
      </w:r>
      <w:bookmarkEnd w:id="13"/>
      <w:bookmarkEnd w:id="14"/>
      <w:bookmarkEnd w:id="15"/>
      <w:r>
        <w:rPr>
          <w:rFonts w:hint="eastAsia"/>
          <w:b w:val="0"/>
          <w:bCs w:val="0"/>
        </w:rPr>
        <w:t>资金到位及使用情况</w:t>
      </w:r>
      <w:bookmarkEnd w:id="16"/>
      <w:r>
        <w:rPr>
          <w:rFonts w:hint="eastAsia"/>
          <w:b w:val="0"/>
          <w:bCs w:val="0"/>
          <w:lang w:eastAsia="zh-CN"/>
        </w:rPr>
        <w:t>。</w:t>
      </w:r>
    </w:p>
    <w:p>
      <w:pPr>
        <w:ind w:firstLine="640"/>
        <w:rPr>
          <w:rFonts w:ascii="仿宋_GB2312" w:hAnsi="Times New Roman"/>
        </w:rPr>
      </w:pPr>
      <w:r>
        <w:rPr>
          <w:rFonts w:hint="eastAsia" w:ascii="仿宋_GB2312" w:hAnsi="Times New Roman"/>
        </w:rPr>
        <w:t>全市科技计划项目原</w:t>
      </w:r>
      <w:r>
        <w:rPr>
          <w:rFonts w:ascii="仿宋_GB2312" w:hAnsi="Times New Roman"/>
        </w:rPr>
        <w:t>预算</w:t>
      </w:r>
      <w:r>
        <w:rPr>
          <w:rFonts w:hint="eastAsia" w:ascii="仿宋_GB2312" w:hAnsi="Times New Roman"/>
        </w:rPr>
        <w:t>1024</w:t>
      </w:r>
      <w:r>
        <w:rPr>
          <w:rFonts w:ascii="仿宋_GB2312" w:hAnsi="Times New Roman"/>
        </w:rPr>
        <w:t>1</w:t>
      </w:r>
      <w:r>
        <w:rPr>
          <w:rFonts w:hint="eastAsia" w:ascii="仿宋_GB2312" w:hAnsi="Times New Roman"/>
        </w:rPr>
        <w:t>.</w:t>
      </w:r>
      <w:r>
        <w:rPr>
          <w:rFonts w:ascii="仿宋_GB2312" w:hAnsi="Times New Roman"/>
        </w:rPr>
        <w:t>70</w:t>
      </w:r>
      <w:r>
        <w:rPr>
          <w:rFonts w:hint="eastAsia" w:ascii="仿宋_GB2312" w:hAnsi="Times New Roman"/>
        </w:rPr>
        <w:t>万元</w:t>
      </w:r>
      <w:r>
        <w:rPr>
          <w:rFonts w:ascii="仿宋_GB2312" w:hAnsi="Times New Roman"/>
        </w:rPr>
        <w:t>，因机构改革，</w:t>
      </w:r>
      <w:r>
        <w:rPr>
          <w:rFonts w:hint="eastAsia" w:ascii="仿宋_GB2312" w:hAnsi="Times New Roman"/>
        </w:rPr>
        <w:t>划出63</w:t>
      </w:r>
      <w:r>
        <w:rPr>
          <w:rFonts w:ascii="仿宋_GB2312" w:hAnsi="Times New Roman"/>
        </w:rPr>
        <w:t>0.00</w:t>
      </w:r>
      <w:r>
        <w:rPr>
          <w:rFonts w:hint="eastAsia" w:ascii="仿宋_GB2312" w:hAnsi="Times New Roman"/>
        </w:rPr>
        <w:t>万元</w:t>
      </w:r>
      <w:r>
        <w:rPr>
          <w:rFonts w:ascii="仿宋_GB2312" w:hAnsi="Times New Roman"/>
        </w:rPr>
        <w:t>，</w:t>
      </w:r>
      <w:r>
        <w:rPr>
          <w:rFonts w:hint="eastAsia" w:ascii="仿宋_GB2312" w:hAnsi="Times New Roman"/>
        </w:rPr>
        <w:t>实际</w:t>
      </w:r>
      <w:r>
        <w:rPr>
          <w:rFonts w:ascii="仿宋_GB2312" w:hAnsi="Times New Roman"/>
        </w:rPr>
        <w:t>预算资金</w:t>
      </w:r>
      <w:r>
        <w:rPr>
          <w:rFonts w:hint="eastAsia" w:ascii="仿宋_GB2312" w:hAnsi="Times New Roman"/>
        </w:rPr>
        <w:t>为9611.70万元，</w:t>
      </w:r>
      <w:r>
        <w:rPr>
          <w:rFonts w:ascii="仿宋_GB2312" w:hAnsi="Times New Roman"/>
        </w:rPr>
        <w:t>根据</w:t>
      </w:r>
      <w:r>
        <w:rPr>
          <w:rFonts w:hint="eastAsia" w:ascii="仿宋_GB2312" w:hAnsi="Times New Roman"/>
        </w:rPr>
        <w:t>各</w:t>
      </w:r>
      <w:r>
        <w:rPr>
          <w:rFonts w:ascii="仿宋_GB2312" w:hAnsi="Times New Roman"/>
        </w:rPr>
        <w:t>子项</w:t>
      </w:r>
      <w:r>
        <w:rPr>
          <w:rFonts w:hint="eastAsia" w:ascii="仿宋_GB2312" w:hAnsi="Times New Roman"/>
        </w:rPr>
        <w:t>经费</w:t>
      </w:r>
      <w:r>
        <w:rPr>
          <w:rFonts w:ascii="仿宋_GB2312" w:hAnsi="Times New Roman"/>
        </w:rPr>
        <w:t>下达文件</w:t>
      </w:r>
      <w:r>
        <w:rPr>
          <w:rFonts w:hint="eastAsia" w:ascii="仿宋_GB2312" w:hAnsi="Times New Roman"/>
        </w:rPr>
        <w:t>，实际</w:t>
      </w:r>
      <w:r>
        <w:rPr>
          <w:rFonts w:ascii="仿宋_GB2312" w:hAnsi="Times New Roman"/>
        </w:rPr>
        <w:t>到位资金</w:t>
      </w:r>
      <w:r>
        <w:rPr>
          <w:rFonts w:hint="eastAsia" w:ascii="仿宋_GB2312" w:hAnsi="Times New Roman"/>
        </w:rPr>
        <w:t>9611.70万元</w:t>
      </w:r>
      <w:r>
        <w:rPr>
          <w:rFonts w:ascii="仿宋_GB2312" w:hAnsi="Times New Roman"/>
        </w:rPr>
        <w:t>，</w:t>
      </w:r>
      <w:r>
        <w:rPr>
          <w:rFonts w:hint="eastAsia" w:ascii="仿宋_GB2312" w:hAnsi="Times New Roman"/>
        </w:rPr>
        <w:t>实际支出资金</w:t>
      </w:r>
      <w:r>
        <w:rPr>
          <w:rFonts w:ascii="仿宋_GB2312" w:hAnsi="Times New Roman"/>
        </w:rPr>
        <w:t>9611.70</w:t>
      </w:r>
      <w:r>
        <w:rPr>
          <w:rFonts w:hint="eastAsia" w:ascii="仿宋_GB2312" w:hAnsi="Times New Roman"/>
        </w:rPr>
        <w:t>万元</w:t>
      </w:r>
      <w:r>
        <w:rPr>
          <w:rFonts w:ascii="仿宋_GB2312" w:hAnsi="Times New Roman"/>
        </w:rPr>
        <w:t>，项目资金支出明细</w:t>
      </w:r>
      <w:r>
        <w:rPr>
          <w:rFonts w:hint="eastAsia" w:ascii="仿宋_GB2312" w:hAnsi="Times New Roman"/>
        </w:rPr>
        <w:t>如表2所示</w:t>
      </w:r>
      <w:r>
        <w:rPr>
          <w:rFonts w:ascii="仿宋_GB2312" w:hAnsi="Times New Roman"/>
        </w:rPr>
        <w:t>。</w:t>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表2 全市科技创新项目资金支出明细</w:t>
      </w:r>
    </w:p>
    <w:tbl>
      <w:tblPr>
        <w:tblStyle w:val="33"/>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178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383" w:type="dxa"/>
            <w:shd w:val="clear" w:color="auto" w:fill="D6DCE4" w:themeFill="text2" w:themeFillTint="33"/>
            <w:vAlign w:val="center"/>
          </w:tcPr>
          <w:p>
            <w:pPr>
              <w:spacing w:line="30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支出内容</w:t>
            </w:r>
          </w:p>
        </w:tc>
        <w:tc>
          <w:tcPr>
            <w:tcW w:w="1785" w:type="dxa"/>
            <w:shd w:val="clear" w:color="auto" w:fill="D6DCE4" w:themeFill="text2" w:themeFillTint="33"/>
            <w:vAlign w:val="center"/>
          </w:tcPr>
          <w:p>
            <w:pPr>
              <w:spacing w:line="30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支出金额</w:t>
            </w:r>
          </w:p>
          <w:p>
            <w:pPr>
              <w:spacing w:line="30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（万元）</w:t>
            </w:r>
          </w:p>
        </w:tc>
        <w:tc>
          <w:tcPr>
            <w:tcW w:w="4275" w:type="dxa"/>
            <w:shd w:val="clear" w:color="auto" w:fill="D6DCE4" w:themeFill="text2" w:themeFillTint="33"/>
            <w:vAlign w:val="center"/>
          </w:tcPr>
          <w:p>
            <w:pPr>
              <w:spacing w:line="30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高新技术企业培育奖补</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3582.42</w:t>
            </w:r>
          </w:p>
        </w:tc>
        <w:tc>
          <w:tcPr>
            <w:tcW w:w="427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其中542万元由市财政局拨付到县区财政局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跨元项目配套资金</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300.00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孵化器众创空间专项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229.20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孵化器众创空间专项（众投邦）</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961.51</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第八届中国创新创业大赛</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206.00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“先进智造-新材料”创新大赛</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180.00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企业研发市级财政补助资金</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499.96</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重大科技专项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1200.00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社会发展与企业科技特派员</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440.00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省科学技术配套奖励经费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30.00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农业农村科技方向</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470.00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产学研合作专项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490.00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shd w:val="clear" w:color="auto" w:fill="auto"/>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企业研发机构奖补</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880.00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专利资助及专利实施计划</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600.00</w:t>
            </w:r>
          </w:p>
        </w:tc>
        <w:tc>
          <w:tcPr>
            <w:tcW w:w="427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机构改革转市场监管局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防震减灾专项费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30.00</w:t>
            </w:r>
          </w:p>
        </w:tc>
        <w:tc>
          <w:tcPr>
            <w:tcW w:w="427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机构改革转应急管理局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项目管理费</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142.60</w:t>
            </w:r>
          </w:p>
        </w:tc>
        <w:tc>
          <w:tcPr>
            <w:tcW w:w="4275" w:type="dxa"/>
            <w:vAlign w:val="center"/>
          </w:tcPr>
          <w:p>
            <w:pPr>
              <w:spacing w:line="300" w:lineRule="auto"/>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3"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t>合计</w:t>
            </w:r>
          </w:p>
        </w:tc>
        <w:tc>
          <w:tcPr>
            <w:tcW w:w="1785" w:type="dxa"/>
            <w:vAlign w:val="center"/>
          </w:tcPr>
          <w:p>
            <w:pPr>
              <w:spacing w:line="300" w:lineRule="auto"/>
              <w:ind w:firstLine="0" w:firstLineChars="0"/>
              <w:jc w:val="cente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=SUM(ABOVE) </w:instrText>
            </w:r>
            <w:r>
              <w:rPr>
                <w:rFonts w:hint="eastAsia" w:ascii="宋体" w:hAnsi="宋体" w:eastAsia="宋体" w:cs="宋体"/>
                <w:sz w:val="21"/>
                <w:szCs w:val="21"/>
              </w:rPr>
              <w:fldChar w:fldCharType="separate"/>
            </w:r>
            <w:r>
              <w:rPr>
                <w:rFonts w:hint="eastAsia" w:ascii="宋体" w:hAnsi="宋体" w:eastAsia="宋体" w:cs="宋体"/>
                <w:sz w:val="21"/>
                <w:szCs w:val="21"/>
              </w:rPr>
              <w:t>10241.70</w:t>
            </w:r>
            <w:r>
              <w:rPr>
                <w:rFonts w:hint="eastAsia" w:ascii="宋体" w:hAnsi="宋体" w:eastAsia="宋体" w:cs="宋体"/>
                <w:sz w:val="21"/>
                <w:szCs w:val="21"/>
              </w:rPr>
              <w:fldChar w:fldCharType="end"/>
            </w:r>
          </w:p>
        </w:tc>
        <w:tc>
          <w:tcPr>
            <w:tcW w:w="4275" w:type="dxa"/>
            <w:vAlign w:val="center"/>
          </w:tcPr>
          <w:p>
            <w:pPr>
              <w:spacing w:line="300" w:lineRule="auto"/>
              <w:ind w:firstLine="0" w:firstLineChars="0"/>
              <w:jc w:val="center"/>
              <w:rPr>
                <w:rFonts w:ascii="宋体" w:hAnsi="宋体" w:eastAsia="宋体" w:cs="宋体"/>
                <w:sz w:val="21"/>
                <w:szCs w:val="21"/>
              </w:rPr>
            </w:pPr>
          </w:p>
        </w:tc>
      </w:tr>
    </w:tbl>
    <w:p>
      <w:pPr>
        <w:pStyle w:val="3"/>
        <w:ind w:firstLine="640"/>
        <w:rPr>
          <w:rFonts w:hint="eastAsia" w:eastAsia="楷体_GB2312"/>
          <w:b w:val="0"/>
          <w:bCs w:val="0"/>
          <w:lang w:eastAsia="zh-CN"/>
        </w:rPr>
      </w:pPr>
      <w:bookmarkStart w:id="17" w:name="_Toc19623153"/>
      <w:bookmarkStart w:id="18" w:name="_Toc53500207"/>
      <w:bookmarkStart w:id="19" w:name="_Toc21995517"/>
      <w:bookmarkStart w:id="20" w:name="_Toc21995285"/>
      <w:r>
        <w:rPr>
          <w:rFonts w:hint="eastAsia"/>
          <w:b w:val="0"/>
          <w:bCs w:val="0"/>
        </w:rPr>
        <w:t>（四）项目目标及实现情况</w:t>
      </w:r>
      <w:bookmarkEnd w:id="17"/>
      <w:bookmarkEnd w:id="18"/>
      <w:bookmarkEnd w:id="19"/>
      <w:bookmarkEnd w:id="20"/>
      <w:r>
        <w:rPr>
          <w:rFonts w:hint="eastAsia"/>
          <w:b w:val="0"/>
          <w:bCs w:val="0"/>
          <w:lang w:eastAsia="zh-CN"/>
        </w:rPr>
        <w:t>。</w:t>
      </w:r>
    </w:p>
    <w:p>
      <w:pPr>
        <w:pStyle w:val="4"/>
        <w:ind w:firstLine="640"/>
        <w:rPr>
          <w:rFonts w:hAnsi="Times New Roman"/>
          <w:b w:val="0"/>
          <w:bCs w:val="0"/>
          <w:color w:val="000000" w:themeColor="text1"/>
          <w14:textFill>
            <w14:solidFill>
              <w14:schemeClr w14:val="tx1"/>
            </w14:solidFill>
          </w14:textFill>
        </w:rPr>
      </w:pPr>
      <w:r>
        <w:rPr>
          <w:rFonts w:hint="eastAsia" w:hAnsi="Times New Roman"/>
          <w:b w:val="0"/>
          <w:bCs w:val="0"/>
          <w:color w:val="000000" w:themeColor="text1"/>
          <w14:textFill>
            <w14:solidFill>
              <w14:schemeClr w14:val="tx1"/>
            </w14:solidFill>
          </w14:textFill>
        </w:rPr>
        <w:t>1</w:t>
      </w:r>
      <w:r>
        <w:rPr>
          <w:rFonts w:hAnsi="Times New Roman"/>
          <w:b w:val="0"/>
          <w:bCs w:val="0"/>
          <w:color w:val="000000" w:themeColor="text1"/>
          <w14:textFill>
            <w14:solidFill>
              <w14:schemeClr w14:val="tx1"/>
            </w14:solidFill>
          </w14:textFill>
        </w:rPr>
        <w:t>.</w:t>
      </w:r>
      <w:r>
        <w:rPr>
          <w:rFonts w:hint="eastAsia" w:hAnsi="Times New Roman"/>
          <w:b w:val="0"/>
          <w:bCs w:val="0"/>
          <w:color w:val="000000" w:themeColor="text1"/>
          <w14:textFill>
            <w14:solidFill>
              <w14:schemeClr w14:val="tx1"/>
            </w14:solidFill>
          </w14:textFill>
        </w:rPr>
        <w:t>项目总体绩效目标及其实现情况</w:t>
      </w:r>
    </w:p>
    <w:p>
      <w:pPr>
        <w:ind w:firstLine="640"/>
        <w:rPr>
          <w:rFonts w:ascii="仿宋_GB2312" w:hAnsi="Times New Roman"/>
        </w:rPr>
      </w:pPr>
      <w:r>
        <w:rPr>
          <w:rFonts w:hint="eastAsia" w:ascii="仿宋_GB2312" w:hAnsi="Times New Roman"/>
        </w:rPr>
        <w:t>项目仅</w:t>
      </w:r>
      <w:r>
        <w:rPr>
          <w:rFonts w:ascii="仿宋_GB2312" w:hAnsi="Times New Roman"/>
        </w:rPr>
        <w:t>设置了子项目标，但未</w:t>
      </w:r>
      <w:r>
        <w:rPr>
          <w:rFonts w:hint="eastAsia" w:ascii="仿宋_GB2312" w:hAnsi="Times New Roman"/>
        </w:rPr>
        <w:t>见</w:t>
      </w:r>
      <w:r>
        <w:rPr>
          <w:rFonts w:ascii="仿宋_GB2312" w:hAnsi="Times New Roman"/>
        </w:rPr>
        <w:t>项目总体绩效目标</w:t>
      </w:r>
      <w:r>
        <w:rPr>
          <w:rFonts w:hint="eastAsia" w:ascii="仿宋_GB2312" w:hAnsi="Times New Roman"/>
        </w:rPr>
        <w:t>。根据《韶关市</w:t>
      </w:r>
      <w:r>
        <w:rPr>
          <w:rFonts w:ascii="仿宋_GB2312" w:hAnsi="Times New Roman"/>
        </w:rPr>
        <w:t>人民</w:t>
      </w:r>
      <w:r>
        <w:rPr>
          <w:rFonts w:hint="eastAsia" w:ascii="仿宋_GB2312" w:hAnsi="Times New Roman"/>
        </w:rPr>
        <w:t>政府</w:t>
      </w:r>
      <w:r>
        <w:rPr>
          <w:rFonts w:ascii="仿宋_GB2312" w:hAnsi="Times New Roman"/>
        </w:rPr>
        <w:t>印发关于进一步促进科技创新若干政策措施的通知</w:t>
      </w:r>
      <w:r>
        <w:rPr>
          <w:rFonts w:hint="eastAsia" w:ascii="仿宋_GB2312" w:hAnsi="Times New Roman"/>
        </w:rPr>
        <w:t>》（韶府〔2019〕19号）以及《韶关市</w:t>
      </w:r>
      <w:r>
        <w:rPr>
          <w:rFonts w:ascii="仿宋_GB2312" w:hAnsi="Times New Roman"/>
        </w:rPr>
        <w:t>加快培育高新技术企业扶持办法</w:t>
      </w:r>
      <w:r>
        <w:rPr>
          <w:rFonts w:hint="eastAsia" w:ascii="仿宋_GB2312" w:hAnsi="Times New Roman"/>
        </w:rPr>
        <w:t>》（韶科〔201</w:t>
      </w:r>
      <w:r>
        <w:rPr>
          <w:rFonts w:ascii="仿宋_GB2312" w:hAnsi="Times New Roman"/>
        </w:rPr>
        <w:t>7</w:t>
      </w:r>
      <w:r>
        <w:rPr>
          <w:rFonts w:hint="eastAsia" w:ascii="仿宋_GB2312" w:hAnsi="Times New Roman"/>
        </w:rPr>
        <w:t>〕</w:t>
      </w:r>
      <w:r>
        <w:rPr>
          <w:rFonts w:ascii="仿宋_GB2312" w:hAnsi="Times New Roman"/>
        </w:rPr>
        <w:t>76</w:t>
      </w:r>
      <w:r>
        <w:rPr>
          <w:rFonts w:hint="eastAsia" w:ascii="仿宋_GB2312" w:hAnsi="Times New Roman"/>
        </w:rPr>
        <w:t>号）等</w:t>
      </w:r>
      <w:r>
        <w:rPr>
          <w:rFonts w:ascii="仿宋_GB2312" w:hAnsi="Times New Roman"/>
        </w:rPr>
        <w:t>各实施子项的政策依据文件</w:t>
      </w:r>
      <w:r>
        <w:rPr>
          <w:rFonts w:hint="eastAsia" w:ascii="仿宋_GB2312" w:hAnsi="Times New Roman"/>
        </w:rPr>
        <w:t>提炼，项目</w:t>
      </w:r>
      <w:r>
        <w:rPr>
          <w:rFonts w:ascii="仿宋_GB2312" w:hAnsi="Times New Roman"/>
        </w:rPr>
        <w:t>总体绩效目标为</w:t>
      </w:r>
      <w:bookmarkStart w:id="21" w:name="_Hlk45011036"/>
      <w:r>
        <w:rPr>
          <w:rFonts w:hint="eastAsia" w:ascii="仿宋_GB2312" w:hAnsi="Times New Roman"/>
        </w:rPr>
        <w:t>：深入实施创新驱动发展战略，加快集聚和配置优质创新资源，完善科技创新体系，加大核心关键技术的支持，推动企业创新研发能力建设，提升韶关市高新技术产业的发展质量和效益</w:t>
      </w:r>
      <w:bookmarkEnd w:id="21"/>
      <w:r>
        <w:rPr>
          <w:rFonts w:hint="eastAsia" w:ascii="仿宋_GB2312" w:hAnsi="Times New Roman"/>
        </w:rPr>
        <w:t>。</w:t>
      </w:r>
    </w:p>
    <w:p>
      <w:pPr>
        <w:ind w:firstLine="640"/>
        <w:rPr>
          <w:rFonts w:ascii="仿宋_GB2312" w:hAnsi="Times New Roman"/>
        </w:rPr>
      </w:pPr>
      <w:r>
        <w:rPr>
          <w:rFonts w:hint="eastAsia" w:ascii="仿宋_GB2312" w:hAnsi="Times New Roman"/>
        </w:rPr>
        <w:t>根据《韶关市科技计划项目资金管理办法》（韶府规〔2019〕11号）第一</w:t>
      </w:r>
      <w:r>
        <w:rPr>
          <w:rFonts w:ascii="仿宋_GB2312" w:hAnsi="Times New Roman"/>
        </w:rPr>
        <w:t>章第四条</w:t>
      </w:r>
      <w:r>
        <w:rPr>
          <w:rFonts w:hint="eastAsia" w:ascii="仿宋_GB2312" w:hAnsi="Times New Roman"/>
        </w:rPr>
        <w:t>“到2022年</w:t>
      </w:r>
      <w:r>
        <w:rPr>
          <w:rFonts w:ascii="仿宋_GB2312" w:hAnsi="Times New Roman"/>
        </w:rPr>
        <w:t>，</w:t>
      </w:r>
      <w:r>
        <w:rPr>
          <w:rFonts w:hint="eastAsia" w:ascii="仿宋_GB2312" w:hAnsi="Times New Roman"/>
        </w:rPr>
        <w:t>建立并逐步完善科技服务体系，科技创新能力得到有效提高,国家高新技术企业达到250家以上，建立各类研发机构260家以上”,截至2019年</w:t>
      </w:r>
      <w:r>
        <w:rPr>
          <w:rFonts w:ascii="仿宋_GB2312" w:hAnsi="Times New Roman"/>
        </w:rPr>
        <w:t>年底，韶关市具有国家高新技术企业</w:t>
      </w:r>
      <w:r>
        <w:rPr>
          <w:rFonts w:hint="eastAsia" w:ascii="仿宋_GB2312" w:hAnsi="Times New Roman"/>
        </w:rPr>
        <w:t>236</w:t>
      </w:r>
      <w:r>
        <w:rPr>
          <w:rFonts w:ascii="仿宋_GB2312" w:hAnsi="Times New Roman"/>
        </w:rPr>
        <w:t>家</w:t>
      </w:r>
      <w:r>
        <w:rPr>
          <w:rFonts w:hint="eastAsia" w:ascii="仿宋_GB2312" w:hAnsi="Times New Roman"/>
        </w:rPr>
        <w:t>，规模以上工业</w:t>
      </w:r>
      <w:r>
        <w:rPr>
          <w:rFonts w:ascii="仿宋_GB2312" w:hAnsi="Times New Roman"/>
        </w:rPr>
        <w:t>企业研发机构</w:t>
      </w:r>
      <w:r>
        <w:rPr>
          <w:rFonts w:hint="eastAsia" w:ascii="仿宋_GB2312" w:hAnsi="Times New Roman"/>
        </w:rPr>
        <w:t>204家，</w:t>
      </w:r>
      <w:r>
        <w:rPr>
          <w:rFonts w:ascii="仿宋_GB2312" w:hAnsi="Times New Roman"/>
        </w:rPr>
        <w:t>科技服务体系和科技</w:t>
      </w:r>
      <w:r>
        <w:rPr>
          <w:rFonts w:hint="eastAsia" w:ascii="仿宋_GB2312" w:hAnsi="Times New Roman"/>
        </w:rPr>
        <w:t>创新</w:t>
      </w:r>
      <w:r>
        <w:rPr>
          <w:rFonts w:ascii="仿宋_GB2312" w:hAnsi="Times New Roman"/>
        </w:rPr>
        <w:t>能力逐步提高。</w:t>
      </w:r>
    </w:p>
    <w:p>
      <w:pPr>
        <w:pStyle w:val="4"/>
        <w:ind w:firstLine="640"/>
        <w:rPr>
          <w:rFonts w:hAnsi="Times New Roman"/>
          <w:b w:val="0"/>
          <w:bCs w:val="0"/>
          <w:color w:val="000000" w:themeColor="text1"/>
          <w14:textFill>
            <w14:solidFill>
              <w14:schemeClr w14:val="tx1"/>
            </w14:solidFill>
          </w14:textFill>
        </w:rPr>
      </w:pPr>
      <w:r>
        <w:rPr>
          <w:rFonts w:hAnsi="Times New Roman"/>
          <w:b w:val="0"/>
          <w:bCs w:val="0"/>
          <w:color w:val="000000" w:themeColor="text1"/>
          <w14:textFill>
            <w14:solidFill>
              <w14:schemeClr w14:val="tx1"/>
            </w14:solidFill>
          </w14:textFill>
        </w:rPr>
        <w:t>2.</w:t>
      </w:r>
      <w:r>
        <w:rPr>
          <w:rFonts w:hint="eastAsia" w:hAnsi="Times New Roman"/>
          <w:b w:val="0"/>
          <w:bCs w:val="0"/>
          <w:color w:val="000000" w:themeColor="text1"/>
          <w14:textFill>
            <w14:solidFill>
              <w14:schemeClr w14:val="tx1"/>
            </w14:solidFill>
          </w14:textFill>
        </w:rPr>
        <w:t>各</w:t>
      </w:r>
      <w:r>
        <w:rPr>
          <w:rFonts w:hAnsi="Times New Roman"/>
          <w:b w:val="0"/>
          <w:bCs w:val="0"/>
          <w:color w:val="000000" w:themeColor="text1"/>
          <w14:textFill>
            <w14:solidFill>
              <w14:schemeClr w14:val="tx1"/>
            </w14:solidFill>
          </w14:textFill>
        </w:rPr>
        <w:t>子项项目目标及其实现情况</w:t>
      </w:r>
    </w:p>
    <w:p>
      <w:pPr>
        <w:ind w:firstLine="640"/>
        <w:rPr>
          <w:rFonts w:ascii="仿宋_GB2312" w:hAnsi="Times New Roman"/>
        </w:rPr>
      </w:pPr>
      <w:bookmarkStart w:id="22" w:name="_Hlk54948895"/>
      <w:r>
        <w:rPr>
          <w:rFonts w:hint="eastAsia" w:ascii="仿宋_GB2312" w:hAnsi="Times New Roman"/>
        </w:rPr>
        <w:t>根据</w:t>
      </w:r>
      <w:r>
        <w:rPr>
          <w:rFonts w:ascii="仿宋_GB2312" w:hAnsi="Times New Roman"/>
        </w:rPr>
        <w:t>各子项</w:t>
      </w:r>
      <w:r>
        <w:rPr>
          <w:rFonts w:hint="eastAsia" w:ascii="仿宋_GB2312" w:hAnsi="Times New Roman"/>
        </w:rPr>
        <w:t>绩效</w:t>
      </w:r>
      <w:r>
        <w:rPr>
          <w:rFonts w:ascii="仿宋_GB2312" w:hAnsi="Times New Roman"/>
        </w:rPr>
        <w:t>目标自评表</w:t>
      </w:r>
      <w:r>
        <w:rPr>
          <w:rFonts w:hint="eastAsia" w:ascii="仿宋_GB2312" w:hAnsi="Times New Roman"/>
        </w:rPr>
        <w:t>及其</w:t>
      </w:r>
      <w:r>
        <w:rPr>
          <w:rFonts w:ascii="仿宋_GB2312" w:hAnsi="Times New Roman"/>
        </w:rPr>
        <w:t>相关申报文件，</w:t>
      </w:r>
      <w:r>
        <w:rPr>
          <w:rFonts w:hint="eastAsia" w:ascii="仿宋_GB2312" w:hAnsi="Times New Roman"/>
        </w:rPr>
        <w:t>除“先进智造-新材料”创新大赛项目暂未完成绩效目标，其余各子项基本完成其绩效目标</w:t>
      </w:r>
      <w:r>
        <w:rPr>
          <w:rFonts w:ascii="仿宋_GB2312" w:hAnsi="Times New Roman"/>
        </w:rPr>
        <w:t>。</w:t>
      </w:r>
      <w:bookmarkEnd w:id="22"/>
      <w:r>
        <w:rPr>
          <w:rFonts w:ascii="仿宋_GB2312" w:hAnsi="Times New Roman"/>
        </w:rPr>
        <w:t>各子项目标及其</w:t>
      </w:r>
      <w:r>
        <w:rPr>
          <w:rFonts w:hint="eastAsia" w:ascii="仿宋_GB2312" w:hAnsi="Times New Roman"/>
        </w:rPr>
        <w:t>完成</w:t>
      </w:r>
      <w:r>
        <w:rPr>
          <w:rFonts w:ascii="仿宋_GB2312" w:hAnsi="Times New Roman"/>
        </w:rPr>
        <w:t>情况</w:t>
      </w:r>
      <w:r>
        <w:rPr>
          <w:rFonts w:hint="eastAsia" w:ascii="仿宋_GB2312" w:hAnsi="Times New Roman"/>
        </w:rPr>
        <w:t>如</w:t>
      </w:r>
      <w:r>
        <w:rPr>
          <w:rFonts w:ascii="仿宋_GB2312" w:hAnsi="Times New Roman"/>
        </w:rPr>
        <w:t>表</w:t>
      </w:r>
      <w:r>
        <w:rPr>
          <w:rFonts w:hint="eastAsia" w:ascii="仿宋_GB2312" w:hAnsi="Times New Roman"/>
        </w:rPr>
        <w:t>2所示</w:t>
      </w:r>
      <w:r>
        <w:rPr>
          <w:rFonts w:ascii="仿宋_GB2312" w:hAnsi="Times New Roman"/>
        </w:rPr>
        <w:t>。</w:t>
      </w:r>
    </w:p>
    <w:p>
      <w:pPr>
        <w:ind w:firstLine="562"/>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表2 韶关市2019年度全市科技创新各子项绩效目标完成情况</w:t>
      </w:r>
    </w:p>
    <w:tbl>
      <w:tblPr>
        <w:tblStyle w:val="32"/>
        <w:tblW w:w="57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122"/>
        <w:gridCol w:w="3341"/>
        <w:gridCol w:w="722"/>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D6DCE4" w:themeFill="text2" w:themeFillTint="33"/>
            <w:vAlign w:val="center"/>
          </w:tcPr>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序号</w:t>
            </w:r>
          </w:p>
        </w:tc>
        <w:tc>
          <w:tcPr>
            <w:tcW w:w="535" w:type="pct"/>
            <w:shd w:val="clear" w:color="auto" w:fill="D6DCE4" w:themeFill="text2" w:themeFillTint="33"/>
            <w:vAlign w:val="center"/>
          </w:tcPr>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子项目</w:t>
            </w:r>
          </w:p>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名称</w:t>
            </w:r>
          </w:p>
        </w:tc>
        <w:tc>
          <w:tcPr>
            <w:tcW w:w="1593" w:type="pct"/>
            <w:shd w:val="clear" w:color="auto" w:fill="D6DCE4" w:themeFill="text2" w:themeFillTint="33"/>
            <w:vAlign w:val="center"/>
          </w:tcPr>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子项目绩效目标</w:t>
            </w:r>
          </w:p>
        </w:tc>
        <w:tc>
          <w:tcPr>
            <w:tcW w:w="344" w:type="pct"/>
            <w:shd w:val="clear" w:color="auto" w:fill="D6DCE4" w:themeFill="text2" w:themeFillTint="33"/>
            <w:vAlign w:val="center"/>
          </w:tcPr>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是否达成</w:t>
            </w:r>
          </w:p>
        </w:tc>
        <w:tc>
          <w:tcPr>
            <w:tcW w:w="2300" w:type="pct"/>
            <w:shd w:val="clear" w:color="auto" w:fill="D6DCE4" w:themeFill="text2" w:themeFillTint="33"/>
            <w:vAlign w:val="center"/>
          </w:tcPr>
          <w:p>
            <w:pPr>
              <w:adjustRightInd/>
              <w:spacing w:line="240" w:lineRule="auto"/>
              <w:ind w:firstLine="0" w:firstLineChars="0"/>
              <w:jc w:val="center"/>
              <w:rPr>
                <w:rFonts w:ascii="宋体" w:hAnsi="宋体" w:eastAsia="宋体" w:cs="Calibri"/>
                <w:b/>
                <w:sz w:val="21"/>
                <w:szCs w:val="21"/>
              </w:rPr>
            </w:pPr>
            <w:r>
              <w:rPr>
                <w:rFonts w:hint="eastAsia" w:ascii="宋体" w:hAnsi="宋体" w:eastAsia="宋体" w:cs="Calibri"/>
                <w:b/>
                <w:sz w:val="21"/>
                <w:szCs w:val="21"/>
              </w:rPr>
              <w:t>具体</w:t>
            </w:r>
            <w:r>
              <w:rPr>
                <w:rFonts w:ascii="宋体" w:hAnsi="宋体" w:eastAsia="宋体" w:cs="Calibri"/>
                <w:b/>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1</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高新技术企业培育奖补</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高新技术企业认定30家，高新技术产品认定500件，高新技术企业贷款贴息奖补预估80家。</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1.高新技术产品数量542（目标500）；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2.高新技术企业认定83家（目标30）；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3.高新技术企业贷款贴息93家（目标80家）。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2</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广东跨元航天配套资金</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对乙方新型研发机构所获得的省级科技资金给予1:1比例配套支持。</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按《韶关市人民政府 广东跨元航天医学工程技术有限公司合作协议》约定执行拨付配套资金。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3</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孵化器众创空间专项</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新增孵化器（众创空间）2家以上。</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1.2019年预期新增孵化器（众创空间）2家，实际完成4家，完成率200%。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目前，全市孵化器（众创空间）总量达到17家，其中国家级孵化器1家、省级孵化器（众创空间）6家、市级孵化器（众创空间）10家。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4</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孵化器众创空间专项（众投邦）</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完成众投邦</w:t>
            </w:r>
            <w:r>
              <w:rPr>
                <w:rFonts w:hint="eastAsia" w:ascii="微软雅黑" w:hAnsi="微软雅黑" w:eastAsia="微软雅黑" w:cs="微软雅黑"/>
                <w:sz w:val="21"/>
                <w:szCs w:val="21"/>
              </w:rPr>
              <w:t>∙</w:t>
            </w:r>
            <w:r>
              <w:rPr>
                <w:rFonts w:hint="eastAsia" w:ascii="宋体" w:hAnsi="宋体" w:eastAsia="宋体" w:cs="Calibri"/>
                <w:sz w:val="21"/>
                <w:szCs w:val="21"/>
              </w:rPr>
              <w:t>众创加速器</w:t>
            </w:r>
            <w:r>
              <w:rPr>
                <w:rFonts w:ascii="宋体" w:hAnsi="宋体" w:eastAsia="宋体" w:cs="Calibri"/>
                <w:sz w:val="21"/>
                <w:szCs w:val="21"/>
              </w:rPr>
              <w:t>19-21</w:t>
            </w:r>
            <w:r>
              <w:rPr>
                <w:rFonts w:hint="eastAsia" w:ascii="宋体" w:hAnsi="宋体" w:eastAsia="宋体" w:cs="Calibri"/>
                <w:sz w:val="21"/>
                <w:szCs w:val="21"/>
              </w:rPr>
              <w:t>层场地租金及场地装修。</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1、2018年12月已完成众投邦·众创加速器办公场地第21层装修，韶关众投邦公司已于2018年12月入场办公。</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2、2019年8月已完成众投邦·众创加速器办公场地第20层装修，韶关众投邦公司已接收使用。</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3、2020年1月已完成众投邦·众创加速器办公场地第19层装修，韶关众投邦公司已接收使用。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5</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第八届中国创新创业大赛</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发动50家企业报名参赛，成功举办韶关赛区赛事，推荐15家优秀企业晋级省赛，对接企业参加省赛、国赛。</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1.发动150家企业，其中53家企业成功报名，服务创新创业人数达200人；</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2.邀请资深专家对25家企业进行提升企业核心竞争力，培养35名企业管理人才；</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3.33家企业获得创新创业大赛补贴；</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4.联合韶关电视台、韶关日报对赛事进行宣传报道。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6</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bookmarkStart w:id="23" w:name="_Hlk44802666"/>
            <w:r>
              <w:rPr>
                <w:rFonts w:hint="eastAsia" w:ascii="宋体" w:hAnsi="宋体" w:eastAsia="宋体" w:cs="Calibri"/>
                <w:sz w:val="21"/>
                <w:szCs w:val="21"/>
              </w:rPr>
              <w:t>“先进智造-新材料”创新大赛</w:t>
            </w:r>
            <w:bookmarkEnd w:id="23"/>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3个月内办完分赛区及总决赛共5场；报名参赛企业500家；1年内引进6个项目落地韶关；通过省内外知名媒体的新闻宣传，提升韶关在广东、全国乃至海外的关注度。</w:t>
            </w:r>
          </w:p>
        </w:tc>
        <w:tc>
          <w:tcPr>
            <w:tcW w:w="344" w:type="pct"/>
            <w:vAlign w:val="center"/>
          </w:tcPr>
          <w:p>
            <w:pPr>
              <w:adjustRightInd/>
              <w:spacing w:line="240" w:lineRule="auto"/>
              <w:ind w:firstLine="0" w:firstLineChars="0"/>
              <w:jc w:val="center"/>
              <w:rPr>
                <w:rFonts w:hint="eastAsia" w:ascii="宋体" w:hAnsi="宋体" w:eastAsia="宋体" w:cs="Calibri"/>
                <w:b/>
                <w:sz w:val="21"/>
                <w:szCs w:val="21"/>
                <w:lang w:eastAsia="zh-CN"/>
              </w:rPr>
            </w:pPr>
            <w:r>
              <w:rPr>
                <w:rFonts w:hint="eastAsia" w:ascii="宋体" w:hAnsi="宋体" w:eastAsia="宋体" w:cs="Calibri"/>
                <w:b w:val="0"/>
                <w:bCs/>
                <w:sz w:val="21"/>
                <w:szCs w:val="21"/>
                <w:lang w:eastAsia="zh-CN"/>
              </w:rPr>
              <w:t>基本达成</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1.截至2019年12月31日</w:t>
            </w:r>
            <w:r>
              <w:rPr>
                <w:rFonts w:ascii="宋体" w:hAnsi="宋体" w:eastAsia="宋体" w:cs="Calibri"/>
                <w:sz w:val="21"/>
                <w:szCs w:val="21"/>
              </w:rPr>
              <w:t>，</w:t>
            </w:r>
            <w:r>
              <w:rPr>
                <w:rFonts w:hint="eastAsia" w:ascii="宋体" w:hAnsi="宋体" w:eastAsia="宋体" w:cs="Calibri"/>
                <w:sz w:val="21"/>
                <w:szCs w:val="21"/>
              </w:rPr>
              <w:t>1家企业落户韶关，另有1家企业（大赛第一名，贵州云基众智技术有限公司）已签订入驻加速器协议，待疫情结束后可正式签订企业签落地协议。其余4家企业正在洽谈中；</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2.报名参赛企业1000家；</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3.3个月内办完分赛区及总决赛共5场；</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4.在省内外知名媒体上发布宣传报道篇数89篇；</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5.24个重点项目方满意度调查79.17%，受疫情影响，部分企业暂未返工，满意度问卷无法及时回收，已收回的问卷，项目方满意度为100%。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7</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bookmarkStart w:id="24" w:name="_Hlk44802695"/>
            <w:r>
              <w:rPr>
                <w:rFonts w:hint="eastAsia" w:ascii="宋体" w:hAnsi="宋体" w:eastAsia="宋体" w:cs="Calibri"/>
                <w:sz w:val="21"/>
                <w:szCs w:val="21"/>
              </w:rPr>
              <w:t>企业研发市级财政补助资金</w:t>
            </w:r>
            <w:bookmarkEnd w:id="24"/>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鼓励企业积极开展研究开发工作，形成的新产品能实现企业年度盈利，为我市财政收入、税收收入的增加，打下基础；进一步促进企业重视研发准备金制度的建立，并提升企业主动开展研究开发费用的意愿，促进全社会研究开发费用占比的提高。</w:t>
            </w:r>
          </w:p>
        </w:tc>
        <w:tc>
          <w:tcPr>
            <w:tcW w:w="344" w:type="pct"/>
            <w:vAlign w:val="center"/>
          </w:tcPr>
          <w:p>
            <w:pPr>
              <w:adjustRightInd/>
              <w:spacing w:line="240" w:lineRule="auto"/>
              <w:ind w:firstLine="0" w:firstLineChars="0"/>
              <w:jc w:val="center"/>
              <w:rPr>
                <w:rFonts w:hint="eastAsia" w:ascii="宋体" w:hAnsi="宋体" w:eastAsia="宋体" w:cs="Calibri"/>
                <w:b/>
                <w:sz w:val="21"/>
                <w:szCs w:val="21"/>
                <w:lang w:eastAsia="zh-CN"/>
              </w:rPr>
            </w:pPr>
            <w:r>
              <w:rPr>
                <w:rFonts w:hint="eastAsia" w:ascii="宋体" w:hAnsi="宋体" w:eastAsia="宋体" w:cs="Calibri"/>
                <w:b w:val="0"/>
                <w:bCs/>
                <w:sz w:val="21"/>
                <w:szCs w:val="21"/>
                <w:lang w:eastAsia="zh-CN"/>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1.受益企业数量125家（目标125家，韶财教（2019）127号）；</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2.补贴发放时间10月17日（目标10月31日，见《韶关市公共财政综合管理平台》），获得补助的企业基本建立了研发准备金制度；</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3.企业加大了研发费支出,从上年的14.54亿元增加到16.06亿元。</w:t>
            </w:r>
            <w:bookmarkStart w:id="25" w:name="_Hlk44802724"/>
            <w:r>
              <w:rPr>
                <w:rFonts w:hint="eastAsia" w:ascii="宋体" w:hAnsi="宋体" w:eastAsia="宋体" w:cs="Calibri"/>
                <w:sz w:val="21"/>
                <w:szCs w:val="21"/>
              </w:rPr>
              <w:t>R&amp;D占GDP的比重从上年的1.17%增加到</w:t>
            </w:r>
            <w:r>
              <w:rPr>
                <w:rFonts w:ascii="宋体" w:hAnsi="宋体" w:eastAsia="宋体" w:cs="Calibri"/>
                <w:sz w:val="21"/>
                <w:szCs w:val="21"/>
              </w:rPr>
              <w:t>1.32</w:t>
            </w:r>
            <w:r>
              <w:rPr>
                <w:rFonts w:hint="eastAsia" w:ascii="宋体" w:hAnsi="宋体" w:eastAsia="宋体" w:cs="Calibri"/>
                <w:sz w:val="21"/>
                <w:szCs w:val="21"/>
              </w:rPr>
              <w:t>%。（目标1.3%）</w:t>
            </w:r>
            <w:bookmarkEnd w:id="25"/>
            <w:r>
              <w:rPr>
                <w:rFonts w:hint="eastAsia" w:ascii="宋体" w:hAnsi="宋体" w:eastAsia="宋体" w:cs="Calibri"/>
                <w:sz w:val="21"/>
                <w:szCs w:val="21"/>
              </w:rPr>
              <w:t>。</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4.获得补助的企业全部建立了研发准备金制度。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8</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重大科技专项</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完成《新一代软磁铁氧体材料关键技术研发及产业化》、《白名单体系高弹塑形牛仔超轻薄环保纤维面料及生产工艺的研发》、《阻燃防火水性聚碳酸酯聚氨酯涂料关键技术研发及产业化》、《韶关中科院新型特种精细化学品技术创新与产业化验证平台》、《高世代新型显示靶材关键技术开发及产业化》、《基于水电冷却结合稀油站的大型圆锥破碎机研发及产业化》、《优质沙田柚标准化种植深精加工及产业融合示范项目》、《现代蚕桑产业三产融合发展示范项目》相关</w:t>
            </w:r>
            <w:r>
              <w:rPr>
                <w:rFonts w:ascii="宋体" w:hAnsi="宋体" w:eastAsia="宋体" w:cs="Calibri"/>
                <w:sz w:val="21"/>
                <w:szCs w:val="21"/>
              </w:rPr>
              <w:t>技术</w:t>
            </w:r>
            <w:r>
              <w:rPr>
                <w:rFonts w:hint="eastAsia" w:ascii="宋体" w:hAnsi="宋体" w:eastAsia="宋体" w:cs="Calibri"/>
                <w:sz w:val="21"/>
                <w:szCs w:val="21"/>
              </w:rPr>
              <w:t>的</w:t>
            </w:r>
            <w:r>
              <w:rPr>
                <w:rFonts w:ascii="宋体" w:hAnsi="宋体" w:eastAsia="宋体" w:cs="Calibri"/>
                <w:sz w:val="21"/>
                <w:szCs w:val="21"/>
              </w:rPr>
              <w:t>开发和生产。</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1.《新一代软磁铁氧体材料关键技术研发及产业化》完成三款材料的开发；</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2.《白名单体系高弹塑形牛仔超轻薄环保纤维面料及生产工艺的研发》实现新型面料产品累计销售收入8000万元，累计利税720万元；</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3.《阻燃防火水性聚碳酸酯聚氨酯涂料关键技术研发及产业化》实现销售额500万元以上，纳税30万元以上；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4.《韶关中科院新型特种精细化学品技术创新与产业化验证平台》完成中试与产业化验证平台建设，已竣工剪彩；</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5.《高世代新型显示靶材关键技术开发及产业化》已完成新增产值4000万元、新增利税324万元；</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6.《基于水电冷却结合稀油站的大型圆锥破碎机研发及产业化》现圆锥破碎机总体方案设计及总图已完成，部分零部件正在设计制造；</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7.《优质沙田柚标准化种植深精加工及产业融合示范项目》实现了标准化GAP种植管理,通过了欧盟认证；</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8.《现代蚕桑产业三产融合发展示范项目》完成蚕桑种养标准化管理规范的制定。购买技术转让（专利）4项。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vMerge w:val="restar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ascii="宋体" w:hAnsi="宋体" w:eastAsia="宋体" w:cs="Calibri"/>
                <w:sz w:val="21"/>
                <w:szCs w:val="21"/>
              </w:rPr>
              <w:t>9</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bookmarkStart w:id="26" w:name="_Hlk54945380"/>
            <w:r>
              <w:rPr>
                <w:rFonts w:hint="eastAsia" w:ascii="宋体" w:hAnsi="宋体" w:eastAsia="宋体" w:cs="Calibri"/>
                <w:sz w:val="21"/>
                <w:szCs w:val="21"/>
              </w:rPr>
              <w:t>社会发展与企业科技特派员（企业科技特派员方向）</w:t>
            </w:r>
            <w:bookmarkEnd w:id="26"/>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bookmarkStart w:id="27" w:name="_Hlk54945395"/>
            <w:r>
              <w:rPr>
                <w:rFonts w:hint="eastAsia" w:ascii="宋体" w:hAnsi="宋体" w:eastAsia="宋体" w:cs="Calibri"/>
                <w:sz w:val="21"/>
                <w:szCs w:val="21"/>
              </w:rPr>
              <w:t>自主知识产权申请12项，</w:t>
            </w:r>
            <w:bookmarkEnd w:id="27"/>
            <w:r>
              <w:rPr>
                <w:rFonts w:hint="eastAsia" w:ascii="宋体" w:hAnsi="宋体" w:eastAsia="宋体" w:cs="Calibri"/>
                <w:sz w:val="21"/>
                <w:szCs w:val="21"/>
              </w:rPr>
              <w:t>年产值14亿元，引进培养人才30人。</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组织实施企业科技特派员10个。</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1.自主知识产权申请13项以上；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2.培养人才34人以上；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3.年产值15亿元以上。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项目将有力推动创新驱动发展战略实施，促进我市产业转型升级，实现韶关振兴发展。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vMerge w:val="continue"/>
            <w:shd w:val="clear" w:color="auto" w:fill="auto"/>
            <w:vAlign w:val="center"/>
          </w:tcPr>
          <w:p>
            <w:pPr>
              <w:adjustRightInd/>
              <w:spacing w:line="240" w:lineRule="auto"/>
              <w:ind w:firstLine="0" w:firstLineChars="0"/>
              <w:jc w:val="center"/>
              <w:rPr>
                <w:rFonts w:ascii="宋体" w:hAnsi="宋体" w:eastAsia="宋体" w:cs="Calibri"/>
                <w:sz w:val="21"/>
                <w:szCs w:val="21"/>
              </w:rPr>
            </w:pP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社会发展与企业科技特派员（社会发展科技计划项目）</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支持高校科研产生10项技术工艺或成果推广；疾病防治与人口健康科技项目拟培养一批卫生科技技人员；支持1项博士课题研究，为企业培养技术人员若干名；支持环境保护、可持续发展项目旅游等项目，产生3项环境污染等民生相关的科技成果；组织10场小型的科技下乡活动。</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1.新技术或新工艺30项（目标10）；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2.推广新技术6项（目标2），项目立项质量100%。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10</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省科学技术配套奖励经费</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对我市获得国家级、省级优秀科技成果加大奖励力度，推动科技人才争创优秀科研成果。</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2018年广东省人民政府关于颁发2018年度广东省科学技术奖的通报中，韶钢企业获二等奖，配套奖金30万。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1</w:t>
            </w:r>
            <w:r>
              <w:rPr>
                <w:rFonts w:ascii="宋体" w:hAnsi="宋体" w:eastAsia="宋体" w:cs="Calibri"/>
                <w:sz w:val="21"/>
                <w:szCs w:val="21"/>
              </w:rPr>
              <w:t>1</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bookmarkStart w:id="28" w:name="_Hlk54945420"/>
            <w:r>
              <w:rPr>
                <w:rFonts w:hint="eastAsia" w:ascii="宋体" w:hAnsi="宋体" w:eastAsia="宋体" w:cs="Calibri"/>
                <w:sz w:val="21"/>
                <w:szCs w:val="21"/>
              </w:rPr>
              <w:t>农业农村科技方向</w:t>
            </w:r>
            <w:bookmarkEnd w:id="28"/>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bookmarkStart w:id="29" w:name="_Hlk54945433"/>
            <w:r>
              <w:rPr>
                <w:rFonts w:hint="eastAsia" w:ascii="宋体" w:hAnsi="宋体" w:eastAsia="宋体" w:cs="Calibri"/>
                <w:sz w:val="21"/>
                <w:szCs w:val="21"/>
              </w:rPr>
              <w:t>实现新工艺或实用技术10项</w:t>
            </w:r>
            <w:bookmarkEnd w:id="29"/>
            <w:r>
              <w:rPr>
                <w:rFonts w:hint="eastAsia" w:ascii="宋体" w:hAnsi="宋体" w:eastAsia="宋体" w:cs="Calibri"/>
                <w:sz w:val="21"/>
                <w:szCs w:val="21"/>
              </w:rPr>
              <w:t>。</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1.已实现新工艺或实用技术10项；</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2.支持科技精准扶贫6项目，科技创新创业平台专项5项，开展农民培训600人次，带动贫困户60户。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1</w:t>
            </w:r>
            <w:r>
              <w:rPr>
                <w:rFonts w:ascii="宋体" w:hAnsi="宋体" w:eastAsia="宋体" w:cs="Calibri"/>
                <w:sz w:val="21"/>
                <w:szCs w:val="21"/>
              </w:rPr>
              <w:t>2</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产学研合作专项</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引进人才5人、培养人才32人、</w:t>
            </w:r>
            <w:bookmarkStart w:id="30" w:name="_Hlk54945466"/>
            <w:r>
              <w:rPr>
                <w:rFonts w:hint="eastAsia" w:ascii="宋体" w:hAnsi="宋体" w:eastAsia="宋体" w:cs="Calibri"/>
                <w:sz w:val="21"/>
                <w:szCs w:val="21"/>
              </w:rPr>
              <w:t>发明专利申请11项、实用新型申请18项</w:t>
            </w:r>
            <w:bookmarkEnd w:id="30"/>
            <w:r>
              <w:rPr>
                <w:rFonts w:hint="eastAsia" w:ascii="宋体" w:hAnsi="宋体" w:eastAsia="宋体" w:cs="Calibri"/>
                <w:sz w:val="21"/>
                <w:szCs w:val="21"/>
              </w:rPr>
              <w:t>，服务企业200家，累计新增销售收入30000万元、累计新增税收1200万</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组织实施产学研项目16项，其中产学研结合创新12项，产学研合作创新平台4项。</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1.引进培养人才16人以上；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2.新增知识产权13项（目标12项）；</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3.服务企业100家（目标80家）；</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4.新增销售收入15000万元（目标13000万元）；</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5.新增税收600万元（目标520万元）；</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6.累计新增专利或发表论文13项以上。</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项目将有力推动创新驱动发展战略实施，促进我市产业转型升级，实现韶关振兴发展。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1</w:t>
            </w:r>
            <w:r>
              <w:rPr>
                <w:rFonts w:ascii="宋体" w:hAnsi="宋体" w:eastAsia="宋体" w:cs="Calibri"/>
                <w:sz w:val="21"/>
                <w:szCs w:val="21"/>
              </w:rPr>
              <w:t>3</w:t>
            </w:r>
          </w:p>
        </w:tc>
        <w:tc>
          <w:tcPr>
            <w:tcW w:w="535" w:type="pct"/>
            <w:shd w:val="clear" w:color="auto" w:fill="auto"/>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企业研发机构奖补</w:t>
            </w:r>
          </w:p>
        </w:tc>
        <w:tc>
          <w:tcPr>
            <w:tcW w:w="1593" w:type="pct"/>
            <w:shd w:val="clear" w:color="auto" w:fill="auto"/>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累计培养和引进研究人才270人以上，</w:t>
            </w:r>
            <w:bookmarkStart w:id="31" w:name="_Hlk54945487"/>
            <w:r>
              <w:rPr>
                <w:rFonts w:hint="eastAsia" w:ascii="宋体" w:hAnsi="宋体" w:eastAsia="宋体" w:cs="Calibri"/>
                <w:sz w:val="21"/>
                <w:szCs w:val="21"/>
              </w:rPr>
              <w:t>新增知识产权申请80项</w:t>
            </w:r>
            <w:bookmarkEnd w:id="31"/>
            <w:r>
              <w:rPr>
                <w:rFonts w:hint="eastAsia" w:ascii="宋体" w:hAnsi="宋体" w:eastAsia="宋体" w:cs="Calibri"/>
                <w:sz w:val="21"/>
                <w:szCs w:val="21"/>
              </w:rPr>
              <w:t>，累计研发投入5600万元以上。</w:t>
            </w:r>
          </w:p>
        </w:tc>
        <w:tc>
          <w:tcPr>
            <w:tcW w:w="344" w:type="pct"/>
            <w:vAlign w:val="center"/>
          </w:tcPr>
          <w:p>
            <w:pPr>
              <w:adjustRightInd/>
              <w:spacing w:line="240" w:lineRule="auto"/>
              <w:ind w:firstLine="0" w:firstLineChars="0"/>
              <w:jc w:val="center"/>
              <w:rPr>
                <w:rFonts w:ascii="宋体" w:hAnsi="宋体" w:eastAsia="宋体" w:cs="Calibri"/>
                <w:sz w:val="21"/>
                <w:szCs w:val="21"/>
              </w:rPr>
            </w:pPr>
            <w:r>
              <w:rPr>
                <w:rFonts w:hint="eastAsia" w:ascii="宋体" w:hAnsi="宋体" w:eastAsia="宋体" w:cs="Calibri"/>
                <w:sz w:val="21"/>
                <w:szCs w:val="21"/>
              </w:rPr>
              <w:t>是</w:t>
            </w:r>
          </w:p>
        </w:tc>
        <w:tc>
          <w:tcPr>
            <w:tcW w:w="2300" w:type="pct"/>
            <w:vAlign w:val="center"/>
          </w:tcPr>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1.上一年度销售收入50亿元（目标47亿元）；</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2.引进培养人才283人（目标270）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3.新增知识产权申请86项（目标80）；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4.累计研发投入6000万元（目标5600）。</w:t>
            </w:r>
          </w:p>
          <w:p>
            <w:pPr>
              <w:adjustRightInd/>
              <w:spacing w:line="240" w:lineRule="auto"/>
              <w:ind w:firstLine="0" w:firstLineChars="0"/>
              <w:rPr>
                <w:rFonts w:ascii="宋体" w:hAnsi="宋体" w:eastAsia="宋体" w:cs="Calibri"/>
                <w:sz w:val="21"/>
                <w:szCs w:val="21"/>
              </w:rPr>
            </w:pPr>
            <w:r>
              <w:rPr>
                <w:rFonts w:hint="eastAsia" w:ascii="宋体" w:hAnsi="宋体" w:eastAsia="宋体" w:cs="Calibri"/>
                <w:sz w:val="21"/>
                <w:szCs w:val="21"/>
              </w:rPr>
              <w:t>项目将有力推动创新驱动发展战略实施，促进我市产业转型升级，实现韶关振兴发展。</w:t>
            </w:r>
          </w:p>
        </w:tc>
      </w:tr>
    </w:tbl>
    <w:p>
      <w:pPr>
        <w:ind w:firstLine="562"/>
        <w:rPr>
          <w:rFonts w:ascii="仿宋_GB2312" w:hAnsi="Times New Roman"/>
          <w:b/>
          <w:color w:val="000000" w:themeColor="text1"/>
          <w:sz w:val="28"/>
          <w:szCs w:val="28"/>
          <w14:textFill>
            <w14:solidFill>
              <w14:schemeClr w14:val="tx1"/>
            </w14:solidFill>
          </w14:textFill>
        </w:rPr>
      </w:pPr>
    </w:p>
    <w:p>
      <w:pPr>
        <w:pStyle w:val="2"/>
        <w:ind w:firstLine="640"/>
      </w:pPr>
      <w:bookmarkStart w:id="32" w:name="_Toc21995290"/>
      <w:bookmarkStart w:id="33" w:name="_Toc53500208"/>
      <w:bookmarkStart w:id="34" w:name="_Toc19623158"/>
      <w:bookmarkStart w:id="35" w:name="_Toc21995522"/>
      <w:r>
        <w:rPr>
          <w:rFonts w:hint="eastAsia"/>
        </w:rPr>
        <w:t>二、绩效分析</w:t>
      </w:r>
      <w:bookmarkEnd w:id="32"/>
      <w:bookmarkEnd w:id="33"/>
      <w:bookmarkEnd w:id="34"/>
      <w:bookmarkEnd w:id="35"/>
    </w:p>
    <w:p>
      <w:pPr>
        <w:pStyle w:val="3"/>
        <w:rPr>
          <w:rFonts w:hint="eastAsia" w:eastAsia="楷体_GB2312"/>
          <w:b w:val="0"/>
          <w:bCs w:val="0"/>
          <w:lang w:eastAsia="zh-CN"/>
        </w:rPr>
      </w:pPr>
      <w:bookmarkStart w:id="36" w:name="_Toc19623159"/>
      <w:bookmarkStart w:id="37" w:name="_Toc21995291"/>
      <w:bookmarkStart w:id="38" w:name="_Toc21995523"/>
      <w:bookmarkStart w:id="39" w:name="_Toc53500209"/>
      <w:r>
        <w:rPr>
          <w:rFonts w:hint="eastAsia"/>
          <w:b w:val="0"/>
          <w:bCs w:val="0"/>
        </w:rPr>
        <w:t>（一）</w:t>
      </w:r>
      <w:bookmarkEnd w:id="36"/>
      <w:bookmarkEnd w:id="37"/>
      <w:bookmarkEnd w:id="38"/>
      <w:r>
        <w:rPr>
          <w:rFonts w:hint="eastAsia"/>
          <w:b w:val="0"/>
          <w:bCs w:val="0"/>
        </w:rPr>
        <w:t>项目</w:t>
      </w:r>
      <w:r>
        <w:rPr>
          <w:b w:val="0"/>
          <w:bCs w:val="0"/>
        </w:rPr>
        <w:t>投入</w:t>
      </w:r>
      <w:bookmarkEnd w:id="39"/>
      <w:r>
        <w:rPr>
          <w:rFonts w:hint="eastAsia"/>
          <w:b w:val="0"/>
          <w:bCs w:val="0"/>
          <w:lang w:eastAsia="zh-CN"/>
        </w:rPr>
        <w:t>。</w:t>
      </w:r>
    </w:p>
    <w:p>
      <w:pPr>
        <w:ind w:firstLine="640"/>
        <w:rPr>
          <w:rFonts w:ascii="仿宋_GB2312"/>
        </w:rPr>
      </w:pPr>
      <w:bookmarkStart w:id="40" w:name="_Hlk21008371"/>
      <w:r>
        <w:rPr>
          <w:rFonts w:hint="eastAsia" w:ascii="仿宋_GB2312"/>
        </w:rPr>
        <w:t>项目投入的</w:t>
      </w:r>
      <w:r>
        <w:rPr>
          <w:rFonts w:ascii="仿宋_GB2312"/>
        </w:rPr>
        <w:t>5</w:t>
      </w:r>
      <w:r>
        <w:rPr>
          <w:rFonts w:hint="eastAsia" w:ascii="仿宋_GB2312"/>
        </w:rPr>
        <w:t>项三级指标得分率</w:t>
      </w:r>
      <w:r>
        <w:rPr>
          <w:rStyle w:val="40"/>
          <w:rFonts w:hint="eastAsia" w:ascii="仿宋_GB2312"/>
        </w:rPr>
        <w:footnoteReference w:id="0"/>
      </w:r>
      <w:r>
        <w:rPr>
          <w:rFonts w:hint="eastAsia" w:ascii="仿宋_GB2312"/>
        </w:rPr>
        <w:t>如下（图</w:t>
      </w:r>
      <w:r>
        <w:rPr>
          <w:rFonts w:ascii="仿宋_GB2312"/>
        </w:rPr>
        <w:t>1</w:t>
      </w:r>
      <w:r>
        <w:rPr>
          <w:rFonts w:hint="eastAsia" w:ascii="仿宋_GB2312"/>
        </w:rPr>
        <w:t>）：</w:t>
      </w:r>
    </w:p>
    <w:p>
      <w:pPr>
        <w:ind w:firstLine="0" w:firstLineChars="0"/>
        <w:jc w:val="center"/>
        <w:rPr>
          <w:rFonts w:ascii="仿宋_GB2312"/>
        </w:rPr>
      </w:pPr>
      <w:r>
        <w:drawing>
          <wp:inline distT="0" distB="0" distL="0" distR="0">
            <wp:extent cx="5741035" cy="2743200"/>
            <wp:effectExtent l="0" t="0" r="1206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图1 项目投入的5项三级指标各指标得分率</w:t>
      </w:r>
    </w:p>
    <w:p>
      <w:pPr>
        <w:spacing w:line="240" w:lineRule="auto"/>
        <w:ind w:firstLine="0" w:firstLineChars="0"/>
        <w:jc w:val="center"/>
        <w:rPr>
          <w:rFonts w:ascii="仿宋_GB2312" w:hAnsi="Times New Roman"/>
          <w:b/>
          <w:color w:val="000000" w:themeColor="text1"/>
          <w:sz w:val="28"/>
          <w:szCs w:val="28"/>
          <w14:textFill>
            <w14:solidFill>
              <w14:schemeClr w14:val="tx1"/>
            </w14:solidFill>
          </w14:textFill>
        </w:rPr>
      </w:pPr>
    </w:p>
    <w:bookmarkEnd w:id="40"/>
    <w:p>
      <w:pPr>
        <w:pStyle w:val="4"/>
        <w:ind w:firstLine="640"/>
        <w:rPr>
          <w:rFonts w:hAnsi="Times New Roman"/>
          <w:b w:val="0"/>
          <w:bCs w:val="0"/>
          <w:color w:val="000000" w:themeColor="text1"/>
          <w14:textFill>
            <w14:solidFill>
              <w14:schemeClr w14:val="tx1"/>
            </w14:solidFill>
          </w14:textFill>
        </w:rPr>
      </w:pPr>
      <w:bookmarkStart w:id="41" w:name="_Toc536094119"/>
      <w:r>
        <w:rPr>
          <w:rFonts w:hint="eastAsia" w:hAnsi="Times New Roman"/>
          <w:b w:val="0"/>
          <w:bCs w:val="0"/>
          <w:color w:val="000000" w:themeColor="text1"/>
          <w14:textFill>
            <w14:solidFill>
              <w14:schemeClr w14:val="tx1"/>
            </w14:solidFill>
          </w14:textFill>
        </w:rPr>
        <w:t>1.</w:t>
      </w:r>
      <w:bookmarkEnd w:id="41"/>
      <w:r>
        <w:rPr>
          <w:rFonts w:hint="eastAsia" w:hAnsi="Times New Roman"/>
          <w:b w:val="0"/>
          <w:bCs w:val="0"/>
          <w:color w:val="000000" w:themeColor="text1"/>
          <w14:textFill>
            <w14:solidFill>
              <w14:schemeClr w14:val="tx1"/>
            </w14:solidFill>
          </w14:textFill>
        </w:rPr>
        <w:t>项目立项</w:t>
      </w:r>
    </w:p>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（1）项目立项</w:t>
      </w:r>
      <w:r>
        <w:rPr>
          <w:rFonts w:hAnsi="Times New Roman"/>
          <w:color w:val="000000" w:themeColor="text1"/>
          <w14:textFill>
            <w14:solidFill>
              <w14:schemeClr w14:val="tx1"/>
            </w14:solidFill>
          </w14:textFill>
        </w:rPr>
        <w:t>依据</w:t>
      </w:r>
      <w:r>
        <w:rPr>
          <w:rFonts w:hint="eastAsia" w:hAnsi="Times New Roman"/>
          <w:color w:val="000000" w:themeColor="text1"/>
          <w14:textFill>
            <w14:solidFill>
              <w14:schemeClr w14:val="tx1"/>
            </w14:solidFill>
          </w14:textFill>
        </w:rPr>
        <w:t>较为</w:t>
      </w:r>
      <w:r>
        <w:rPr>
          <w:rFonts w:hAnsi="Times New Roman"/>
          <w:color w:val="000000" w:themeColor="text1"/>
          <w14:textFill>
            <w14:solidFill>
              <w14:schemeClr w14:val="tx1"/>
            </w14:solidFill>
          </w14:textFill>
        </w:rPr>
        <w:t>充分，</w:t>
      </w:r>
      <w:r>
        <w:rPr>
          <w:rFonts w:hint="eastAsia" w:hAnsi="Times New Roman"/>
          <w:color w:val="000000" w:themeColor="text1"/>
          <w14:textFill>
            <w14:solidFill>
              <w14:schemeClr w14:val="tx1"/>
            </w14:solidFill>
          </w14:textFill>
        </w:rPr>
        <w:t>决策</w:t>
      </w:r>
      <w:r>
        <w:rPr>
          <w:rFonts w:hAnsi="Times New Roman"/>
          <w:color w:val="000000" w:themeColor="text1"/>
          <w14:textFill>
            <w14:solidFill>
              <w14:schemeClr w14:val="tx1"/>
            </w14:solidFill>
          </w14:textFill>
        </w:rPr>
        <w:t>过程较为规范</w:t>
      </w:r>
      <w:r>
        <w:rPr>
          <w:rFonts w:hint="eastAsia" w:hAnsi="Times New Roman"/>
          <w:color w:val="000000" w:themeColor="text1"/>
          <w14:textFill>
            <w14:solidFill>
              <w14:schemeClr w14:val="tx1"/>
            </w14:solidFill>
          </w14:textFill>
        </w:rPr>
        <w:t>。</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论证决策</w:t>
      </w:r>
      <w:r>
        <w:rPr>
          <w:rFonts w:ascii="仿宋_GB2312" w:hAnsi="Times New Roman"/>
          <w:color w:val="000000" w:themeColor="text1"/>
          <w:szCs w:val="32"/>
          <w14:textFill>
            <w14:solidFill>
              <w14:schemeClr w14:val="tx1"/>
            </w14:solidFill>
          </w14:textFill>
        </w:rPr>
        <w:t>得分率</w:t>
      </w:r>
      <w:r>
        <w:rPr>
          <w:rFonts w:hint="eastAsia" w:ascii="仿宋_GB2312" w:hAnsi="Times New Roman"/>
          <w:color w:val="000000" w:themeColor="text1"/>
          <w:szCs w:val="32"/>
          <w14:textFill>
            <w14:solidFill>
              <w14:schemeClr w14:val="tx1"/>
            </w14:solidFill>
          </w14:textFill>
        </w:rPr>
        <w:t>100</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一是</w:t>
      </w:r>
      <w:r>
        <w:rPr>
          <w:rFonts w:ascii="仿宋_GB2312" w:hAnsi="Times New Roman"/>
          <w:color w:val="000000" w:themeColor="text1"/>
          <w:szCs w:val="32"/>
          <w14:textFill>
            <w14:solidFill>
              <w14:schemeClr w14:val="tx1"/>
            </w14:solidFill>
          </w14:textFill>
        </w:rPr>
        <w:t>项目立项依据较为充分</w:t>
      </w:r>
      <w:r>
        <w:rPr>
          <w:rFonts w:hint="eastAsia" w:ascii="仿宋_GB2312" w:hAnsi="Times New Roman"/>
          <w:color w:val="000000" w:themeColor="text1"/>
          <w:szCs w:val="32"/>
          <w14:textFill>
            <w14:solidFill>
              <w14:schemeClr w14:val="tx1"/>
            </w14:solidFill>
          </w14:textFill>
        </w:rPr>
        <w:t>。各</w:t>
      </w:r>
      <w:r>
        <w:rPr>
          <w:rFonts w:ascii="仿宋_GB2312" w:hAnsi="Times New Roman"/>
          <w:color w:val="000000" w:themeColor="text1"/>
          <w:szCs w:val="32"/>
          <w14:textFill>
            <w14:solidFill>
              <w14:schemeClr w14:val="tx1"/>
            </w14:solidFill>
          </w14:textFill>
        </w:rPr>
        <w:t>实施子项</w:t>
      </w:r>
      <w:r>
        <w:rPr>
          <w:rFonts w:hint="eastAsia" w:ascii="仿宋_GB2312" w:hAnsi="Times New Roman"/>
          <w:color w:val="000000" w:themeColor="text1"/>
          <w:szCs w:val="32"/>
          <w14:textFill>
            <w14:solidFill>
              <w14:schemeClr w14:val="tx1"/>
            </w14:solidFill>
          </w14:textFill>
        </w:rPr>
        <w:t>均</w:t>
      </w:r>
      <w:r>
        <w:rPr>
          <w:rFonts w:ascii="仿宋_GB2312" w:hAnsi="Times New Roman"/>
          <w:color w:val="000000" w:themeColor="text1"/>
          <w:szCs w:val="32"/>
          <w14:textFill>
            <w14:solidFill>
              <w14:schemeClr w14:val="tx1"/>
            </w14:solidFill>
          </w14:textFill>
        </w:rPr>
        <w:t>根据相关</w:t>
      </w:r>
      <w:r>
        <w:rPr>
          <w:rFonts w:hint="eastAsia" w:ascii="仿宋_GB2312" w:hAnsi="Times New Roman"/>
          <w:color w:val="000000" w:themeColor="text1"/>
          <w:szCs w:val="32"/>
          <w14:textFill>
            <w14:solidFill>
              <w14:schemeClr w14:val="tx1"/>
            </w14:solidFill>
          </w14:textFill>
        </w:rPr>
        <w:t>政策文件</w:t>
      </w:r>
      <w:r>
        <w:rPr>
          <w:rFonts w:ascii="仿宋_GB2312" w:hAnsi="Times New Roman"/>
          <w:color w:val="000000" w:themeColor="text1"/>
          <w:szCs w:val="32"/>
          <w14:textFill>
            <w14:solidFill>
              <w14:schemeClr w14:val="tx1"/>
            </w14:solidFill>
          </w14:textFill>
        </w:rPr>
        <w:t>实施，</w:t>
      </w:r>
      <w:r>
        <w:rPr>
          <w:rFonts w:hint="eastAsia" w:ascii="仿宋_GB2312" w:hAnsi="Times New Roman"/>
          <w:color w:val="000000" w:themeColor="text1"/>
          <w:szCs w:val="32"/>
          <w14:textFill>
            <w14:solidFill>
              <w14:schemeClr w14:val="tx1"/>
            </w14:solidFill>
          </w14:textFill>
        </w:rPr>
        <w:t>政策</w:t>
      </w:r>
      <w:r>
        <w:rPr>
          <w:rFonts w:ascii="仿宋_GB2312" w:hAnsi="Times New Roman"/>
          <w:color w:val="000000" w:themeColor="text1"/>
          <w:szCs w:val="32"/>
          <w14:textFill>
            <w14:solidFill>
              <w14:schemeClr w14:val="tx1"/>
            </w14:solidFill>
          </w14:textFill>
        </w:rPr>
        <w:t>文件中明确了</w:t>
      </w:r>
      <w:r>
        <w:rPr>
          <w:rFonts w:hint="eastAsia" w:ascii="仿宋_GB2312" w:hAnsi="Times New Roman"/>
          <w:color w:val="000000" w:themeColor="text1"/>
          <w:szCs w:val="32"/>
          <w14:textFill>
            <w14:solidFill>
              <w14:schemeClr w14:val="tx1"/>
            </w14:solidFill>
          </w14:textFill>
        </w:rPr>
        <w:t>各</w:t>
      </w:r>
      <w:r>
        <w:rPr>
          <w:rFonts w:ascii="仿宋_GB2312" w:hAnsi="Times New Roman"/>
          <w:color w:val="000000" w:themeColor="text1"/>
          <w:szCs w:val="32"/>
          <w14:textFill>
            <w14:solidFill>
              <w14:schemeClr w14:val="tx1"/>
            </w14:solidFill>
          </w14:textFill>
        </w:rPr>
        <w:t>子项</w:t>
      </w:r>
      <w:r>
        <w:rPr>
          <w:rFonts w:hint="eastAsia" w:ascii="仿宋_GB2312" w:hAnsi="Times New Roman"/>
          <w:color w:val="000000" w:themeColor="text1"/>
          <w:szCs w:val="32"/>
          <w14:textFill>
            <w14:solidFill>
              <w14:schemeClr w14:val="tx1"/>
            </w14:solidFill>
          </w14:textFill>
        </w:rPr>
        <w:t>支持</w:t>
      </w:r>
      <w:r>
        <w:rPr>
          <w:rFonts w:ascii="仿宋_GB2312" w:hAnsi="Times New Roman"/>
          <w:color w:val="000000" w:themeColor="text1"/>
          <w:szCs w:val="32"/>
          <w14:textFill>
            <w14:solidFill>
              <w14:schemeClr w14:val="tx1"/>
            </w14:solidFill>
          </w14:textFill>
        </w:rPr>
        <w:t>领域、支持方式</w:t>
      </w:r>
      <w:r>
        <w:rPr>
          <w:rFonts w:hint="eastAsia" w:ascii="仿宋_GB2312" w:hAnsi="Times New Roman"/>
          <w:color w:val="000000" w:themeColor="text1"/>
          <w:szCs w:val="32"/>
          <w14:textFill>
            <w14:solidFill>
              <w14:schemeClr w14:val="tx1"/>
            </w14:solidFill>
          </w14:textFill>
        </w:rPr>
        <w:t>、资金</w:t>
      </w:r>
      <w:r>
        <w:rPr>
          <w:rFonts w:ascii="仿宋_GB2312" w:hAnsi="Times New Roman"/>
          <w:color w:val="000000" w:themeColor="text1"/>
          <w:szCs w:val="32"/>
          <w14:textFill>
            <w14:solidFill>
              <w14:schemeClr w14:val="tx1"/>
            </w14:solidFill>
          </w14:textFill>
        </w:rPr>
        <w:t>额度、实施程序等</w:t>
      </w:r>
      <w:r>
        <w:rPr>
          <w:rFonts w:hint="eastAsia" w:ascii="仿宋_GB2312" w:hAnsi="Times New Roman"/>
          <w:color w:val="000000" w:themeColor="text1"/>
          <w:szCs w:val="32"/>
          <w14:textFill>
            <w14:solidFill>
              <w14:schemeClr w14:val="tx1"/>
            </w14:solidFill>
          </w14:textFill>
        </w:rPr>
        <w:t>内容（详见第一章表1）。二是项目决策</w:t>
      </w:r>
      <w:r>
        <w:rPr>
          <w:rFonts w:ascii="仿宋_GB2312" w:hAnsi="Times New Roman"/>
          <w:color w:val="000000" w:themeColor="text1"/>
          <w:szCs w:val="32"/>
          <w14:textFill>
            <w14:solidFill>
              <w14:schemeClr w14:val="tx1"/>
            </w14:solidFill>
          </w14:textFill>
        </w:rPr>
        <w:t>过程</w:t>
      </w:r>
      <w:r>
        <w:rPr>
          <w:rFonts w:hint="eastAsia" w:ascii="仿宋_GB2312" w:hAnsi="Times New Roman"/>
          <w:color w:val="000000" w:themeColor="text1"/>
          <w:szCs w:val="32"/>
          <w14:textFill>
            <w14:solidFill>
              <w14:schemeClr w14:val="tx1"/>
            </w14:solidFill>
          </w14:textFill>
        </w:rPr>
        <w:t>较为</w:t>
      </w:r>
      <w:r>
        <w:rPr>
          <w:rFonts w:ascii="仿宋_GB2312" w:hAnsi="Times New Roman"/>
          <w:color w:val="000000" w:themeColor="text1"/>
          <w:szCs w:val="32"/>
          <w14:textFill>
            <w14:solidFill>
              <w14:schemeClr w14:val="tx1"/>
            </w14:solidFill>
          </w14:textFill>
        </w:rPr>
        <w:t>规范。</w:t>
      </w: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实行专家评审与行政</w:t>
      </w:r>
      <w:r>
        <w:rPr>
          <w:rFonts w:hint="eastAsia" w:ascii="仿宋_GB2312" w:hAnsi="Times New Roman"/>
          <w:color w:val="000000" w:themeColor="text1"/>
          <w:szCs w:val="32"/>
          <w14:textFill>
            <w14:solidFill>
              <w14:schemeClr w14:val="tx1"/>
            </w14:solidFill>
          </w14:textFill>
        </w:rPr>
        <w:t>相</w:t>
      </w:r>
      <w:r>
        <w:rPr>
          <w:rFonts w:ascii="仿宋_GB2312" w:hAnsi="Times New Roman"/>
          <w:color w:val="000000" w:themeColor="text1"/>
          <w:szCs w:val="32"/>
          <w14:textFill>
            <w14:solidFill>
              <w14:schemeClr w14:val="tx1"/>
            </w14:solidFill>
          </w14:textFill>
        </w:rPr>
        <w:t>结合的</w:t>
      </w:r>
      <w:r>
        <w:rPr>
          <w:rFonts w:hint="eastAsia" w:ascii="仿宋_GB2312" w:hAnsi="Times New Roman"/>
          <w:color w:val="000000" w:themeColor="text1"/>
          <w:szCs w:val="32"/>
          <w14:textFill>
            <w14:solidFill>
              <w14:schemeClr w14:val="tx1"/>
            </w14:solidFill>
          </w14:textFill>
        </w:rPr>
        <w:t>立项</w:t>
      </w:r>
      <w:r>
        <w:rPr>
          <w:rFonts w:ascii="仿宋_GB2312" w:hAnsi="Times New Roman"/>
          <w:color w:val="000000" w:themeColor="text1"/>
          <w:szCs w:val="32"/>
          <w14:textFill>
            <w14:solidFill>
              <w14:schemeClr w14:val="tx1"/>
            </w14:solidFill>
          </w14:textFill>
        </w:rPr>
        <w:t>审批方式</w:t>
      </w:r>
      <w:r>
        <w:rPr>
          <w:rFonts w:hint="eastAsia" w:ascii="仿宋_GB2312" w:hAnsi="Times New Roman"/>
          <w:color w:val="000000" w:themeColor="text1"/>
          <w:szCs w:val="32"/>
          <w14:textFill>
            <w14:solidFill>
              <w14:schemeClr w14:val="tx1"/>
            </w14:solidFill>
          </w14:textFill>
        </w:rPr>
        <w:t>，委托</w:t>
      </w:r>
      <w:r>
        <w:rPr>
          <w:rFonts w:ascii="仿宋_GB2312" w:hAnsi="Times New Roman"/>
          <w:color w:val="000000" w:themeColor="text1"/>
          <w:szCs w:val="32"/>
          <w14:textFill>
            <w14:solidFill>
              <w14:schemeClr w14:val="tx1"/>
            </w14:solidFill>
          </w14:textFill>
        </w:rPr>
        <w:t>专家</w:t>
      </w:r>
      <w:r>
        <w:rPr>
          <w:rFonts w:hint="eastAsia" w:ascii="仿宋_GB2312" w:hAnsi="Times New Roman"/>
          <w:color w:val="000000" w:themeColor="text1"/>
          <w:szCs w:val="32"/>
          <w14:textFill>
            <w14:solidFill>
              <w14:schemeClr w14:val="tx1"/>
            </w14:solidFill>
          </w14:textFill>
        </w:rPr>
        <w:t>对</w:t>
      </w:r>
      <w:r>
        <w:rPr>
          <w:rFonts w:ascii="仿宋_GB2312" w:hAnsi="Times New Roman"/>
          <w:color w:val="000000" w:themeColor="text1"/>
          <w:szCs w:val="32"/>
          <w14:textFill>
            <w14:solidFill>
              <w14:schemeClr w14:val="tx1"/>
            </w14:solidFill>
          </w14:textFill>
        </w:rPr>
        <w:t>申报项目进行评审后</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由</w:t>
      </w:r>
      <w:r>
        <w:rPr>
          <w:rFonts w:hint="eastAsia" w:ascii="仿宋_GB2312" w:hAnsi="Times New Roman"/>
          <w:color w:val="000000" w:themeColor="text1"/>
          <w:szCs w:val="32"/>
          <w14:textFill>
            <w14:solidFill>
              <w14:schemeClr w14:val="tx1"/>
            </w14:solidFill>
          </w14:textFill>
        </w:rPr>
        <w:t>市科技局</w:t>
      </w:r>
      <w:r>
        <w:rPr>
          <w:rFonts w:ascii="仿宋_GB2312" w:hAnsi="Times New Roman"/>
          <w:color w:val="000000" w:themeColor="text1"/>
          <w:szCs w:val="32"/>
          <w14:textFill>
            <w14:solidFill>
              <w14:schemeClr w14:val="tx1"/>
            </w14:solidFill>
          </w14:textFill>
        </w:rPr>
        <w:t>党组会议</w:t>
      </w:r>
      <w:r>
        <w:rPr>
          <w:rFonts w:hint="eastAsia" w:ascii="仿宋_GB2312" w:hAnsi="Times New Roman"/>
          <w:color w:val="000000" w:themeColor="text1"/>
          <w:szCs w:val="32"/>
          <w14:textFill>
            <w14:solidFill>
              <w14:schemeClr w14:val="tx1"/>
            </w14:solidFill>
          </w14:textFill>
        </w:rPr>
        <w:t>根据</w:t>
      </w:r>
      <w:r>
        <w:rPr>
          <w:rFonts w:ascii="仿宋_GB2312" w:hAnsi="Times New Roman"/>
          <w:color w:val="000000" w:themeColor="text1"/>
          <w:szCs w:val="32"/>
          <w14:textFill>
            <w14:solidFill>
              <w14:schemeClr w14:val="tx1"/>
            </w14:solidFill>
          </w14:textFill>
        </w:rPr>
        <w:t>第三方机构的</w:t>
      </w:r>
      <w:r>
        <w:rPr>
          <w:rFonts w:hint="eastAsia" w:ascii="仿宋_GB2312" w:hAnsi="Times New Roman"/>
          <w:color w:val="000000" w:themeColor="text1"/>
          <w:szCs w:val="32"/>
          <w14:textFill>
            <w14:solidFill>
              <w14:schemeClr w14:val="tx1"/>
            </w14:solidFill>
          </w14:textFill>
        </w:rPr>
        <w:t>评审</w:t>
      </w:r>
      <w:r>
        <w:rPr>
          <w:rFonts w:ascii="仿宋_GB2312" w:hAnsi="Times New Roman"/>
          <w:color w:val="000000" w:themeColor="text1"/>
          <w:szCs w:val="32"/>
          <w14:textFill>
            <w14:solidFill>
              <w14:schemeClr w14:val="tx1"/>
            </w14:solidFill>
          </w14:textFill>
        </w:rPr>
        <w:t>结果或专家评审</w:t>
      </w:r>
      <w:r>
        <w:rPr>
          <w:rFonts w:hint="eastAsia" w:ascii="仿宋_GB2312" w:hAnsi="Times New Roman"/>
          <w:color w:val="000000" w:themeColor="text1"/>
          <w:szCs w:val="32"/>
          <w14:textFill>
            <w14:solidFill>
              <w14:schemeClr w14:val="tx1"/>
            </w14:solidFill>
          </w14:textFill>
        </w:rPr>
        <w:t>意见</w:t>
      </w:r>
      <w:r>
        <w:rPr>
          <w:rFonts w:ascii="仿宋_GB2312" w:hAnsi="Times New Roman"/>
          <w:color w:val="000000" w:themeColor="text1"/>
          <w:szCs w:val="32"/>
          <w14:textFill>
            <w14:solidFill>
              <w14:schemeClr w14:val="tx1"/>
            </w14:solidFill>
          </w14:textFill>
        </w:rPr>
        <w:t>择优立项，</w:t>
      </w:r>
      <w:r>
        <w:rPr>
          <w:rFonts w:hint="eastAsia" w:ascii="仿宋_GB2312" w:hAnsi="Times New Roman"/>
          <w:color w:val="000000" w:themeColor="text1"/>
          <w:szCs w:val="32"/>
          <w14:textFill>
            <w14:solidFill>
              <w14:schemeClr w14:val="tx1"/>
            </w14:solidFill>
          </w14:textFill>
        </w:rPr>
        <w:t>并</w:t>
      </w:r>
      <w:r>
        <w:rPr>
          <w:rFonts w:ascii="仿宋_GB2312" w:hAnsi="Times New Roman"/>
          <w:color w:val="000000" w:themeColor="text1"/>
          <w:szCs w:val="32"/>
          <w14:textFill>
            <w14:solidFill>
              <w14:schemeClr w14:val="tx1"/>
            </w14:solidFill>
          </w14:textFill>
        </w:rPr>
        <w:t>拟定资助的项目和金额</w:t>
      </w:r>
      <w:r>
        <w:rPr>
          <w:rFonts w:hint="eastAsia" w:ascii="仿宋_GB2312" w:hAnsi="Times New Roman"/>
          <w:color w:val="000000" w:themeColor="text1"/>
          <w:szCs w:val="32"/>
          <w14:textFill>
            <w14:solidFill>
              <w14:schemeClr w14:val="tx1"/>
            </w14:solidFill>
          </w14:textFill>
        </w:rPr>
        <w:t>。现场</w:t>
      </w:r>
      <w:r>
        <w:rPr>
          <w:rFonts w:ascii="仿宋_GB2312" w:hAnsi="Times New Roman"/>
          <w:color w:val="000000" w:themeColor="text1"/>
          <w:szCs w:val="32"/>
          <w14:textFill>
            <w14:solidFill>
              <w14:schemeClr w14:val="tx1"/>
            </w14:solidFill>
          </w14:textFill>
        </w:rPr>
        <w:t>核查</w:t>
      </w:r>
      <w:r>
        <w:rPr>
          <w:rFonts w:hint="eastAsia" w:ascii="仿宋_GB2312" w:hAnsi="Times New Roman"/>
          <w:color w:val="000000" w:themeColor="text1"/>
          <w:szCs w:val="32"/>
          <w14:textFill>
            <w14:solidFill>
              <w14:schemeClr w14:val="tx1"/>
            </w14:solidFill>
          </w14:textFill>
        </w:rPr>
        <w:t>了相关会议文件、可行性研究、摸底调查工作总结和测评材料。如产学研</w:t>
      </w:r>
      <w:r>
        <w:rPr>
          <w:rFonts w:ascii="仿宋_GB2312" w:hAnsi="Times New Roman"/>
          <w:color w:val="000000" w:themeColor="text1"/>
          <w:szCs w:val="32"/>
          <w14:textFill>
            <w14:solidFill>
              <w14:schemeClr w14:val="tx1"/>
            </w14:solidFill>
          </w14:textFill>
        </w:rPr>
        <w:t>项目</w:t>
      </w:r>
      <w:r>
        <w:rPr>
          <w:rFonts w:hint="eastAsia" w:ascii="仿宋_GB2312" w:hAnsi="Times New Roman"/>
          <w:color w:val="000000" w:themeColor="text1"/>
          <w:szCs w:val="32"/>
          <w14:textFill>
            <w14:solidFill>
              <w14:schemeClr w14:val="tx1"/>
            </w14:solidFill>
          </w14:textFill>
        </w:rPr>
        <w:t>开展</w:t>
      </w:r>
      <w:r>
        <w:rPr>
          <w:rFonts w:ascii="仿宋_GB2312" w:hAnsi="Times New Roman"/>
          <w:color w:val="000000" w:themeColor="text1"/>
          <w:szCs w:val="32"/>
          <w14:textFill>
            <w14:solidFill>
              <w14:schemeClr w14:val="tx1"/>
            </w14:solidFill>
          </w14:textFill>
        </w:rPr>
        <w:t>前期申报工作后，</w:t>
      </w:r>
      <w:r>
        <w:rPr>
          <w:rFonts w:hint="eastAsia" w:ascii="仿宋_GB2312" w:hAnsi="Times New Roman"/>
          <w:color w:val="000000" w:themeColor="text1"/>
          <w:szCs w:val="32"/>
          <w14:textFill>
            <w14:solidFill>
              <w14:schemeClr w14:val="tx1"/>
            </w14:solidFill>
          </w14:textFill>
        </w:rPr>
        <w:t>对2019年</w:t>
      </w:r>
      <w:r>
        <w:rPr>
          <w:rFonts w:ascii="仿宋_GB2312" w:hAnsi="Times New Roman"/>
          <w:color w:val="000000" w:themeColor="text1"/>
          <w:szCs w:val="32"/>
          <w14:textFill>
            <w14:solidFill>
              <w14:schemeClr w14:val="tx1"/>
            </w14:solidFill>
          </w14:textFill>
        </w:rPr>
        <w:t>产学研合作项目预算进行了</w:t>
      </w:r>
      <w:r>
        <w:rPr>
          <w:rFonts w:hint="eastAsia" w:ascii="仿宋_GB2312" w:hAnsi="Times New Roman"/>
          <w:color w:val="000000" w:themeColor="text1"/>
          <w:szCs w:val="32"/>
          <w14:textFill>
            <w14:solidFill>
              <w14:schemeClr w14:val="tx1"/>
            </w14:solidFill>
          </w14:textFill>
        </w:rPr>
        <w:t>可行性</w:t>
      </w:r>
      <w:r>
        <w:rPr>
          <w:rFonts w:ascii="仿宋_GB2312" w:hAnsi="Times New Roman"/>
          <w:color w:val="000000" w:themeColor="text1"/>
          <w:szCs w:val="32"/>
          <w14:textFill>
            <w14:solidFill>
              <w14:schemeClr w14:val="tx1"/>
            </w14:solidFill>
          </w14:textFill>
        </w:rPr>
        <w:t>论证，提供了《</w:t>
      </w:r>
      <w:r>
        <w:rPr>
          <w:rFonts w:hint="eastAsia" w:ascii="仿宋_GB2312" w:hAnsi="Times New Roman"/>
          <w:color w:val="000000" w:themeColor="text1"/>
          <w:szCs w:val="32"/>
          <w14:textFill>
            <w14:solidFill>
              <w14:schemeClr w14:val="tx1"/>
            </w14:solidFill>
          </w14:textFill>
        </w:rPr>
        <w:t>2019年</w:t>
      </w:r>
      <w:r>
        <w:rPr>
          <w:rFonts w:ascii="仿宋_GB2312" w:hAnsi="Times New Roman"/>
          <w:color w:val="000000" w:themeColor="text1"/>
          <w:szCs w:val="32"/>
          <w14:textFill>
            <w14:solidFill>
              <w14:schemeClr w14:val="tx1"/>
            </w14:solidFill>
          </w14:textFill>
        </w:rPr>
        <w:t>产学研合作项目</w:t>
      </w:r>
      <w:r>
        <w:rPr>
          <w:rFonts w:hint="eastAsia" w:ascii="仿宋_GB2312" w:hAnsi="Times New Roman"/>
          <w:color w:val="000000" w:themeColor="text1"/>
          <w:szCs w:val="32"/>
          <w14:textFill>
            <w14:solidFill>
              <w14:schemeClr w14:val="tx1"/>
            </w14:solidFill>
          </w14:textFill>
        </w:rPr>
        <w:t>预算</w:t>
      </w:r>
      <w:r>
        <w:rPr>
          <w:rFonts w:ascii="仿宋_GB2312" w:hAnsi="Times New Roman"/>
          <w:color w:val="000000" w:themeColor="text1"/>
          <w:szCs w:val="32"/>
          <w14:textFill>
            <w14:solidFill>
              <w14:schemeClr w14:val="tx1"/>
            </w14:solidFill>
          </w14:textFill>
        </w:rPr>
        <w:t>可行性论证方案》</w:t>
      </w:r>
      <w:r>
        <w:rPr>
          <w:rFonts w:hint="eastAsia" w:ascii="仿宋_GB2312" w:hAnsi="Times New Roman"/>
          <w:color w:val="000000" w:themeColor="text1"/>
          <w:szCs w:val="32"/>
          <w14:textFill>
            <w14:solidFill>
              <w14:schemeClr w14:val="tx1"/>
            </w14:solidFill>
          </w14:textFill>
        </w:rPr>
        <w:t>，委托</w:t>
      </w:r>
      <w:r>
        <w:rPr>
          <w:rFonts w:ascii="仿宋_GB2312" w:hAnsi="Times New Roman"/>
          <w:color w:val="000000" w:themeColor="text1"/>
          <w:szCs w:val="32"/>
          <w14:textFill>
            <w14:solidFill>
              <w14:schemeClr w14:val="tx1"/>
            </w14:solidFill>
          </w14:textFill>
        </w:rPr>
        <w:t>广东省科技基础</w:t>
      </w:r>
      <w:r>
        <w:rPr>
          <w:rFonts w:hint="eastAsia" w:ascii="仿宋_GB2312" w:hAnsi="Times New Roman"/>
          <w:color w:val="000000" w:themeColor="text1"/>
          <w:szCs w:val="32"/>
          <w14:textFill>
            <w14:solidFill>
              <w14:schemeClr w14:val="tx1"/>
            </w14:solidFill>
          </w14:textFill>
        </w:rPr>
        <w:t>条件</w:t>
      </w:r>
      <w:r>
        <w:rPr>
          <w:rFonts w:ascii="仿宋_GB2312" w:hAnsi="Times New Roman"/>
          <w:color w:val="000000" w:themeColor="text1"/>
          <w:szCs w:val="32"/>
          <w14:textFill>
            <w14:solidFill>
              <w14:schemeClr w14:val="tx1"/>
            </w14:solidFill>
          </w14:textFill>
        </w:rPr>
        <w:t>平台中心</w:t>
      </w:r>
      <w:r>
        <w:rPr>
          <w:rFonts w:hint="eastAsia" w:ascii="仿宋_GB2312" w:hAnsi="Times New Roman"/>
          <w:color w:val="000000" w:themeColor="text1"/>
          <w:szCs w:val="32"/>
          <w14:textFill>
            <w14:solidFill>
              <w14:schemeClr w14:val="tx1"/>
            </w14:solidFill>
          </w14:textFill>
        </w:rPr>
        <w:t>对</w:t>
      </w:r>
      <w:r>
        <w:rPr>
          <w:rFonts w:ascii="仿宋_GB2312" w:hAnsi="Times New Roman"/>
          <w:color w:val="000000" w:themeColor="text1"/>
          <w:szCs w:val="32"/>
          <w14:textFill>
            <w14:solidFill>
              <w14:schemeClr w14:val="tx1"/>
            </w14:solidFill>
          </w14:textFill>
        </w:rPr>
        <w:t>申报项目进行</w:t>
      </w:r>
      <w:r>
        <w:rPr>
          <w:rFonts w:hint="eastAsia" w:ascii="仿宋_GB2312" w:hAnsi="Times New Roman"/>
          <w:color w:val="000000" w:themeColor="text1"/>
          <w:szCs w:val="32"/>
          <w14:textFill>
            <w14:solidFill>
              <w14:schemeClr w14:val="tx1"/>
            </w14:solidFill>
          </w14:textFill>
        </w:rPr>
        <w:t>评审</w:t>
      </w:r>
      <w:r>
        <w:rPr>
          <w:rFonts w:ascii="仿宋_GB2312" w:hAnsi="Times New Roman"/>
          <w:color w:val="000000" w:themeColor="text1"/>
          <w:szCs w:val="32"/>
          <w14:textFill>
            <w14:solidFill>
              <w14:schemeClr w14:val="tx1"/>
            </w14:solidFill>
          </w14:textFill>
        </w:rPr>
        <w:t>，并出具《</w:t>
      </w:r>
      <w:r>
        <w:rPr>
          <w:rFonts w:hint="eastAsia" w:ascii="仿宋_GB2312" w:hAnsi="Times New Roman"/>
          <w:color w:val="000000" w:themeColor="text1"/>
          <w:szCs w:val="32"/>
          <w14:textFill>
            <w14:solidFill>
              <w14:schemeClr w14:val="tx1"/>
            </w14:solidFill>
          </w14:textFill>
        </w:rPr>
        <w:t>2019年</w:t>
      </w:r>
      <w:r>
        <w:rPr>
          <w:rFonts w:ascii="仿宋_GB2312" w:hAnsi="Times New Roman"/>
          <w:color w:val="000000" w:themeColor="text1"/>
          <w:szCs w:val="32"/>
          <w14:textFill>
            <w14:solidFill>
              <w14:schemeClr w14:val="tx1"/>
            </w14:solidFill>
          </w14:textFill>
        </w:rPr>
        <w:t>韶关科技计划项目（</w:t>
      </w:r>
      <w:r>
        <w:rPr>
          <w:rFonts w:hint="eastAsia" w:ascii="仿宋_GB2312" w:hAnsi="Times New Roman"/>
          <w:color w:val="000000" w:themeColor="text1"/>
          <w:szCs w:val="32"/>
          <w14:textFill>
            <w14:solidFill>
              <w14:schemeClr w14:val="tx1"/>
            </w14:solidFill>
          </w14:textFill>
        </w:rPr>
        <w:t>产学研</w:t>
      </w:r>
      <w:r>
        <w:rPr>
          <w:rFonts w:ascii="仿宋_GB2312" w:hAnsi="Times New Roman"/>
          <w:color w:val="000000" w:themeColor="text1"/>
          <w:szCs w:val="32"/>
          <w14:textFill>
            <w14:solidFill>
              <w14:schemeClr w14:val="tx1"/>
            </w14:solidFill>
          </w14:textFill>
        </w:rPr>
        <w:t>合作</w:t>
      </w:r>
      <w:r>
        <w:rPr>
          <w:rFonts w:hint="eastAsia" w:ascii="仿宋_GB2312" w:hAnsi="Times New Roman"/>
          <w:color w:val="000000" w:themeColor="text1"/>
          <w:szCs w:val="32"/>
          <w14:textFill>
            <w14:solidFill>
              <w14:schemeClr w14:val="tx1"/>
            </w14:solidFill>
          </w14:textFill>
        </w:rPr>
        <w:t>专项</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立项</w:t>
      </w:r>
      <w:r>
        <w:rPr>
          <w:rFonts w:ascii="仿宋_GB2312" w:hAnsi="Times New Roman"/>
          <w:color w:val="000000" w:themeColor="text1"/>
          <w:szCs w:val="32"/>
          <w14:textFill>
            <w14:solidFill>
              <w14:schemeClr w14:val="tx1"/>
            </w14:solidFill>
          </w14:textFill>
        </w:rPr>
        <w:t>评审</w:t>
      </w:r>
      <w:r>
        <w:rPr>
          <w:rFonts w:hint="eastAsia" w:ascii="仿宋_GB2312" w:hAnsi="Times New Roman"/>
          <w:color w:val="000000" w:themeColor="text1"/>
          <w:szCs w:val="32"/>
          <w14:textFill>
            <w14:solidFill>
              <w14:schemeClr w14:val="tx1"/>
            </w14:solidFill>
          </w14:textFill>
        </w:rPr>
        <w:t>报告</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根据</w:t>
      </w:r>
      <w:r>
        <w:rPr>
          <w:rFonts w:hint="eastAsia" w:ascii="仿宋_GB2312" w:hAnsi="Times New Roman"/>
          <w:color w:val="000000" w:themeColor="text1"/>
          <w:szCs w:val="32"/>
          <w14:textFill>
            <w14:solidFill>
              <w14:schemeClr w14:val="tx1"/>
            </w14:solidFill>
          </w14:textFill>
        </w:rPr>
        <w:t>立项</w:t>
      </w:r>
      <w:r>
        <w:rPr>
          <w:rFonts w:ascii="仿宋_GB2312" w:hAnsi="Times New Roman"/>
          <w:color w:val="000000" w:themeColor="text1"/>
          <w:szCs w:val="32"/>
          <w14:textFill>
            <w14:solidFill>
              <w14:schemeClr w14:val="tx1"/>
            </w14:solidFill>
          </w14:textFill>
        </w:rPr>
        <w:t>评审</w:t>
      </w:r>
      <w:r>
        <w:rPr>
          <w:rFonts w:hint="eastAsia" w:ascii="仿宋_GB2312" w:hAnsi="Times New Roman"/>
          <w:color w:val="000000" w:themeColor="text1"/>
          <w:szCs w:val="32"/>
          <w14:textFill>
            <w14:solidFill>
              <w14:schemeClr w14:val="tx1"/>
            </w14:solidFill>
          </w14:textFill>
        </w:rPr>
        <w:t>意见选择16个项目立项。</w:t>
      </w:r>
    </w:p>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（2）目标设置</w:t>
      </w:r>
      <w:r>
        <w:rPr>
          <w:rFonts w:hAnsi="Times New Roman"/>
          <w:color w:val="000000" w:themeColor="text1"/>
          <w14:textFill>
            <w14:solidFill>
              <w14:schemeClr w14:val="tx1"/>
            </w14:solidFill>
          </w14:textFill>
        </w:rPr>
        <w:t>进行了</w:t>
      </w:r>
      <w:r>
        <w:rPr>
          <w:rFonts w:hint="eastAsia" w:hAnsi="Times New Roman"/>
          <w:color w:val="000000" w:themeColor="text1"/>
          <w14:textFill>
            <w14:solidFill>
              <w14:schemeClr w14:val="tx1"/>
            </w14:solidFill>
          </w14:textFill>
        </w:rPr>
        <w:t>细化</w:t>
      </w:r>
      <w:r>
        <w:rPr>
          <w:rFonts w:hAnsi="Times New Roman"/>
          <w:color w:val="000000" w:themeColor="text1"/>
          <w14:textFill>
            <w14:solidFill>
              <w14:schemeClr w14:val="tx1"/>
            </w14:solidFill>
          </w14:textFill>
        </w:rPr>
        <w:t>和量化，</w:t>
      </w:r>
      <w:r>
        <w:rPr>
          <w:rFonts w:hint="eastAsia" w:hAnsi="Times New Roman"/>
          <w:color w:val="000000" w:themeColor="text1"/>
          <w14:textFill>
            <w14:solidFill>
              <w14:schemeClr w14:val="tx1"/>
            </w14:solidFill>
          </w14:textFill>
        </w:rPr>
        <w:t>但</w:t>
      </w:r>
      <w:r>
        <w:rPr>
          <w:rFonts w:hAnsi="Times New Roman"/>
          <w:color w:val="000000" w:themeColor="text1"/>
          <w14:textFill>
            <w14:solidFill>
              <w14:schemeClr w14:val="tx1"/>
            </w14:solidFill>
          </w14:textFill>
        </w:rPr>
        <w:t>绩效</w:t>
      </w:r>
      <w:r>
        <w:rPr>
          <w:rFonts w:hint="eastAsia" w:hAnsi="Times New Roman"/>
          <w:color w:val="000000" w:themeColor="text1"/>
          <w14:textFill>
            <w14:solidFill>
              <w14:schemeClr w14:val="tx1"/>
            </w14:solidFill>
          </w14:textFill>
        </w:rPr>
        <w:t>指标</w:t>
      </w:r>
      <w:r>
        <w:rPr>
          <w:rFonts w:hAnsi="Times New Roman"/>
          <w:color w:val="000000" w:themeColor="text1"/>
          <w14:textFill>
            <w14:solidFill>
              <w14:schemeClr w14:val="tx1"/>
            </w14:solidFill>
          </w14:textFill>
        </w:rPr>
        <w:t>完整性和科学性</w:t>
      </w:r>
      <w:r>
        <w:rPr>
          <w:rFonts w:hint="eastAsia" w:hAnsi="Times New Roman"/>
          <w:color w:val="000000" w:themeColor="text1"/>
          <w14:textFill>
            <w14:solidFill>
              <w14:schemeClr w14:val="tx1"/>
            </w14:solidFill>
          </w14:textFill>
        </w:rPr>
        <w:t>有待加强。</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目标</w:t>
      </w:r>
      <w:r>
        <w:rPr>
          <w:rFonts w:ascii="仿宋_GB2312" w:hAnsi="Times New Roman"/>
          <w:color w:val="000000" w:themeColor="text1"/>
          <w:szCs w:val="32"/>
          <w14:textFill>
            <w14:solidFill>
              <w14:schemeClr w14:val="tx1"/>
            </w14:solidFill>
          </w14:textFill>
        </w:rPr>
        <w:t>设置得分率</w:t>
      </w:r>
      <w:r>
        <w:rPr>
          <w:rFonts w:hint="eastAsia" w:ascii="仿宋_GB2312" w:hAnsi="Times New Roman"/>
          <w:color w:val="000000" w:themeColor="text1"/>
          <w:szCs w:val="32"/>
          <w14:textFill>
            <w14:solidFill>
              <w14:schemeClr w14:val="tx1"/>
            </w14:solidFill>
          </w14:textFill>
        </w:rPr>
        <w:t>66.67</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各子项</w:t>
      </w:r>
      <w:r>
        <w:rPr>
          <w:rFonts w:ascii="仿宋_GB2312" w:hAnsi="Times New Roman"/>
          <w:color w:val="000000" w:themeColor="text1"/>
          <w:szCs w:val="32"/>
          <w14:textFill>
            <w14:solidFill>
              <w14:schemeClr w14:val="tx1"/>
            </w14:solidFill>
          </w14:textFill>
        </w:rPr>
        <w:t>均根据项目</w:t>
      </w:r>
      <w:r>
        <w:rPr>
          <w:rFonts w:hint="eastAsia" w:ascii="仿宋_GB2312" w:hAnsi="Times New Roman"/>
          <w:color w:val="000000" w:themeColor="text1"/>
          <w:szCs w:val="32"/>
          <w14:textFill>
            <w14:solidFill>
              <w14:schemeClr w14:val="tx1"/>
            </w14:solidFill>
          </w14:textFill>
        </w:rPr>
        <w:t>实施</w:t>
      </w:r>
      <w:r>
        <w:rPr>
          <w:rFonts w:ascii="仿宋_GB2312" w:hAnsi="Times New Roman"/>
          <w:color w:val="000000" w:themeColor="text1"/>
          <w:szCs w:val="32"/>
          <w14:textFill>
            <w14:solidFill>
              <w14:schemeClr w14:val="tx1"/>
            </w14:solidFill>
          </w14:textFill>
        </w:rPr>
        <w:t>内容和项目特点设置了</w:t>
      </w:r>
      <w:r>
        <w:rPr>
          <w:rFonts w:hint="eastAsia" w:ascii="仿宋_GB2312" w:hAnsi="Times New Roman"/>
          <w:color w:val="000000" w:themeColor="text1"/>
          <w:szCs w:val="32"/>
          <w14:textFill>
            <w14:solidFill>
              <w14:schemeClr w14:val="tx1"/>
            </w14:solidFill>
          </w14:textFill>
        </w:rPr>
        <w:t>项目总体目标及对应</w:t>
      </w:r>
      <w:r>
        <w:rPr>
          <w:rFonts w:ascii="仿宋_GB2312" w:hAnsi="Times New Roman"/>
          <w:color w:val="000000" w:themeColor="text1"/>
          <w:szCs w:val="32"/>
          <w14:textFill>
            <w14:solidFill>
              <w14:schemeClr w14:val="tx1"/>
            </w14:solidFill>
          </w14:textFill>
        </w:rPr>
        <w:t>绩效</w:t>
      </w:r>
      <w:r>
        <w:rPr>
          <w:rFonts w:hint="eastAsia" w:ascii="仿宋_GB2312" w:hAnsi="Times New Roman"/>
          <w:color w:val="000000" w:themeColor="text1"/>
          <w:szCs w:val="32"/>
          <w14:textFill>
            <w14:solidFill>
              <w14:schemeClr w14:val="tx1"/>
            </w14:solidFill>
          </w14:textFill>
        </w:rPr>
        <w:t>指标，</w:t>
      </w:r>
      <w:r>
        <w:rPr>
          <w:rFonts w:ascii="仿宋_GB2312" w:hAnsi="Times New Roman"/>
          <w:color w:val="000000" w:themeColor="text1"/>
          <w:szCs w:val="32"/>
          <w14:textFill>
            <w14:solidFill>
              <w14:schemeClr w14:val="tx1"/>
            </w14:solidFill>
          </w14:textFill>
        </w:rPr>
        <w:t>具</w:t>
      </w:r>
      <w:r>
        <w:rPr>
          <w:rFonts w:hint="eastAsia" w:ascii="仿宋_GB2312" w:hAnsi="Times New Roman"/>
          <w:color w:val="000000" w:themeColor="text1"/>
          <w:szCs w:val="32"/>
          <w14:textFill>
            <w14:solidFill>
              <w14:schemeClr w14:val="tx1"/>
            </w14:solidFill>
          </w14:textFill>
        </w:rPr>
        <w:t>一定的可衡量性，但还不够全面，绩效</w:t>
      </w:r>
      <w:r>
        <w:rPr>
          <w:rFonts w:ascii="仿宋_GB2312" w:hAnsi="Times New Roman"/>
          <w:color w:val="000000" w:themeColor="text1"/>
          <w:szCs w:val="32"/>
          <w14:textFill>
            <w14:solidFill>
              <w14:schemeClr w14:val="tx1"/>
            </w14:solidFill>
          </w14:textFill>
        </w:rPr>
        <w:t>指标的完整性和科学性</w:t>
      </w:r>
      <w:r>
        <w:rPr>
          <w:rFonts w:hint="eastAsia" w:ascii="仿宋_GB2312" w:hAnsi="Times New Roman"/>
          <w:color w:val="000000" w:themeColor="text1"/>
          <w:szCs w:val="32"/>
          <w14:textFill>
            <w14:solidFill>
              <w14:schemeClr w14:val="tx1"/>
            </w14:solidFill>
          </w14:textFill>
        </w:rPr>
        <w:t>有待</w:t>
      </w:r>
      <w:r>
        <w:rPr>
          <w:rFonts w:ascii="仿宋_GB2312" w:hAnsi="Times New Roman"/>
          <w:color w:val="000000" w:themeColor="text1"/>
          <w:szCs w:val="32"/>
          <w14:textFill>
            <w14:solidFill>
              <w14:schemeClr w14:val="tx1"/>
            </w14:solidFill>
          </w14:textFill>
        </w:rPr>
        <w:t>加强</w:t>
      </w:r>
      <w:r>
        <w:rPr>
          <w:rFonts w:hint="eastAsia" w:ascii="仿宋_GB2312" w:hAnsi="Times New Roman"/>
          <w:color w:val="000000" w:themeColor="text1"/>
          <w:szCs w:val="32"/>
          <w14:textFill>
            <w14:solidFill>
              <w14:schemeClr w14:val="tx1"/>
            </w14:solidFill>
          </w14:textFill>
        </w:rPr>
        <w:t>：大多子项仅以拨付资金惠及的企业个数等产出作为绩效指标，未设置相关社会经济效益指标。例如</w:t>
      </w:r>
      <w:bookmarkStart w:id="42" w:name="_Hlk44870840"/>
      <w:r>
        <w:rPr>
          <w:rFonts w:hint="eastAsia" w:ascii="仿宋_GB2312" w:hAnsi="Times New Roman"/>
          <w:color w:val="000000" w:themeColor="text1"/>
          <w:szCs w:val="32"/>
          <w14:textFill>
            <w14:solidFill>
              <w14:schemeClr w14:val="tx1"/>
            </w14:solidFill>
          </w14:textFill>
        </w:rPr>
        <w:t>培育高新技术企业奖补资金子项</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其产出和效益指标为“高新技术产品数量”、</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高新技术企业认定</w:t>
      </w:r>
      <w:r>
        <w:rPr>
          <w:rFonts w:ascii="仿宋_GB2312" w:hAnsi="Times New Roman"/>
          <w:color w:val="000000" w:themeColor="text1"/>
          <w:szCs w:val="32"/>
          <w14:textFill>
            <w14:solidFill>
              <w14:schemeClr w14:val="tx1"/>
            </w14:solidFill>
          </w14:textFill>
        </w:rPr>
        <w:t xml:space="preserve">” </w:t>
      </w:r>
      <w:r>
        <w:rPr>
          <w:rFonts w:hint="eastAsia" w:ascii="仿宋_GB2312" w:hAnsi="Times New Roman"/>
          <w:color w:val="000000" w:themeColor="text1"/>
          <w:szCs w:val="32"/>
          <w14:textFill>
            <w14:solidFill>
              <w14:schemeClr w14:val="tx1"/>
            </w14:solidFill>
          </w14:textFill>
        </w:rPr>
        <w:t>、“</w:t>
      </w:r>
      <w:bookmarkStart w:id="43" w:name="_Hlk44853056"/>
      <w:r>
        <w:rPr>
          <w:rFonts w:hint="eastAsia" w:ascii="仿宋_GB2312" w:hAnsi="Times New Roman"/>
          <w:color w:val="000000" w:themeColor="text1"/>
          <w:szCs w:val="32"/>
          <w14:textFill>
            <w14:solidFill>
              <w14:schemeClr w14:val="tx1"/>
            </w14:solidFill>
          </w14:textFill>
        </w:rPr>
        <w:t>高新技术企业贷款贴息”</w:t>
      </w:r>
      <w:bookmarkEnd w:id="43"/>
      <w:r>
        <w:rPr>
          <w:rFonts w:hint="eastAsia" w:ascii="仿宋_GB2312" w:hAnsi="Times New Roman"/>
          <w:color w:val="000000" w:themeColor="text1"/>
          <w:szCs w:val="32"/>
          <w14:textFill>
            <w14:solidFill>
              <w14:schemeClr w14:val="tx1"/>
            </w14:solidFill>
          </w14:textFill>
        </w:rPr>
        <w:t>、“推动高新技术企业持续发展”等4个指标，仅</w:t>
      </w:r>
      <w:r>
        <w:rPr>
          <w:rFonts w:ascii="仿宋_GB2312" w:hAnsi="Times New Roman"/>
          <w:color w:val="000000" w:themeColor="text1"/>
          <w:szCs w:val="32"/>
          <w14:textFill>
            <w14:solidFill>
              <w14:schemeClr w14:val="tx1"/>
            </w14:solidFill>
          </w14:textFill>
        </w:rPr>
        <w:t>反映了项目实施内容，未</w:t>
      </w:r>
      <w:r>
        <w:rPr>
          <w:rFonts w:hint="eastAsia" w:ascii="仿宋_GB2312" w:hAnsi="Times New Roman"/>
          <w:color w:val="000000" w:themeColor="text1"/>
          <w:szCs w:val="32"/>
          <w14:textFill>
            <w14:solidFill>
              <w14:schemeClr w14:val="tx1"/>
            </w14:solidFill>
          </w14:textFill>
        </w:rPr>
        <w:t>体现其立项依据文件</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韶关市</w:t>
      </w:r>
      <w:r>
        <w:rPr>
          <w:rFonts w:ascii="仿宋_GB2312" w:hAnsi="Times New Roman"/>
          <w:color w:val="000000" w:themeColor="text1"/>
          <w:szCs w:val="32"/>
          <w14:textFill>
            <w14:solidFill>
              <w14:schemeClr w14:val="tx1"/>
            </w14:solidFill>
          </w14:textFill>
        </w:rPr>
        <w:t>加快培育高新技术企业扶持</w:t>
      </w:r>
      <w:r>
        <w:rPr>
          <w:rFonts w:hint="eastAsia" w:ascii="仿宋_GB2312" w:hAnsi="Times New Roman"/>
          <w:color w:val="000000" w:themeColor="text1"/>
          <w:szCs w:val="32"/>
          <w14:textFill>
            <w14:solidFill>
              <w14:schemeClr w14:val="tx1"/>
            </w14:solidFill>
          </w14:textFill>
        </w:rPr>
        <w:t>办法</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（韶</w:t>
      </w:r>
      <w:r>
        <w:rPr>
          <w:rFonts w:ascii="仿宋_GB2312" w:hAnsi="Times New Roman"/>
          <w:color w:val="000000" w:themeColor="text1"/>
          <w:szCs w:val="32"/>
          <w14:textFill>
            <w14:solidFill>
              <w14:schemeClr w14:val="tx1"/>
            </w14:solidFill>
          </w14:textFill>
        </w:rPr>
        <w:t>科</w:t>
      </w:r>
      <w:r>
        <w:rPr>
          <w:rFonts w:hint="eastAsia" w:ascii="仿宋_GB2312" w:hAnsi="Times New Roman"/>
          <w:color w:val="000000" w:themeColor="text1"/>
          <w:szCs w:val="32"/>
          <w14:textFill>
            <w14:solidFill>
              <w14:schemeClr w14:val="tx1"/>
            </w14:solidFill>
          </w14:textFill>
        </w:rPr>
        <w:t>〔2017〕76号）</w:t>
      </w:r>
      <w:r>
        <w:rPr>
          <w:rFonts w:ascii="仿宋_GB2312" w:hAnsi="Times New Roman"/>
          <w:color w:val="000000" w:themeColor="text1"/>
          <w:szCs w:val="32"/>
          <w14:textFill>
            <w14:solidFill>
              <w14:schemeClr w14:val="tx1"/>
            </w14:solidFill>
          </w14:textFill>
        </w:rPr>
        <w:t>中</w:t>
      </w:r>
      <w:r>
        <w:rPr>
          <w:rFonts w:hint="eastAsia" w:ascii="仿宋_GB2312" w:hAnsi="Times New Roman"/>
          <w:color w:val="000000" w:themeColor="text1"/>
          <w:szCs w:val="32"/>
          <w14:textFill>
            <w14:solidFill>
              <w14:schemeClr w14:val="tx1"/>
            </w14:solidFill>
          </w14:textFill>
        </w:rPr>
        <w:t>“增强</w:t>
      </w:r>
      <w:r>
        <w:rPr>
          <w:rFonts w:ascii="仿宋_GB2312" w:hAnsi="Times New Roman"/>
          <w:color w:val="000000" w:themeColor="text1"/>
          <w:szCs w:val="32"/>
          <w14:textFill>
            <w14:solidFill>
              <w14:schemeClr w14:val="tx1"/>
            </w14:solidFill>
          </w14:textFill>
        </w:rPr>
        <w:t>科技创新企业核心竞争力</w:t>
      </w:r>
      <w:r>
        <w:rPr>
          <w:rFonts w:hint="eastAsia" w:ascii="仿宋_GB2312" w:hAnsi="Times New Roman"/>
          <w:color w:val="000000" w:themeColor="text1"/>
          <w:szCs w:val="32"/>
          <w14:textFill>
            <w14:solidFill>
              <w14:schemeClr w14:val="tx1"/>
            </w14:solidFill>
          </w14:textFill>
        </w:rPr>
        <w:t>，提升</w:t>
      </w:r>
      <w:r>
        <w:rPr>
          <w:rFonts w:ascii="仿宋_GB2312" w:hAnsi="Times New Roman"/>
          <w:color w:val="000000" w:themeColor="text1"/>
          <w:szCs w:val="32"/>
          <w14:textFill>
            <w14:solidFill>
              <w14:schemeClr w14:val="tx1"/>
            </w14:solidFill>
          </w14:textFill>
        </w:rPr>
        <w:t>科技创新企业的</w:t>
      </w:r>
      <w:r>
        <w:rPr>
          <w:rFonts w:hint="eastAsia" w:ascii="仿宋_GB2312" w:hAnsi="Times New Roman"/>
          <w:color w:val="000000" w:themeColor="text1"/>
          <w:szCs w:val="32"/>
          <w14:textFill>
            <w14:solidFill>
              <w14:schemeClr w14:val="tx1"/>
            </w14:solidFill>
          </w14:textFill>
        </w:rPr>
        <w:t>质量</w:t>
      </w:r>
      <w:r>
        <w:rPr>
          <w:rFonts w:ascii="仿宋_GB2312" w:hAnsi="Times New Roman"/>
          <w:color w:val="000000" w:themeColor="text1"/>
          <w:szCs w:val="32"/>
          <w14:textFill>
            <w14:solidFill>
              <w14:schemeClr w14:val="tx1"/>
            </w14:solidFill>
          </w14:textFill>
        </w:rPr>
        <w:t>和效益</w:t>
      </w:r>
      <w:r>
        <w:rPr>
          <w:rFonts w:hint="eastAsia" w:ascii="仿宋_GB2312" w:hAnsi="Times New Roman"/>
          <w:color w:val="000000" w:themeColor="text1"/>
          <w:szCs w:val="32"/>
          <w14:textFill>
            <w14:solidFill>
              <w14:schemeClr w14:val="tx1"/>
            </w14:solidFill>
          </w14:textFill>
        </w:rPr>
        <w:t>，推动全市</w:t>
      </w:r>
      <w:r>
        <w:rPr>
          <w:rFonts w:ascii="仿宋_GB2312" w:hAnsi="Times New Roman"/>
          <w:color w:val="000000" w:themeColor="text1"/>
          <w:szCs w:val="32"/>
          <w14:textFill>
            <w14:solidFill>
              <w14:schemeClr w14:val="tx1"/>
            </w14:solidFill>
          </w14:textFill>
        </w:rPr>
        <w:t>高新技术企业的</w:t>
      </w:r>
      <w:r>
        <w:rPr>
          <w:rFonts w:hint="eastAsia" w:ascii="仿宋_GB2312" w:hAnsi="Times New Roman"/>
          <w:color w:val="000000" w:themeColor="text1"/>
          <w:szCs w:val="32"/>
          <w14:textFill>
            <w14:solidFill>
              <w14:schemeClr w14:val="tx1"/>
            </w14:solidFill>
          </w14:textFill>
        </w:rPr>
        <w:t>培育</w:t>
      </w:r>
      <w:r>
        <w:rPr>
          <w:rFonts w:ascii="仿宋_GB2312" w:hAnsi="Times New Roman"/>
          <w:color w:val="000000" w:themeColor="text1"/>
          <w:szCs w:val="32"/>
          <w14:textFill>
            <w14:solidFill>
              <w14:schemeClr w14:val="tx1"/>
            </w14:solidFill>
          </w14:textFill>
        </w:rPr>
        <w:t>和发展</w:t>
      </w:r>
      <w:r>
        <w:rPr>
          <w:rFonts w:hint="eastAsia" w:ascii="仿宋_GB2312" w:hAnsi="Times New Roman"/>
          <w:color w:val="000000" w:themeColor="text1"/>
          <w:szCs w:val="32"/>
          <w14:textFill>
            <w14:solidFill>
              <w14:schemeClr w14:val="tx1"/>
            </w14:solidFill>
          </w14:textFill>
        </w:rPr>
        <w:t>”的</w:t>
      </w:r>
      <w:r>
        <w:rPr>
          <w:rFonts w:ascii="仿宋_GB2312" w:hAnsi="Times New Roman"/>
          <w:color w:val="000000" w:themeColor="text1"/>
          <w:szCs w:val="32"/>
          <w14:textFill>
            <w14:solidFill>
              <w14:schemeClr w14:val="tx1"/>
            </w14:solidFill>
          </w14:textFill>
        </w:rPr>
        <w:t>政策目的</w:t>
      </w:r>
      <w:r>
        <w:rPr>
          <w:rFonts w:hint="eastAsia" w:ascii="仿宋_GB2312" w:hAnsi="Times New Roman"/>
          <w:color w:val="000000" w:themeColor="text1"/>
          <w:szCs w:val="32"/>
          <w14:textFill>
            <w14:solidFill>
              <w14:schemeClr w14:val="tx1"/>
            </w14:solidFill>
          </w14:textFill>
        </w:rPr>
        <w:t>，其</w:t>
      </w:r>
      <w:r>
        <w:rPr>
          <w:rFonts w:ascii="仿宋_GB2312" w:hAnsi="Times New Roman"/>
          <w:color w:val="000000" w:themeColor="text1"/>
          <w:szCs w:val="32"/>
          <w14:textFill>
            <w14:solidFill>
              <w14:schemeClr w14:val="tx1"/>
            </w14:solidFill>
          </w14:textFill>
        </w:rPr>
        <w:t>完整性有待加强</w:t>
      </w:r>
      <w:r>
        <w:rPr>
          <w:rFonts w:hint="eastAsia" w:ascii="仿宋_GB2312" w:hAnsi="Times New Roman"/>
          <w:color w:val="000000" w:themeColor="text1"/>
          <w:szCs w:val="32"/>
          <w14:textFill>
            <w14:solidFill>
              <w14:schemeClr w14:val="tx1"/>
            </w14:solidFill>
          </w14:textFill>
        </w:rPr>
        <w:t>；另外，</w:t>
      </w:r>
      <w:r>
        <w:rPr>
          <w:rFonts w:ascii="仿宋_GB2312" w:hAnsi="Times New Roman"/>
          <w:color w:val="000000" w:themeColor="text1"/>
          <w:szCs w:val="32"/>
          <w14:textFill>
            <w14:solidFill>
              <w14:schemeClr w14:val="tx1"/>
            </w14:solidFill>
          </w14:textFill>
        </w:rPr>
        <w:t>绩效指标的科学性</w:t>
      </w:r>
      <w:r>
        <w:rPr>
          <w:rFonts w:hint="eastAsia" w:ascii="仿宋_GB2312" w:hAnsi="Times New Roman"/>
          <w:color w:val="000000" w:themeColor="text1"/>
          <w:szCs w:val="32"/>
          <w14:textFill>
            <w14:solidFill>
              <w14:schemeClr w14:val="tx1"/>
            </w14:solidFill>
          </w14:textFill>
        </w:rPr>
        <w:t>也有待</w:t>
      </w:r>
      <w:r>
        <w:rPr>
          <w:rFonts w:ascii="仿宋_GB2312" w:hAnsi="Times New Roman"/>
          <w:color w:val="000000" w:themeColor="text1"/>
          <w:szCs w:val="32"/>
          <w14:textFill>
            <w14:solidFill>
              <w14:schemeClr w14:val="tx1"/>
            </w14:solidFill>
          </w14:textFill>
        </w:rPr>
        <w:t>加强</w:t>
      </w:r>
      <w:r>
        <w:rPr>
          <w:rFonts w:hint="eastAsia" w:ascii="仿宋_GB2312" w:hAnsi="Times New Roman"/>
          <w:color w:val="000000" w:themeColor="text1"/>
          <w:szCs w:val="32"/>
          <w14:textFill>
            <w14:solidFill>
              <w14:schemeClr w14:val="tx1"/>
            </w14:solidFill>
          </w14:textFill>
        </w:rPr>
        <w:t>，如“推动高新技术企业持续发展”该指标未</w:t>
      </w:r>
      <w:r>
        <w:rPr>
          <w:rFonts w:ascii="仿宋_GB2312" w:hAnsi="Times New Roman"/>
          <w:color w:val="000000" w:themeColor="text1"/>
          <w:szCs w:val="32"/>
          <w14:textFill>
            <w14:solidFill>
              <w14:schemeClr w14:val="tx1"/>
            </w14:solidFill>
          </w14:textFill>
        </w:rPr>
        <w:t>设置</w:t>
      </w:r>
      <w:r>
        <w:rPr>
          <w:rFonts w:hint="eastAsia" w:ascii="仿宋_GB2312" w:hAnsi="Times New Roman"/>
          <w:color w:val="000000" w:themeColor="text1"/>
          <w:szCs w:val="32"/>
          <w14:textFill>
            <w14:solidFill>
              <w14:schemeClr w14:val="tx1"/>
            </w14:solidFill>
          </w14:textFill>
        </w:rPr>
        <w:t>对应</w:t>
      </w:r>
      <w:r>
        <w:rPr>
          <w:rFonts w:ascii="仿宋_GB2312" w:hAnsi="Times New Roman"/>
          <w:color w:val="000000" w:themeColor="text1"/>
          <w:szCs w:val="32"/>
          <w14:textFill>
            <w14:solidFill>
              <w14:schemeClr w14:val="tx1"/>
            </w14:solidFill>
          </w14:textFill>
        </w:rPr>
        <w:t>指标</w:t>
      </w:r>
      <w:r>
        <w:rPr>
          <w:rFonts w:hint="eastAsia" w:ascii="仿宋_GB2312" w:hAnsi="Times New Roman"/>
          <w:color w:val="000000" w:themeColor="text1"/>
          <w:szCs w:val="32"/>
          <w14:textFill>
            <w14:solidFill>
              <w14:schemeClr w14:val="tx1"/>
            </w14:solidFill>
          </w14:textFill>
        </w:rPr>
        <w:t>值。</w:t>
      </w:r>
    </w:p>
    <w:bookmarkEnd w:id="42"/>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（3）项目</w:t>
      </w:r>
      <w:r>
        <w:rPr>
          <w:rFonts w:hAnsi="Times New Roman"/>
          <w:color w:val="000000" w:themeColor="text1"/>
          <w14:textFill>
            <w14:solidFill>
              <w14:schemeClr w14:val="tx1"/>
            </w14:solidFill>
          </w14:textFill>
        </w:rPr>
        <w:t>制度保障较为健全</w:t>
      </w:r>
      <w:r>
        <w:rPr>
          <w:rFonts w:hint="eastAsia" w:hAnsi="Times New Roman"/>
          <w:color w:val="000000" w:themeColor="text1"/>
          <w14:textFill>
            <w14:solidFill>
              <w14:schemeClr w14:val="tx1"/>
            </w14:solidFill>
          </w14:textFill>
        </w:rPr>
        <w:t>，</w:t>
      </w:r>
      <w:r>
        <w:rPr>
          <w:rFonts w:hAnsi="Times New Roman"/>
          <w:color w:val="000000" w:themeColor="text1"/>
          <w14:textFill>
            <w14:solidFill>
              <w14:schemeClr w14:val="tx1"/>
            </w14:solidFill>
          </w14:textFill>
        </w:rPr>
        <w:t>计划安排较为合理</w:t>
      </w:r>
      <w:r>
        <w:rPr>
          <w:rFonts w:hint="eastAsia" w:hAnsi="Times New Roman"/>
          <w:color w:val="000000" w:themeColor="text1"/>
          <w14:textFill>
            <w14:solidFill>
              <w14:schemeClr w14:val="tx1"/>
            </w14:solidFill>
          </w14:textFill>
        </w:rPr>
        <w:t>，</w:t>
      </w:r>
      <w:r>
        <w:rPr>
          <w:rFonts w:hAnsi="Times New Roman"/>
          <w:color w:val="000000" w:themeColor="text1"/>
          <w14:textFill>
            <w14:solidFill>
              <w14:schemeClr w14:val="tx1"/>
            </w14:solidFill>
          </w14:textFill>
        </w:rPr>
        <w:t>保障措施较为完善。</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保障措施</w:t>
      </w:r>
      <w:r>
        <w:rPr>
          <w:rFonts w:ascii="仿宋_GB2312" w:hAnsi="Times New Roman"/>
          <w:color w:val="000000" w:themeColor="text1"/>
          <w:szCs w:val="32"/>
          <w14:textFill>
            <w14:solidFill>
              <w14:schemeClr w14:val="tx1"/>
            </w14:solidFill>
          </w14:textFill>
        </w:rPr>
        <w:t>得分率</w:t>
      </w:r>
      <w:r>
        <w:rPr>
          <w:rFonts w:hint="eastAsia" w:ascii="仿宋_GB2312" w:hAnsi="Times New Roman"/>
          <w:color w:val="000000" w:themeColor="text1"/>
          <w:szCs w:val="32"/>
          <w14:textFill>
            <w14:solidFill>
              <w14:schemeClr w14:val="tx1"/>
            </w14:solidFill>
          </w14:textFill>
        </w:rPr>
        <w:t>100</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具有实施管理</w:t>
      </w:r>
      <w:r>
        <w:rPr>
          <w:rFonts w:hint="eastAsia" w:ascii="仿宋_GB2312" w:hAnsi="Times New Roman"/>
          <w:color w:val="000000" w:themeColor="text1"/>
          <w:szCs w:val="32"/>
          <w14:textFill>
            <w14:solidFill>
              <w14:schemeClr w14:val="tx1"/>
            </w14:solidFill>
          </w14:textFill>
        </w:rPr>
        <w:t>细则</w:t>
      </w:r>
      <w:r>
        <w:rPr>
          <w:rFonts w:ascii="仿宋_GB2312" w:hAnsi="Times New Roman"/>
          <w:color w:val="000000" w:themeColor="text1"/>
          <w:szCs w:val="32"/>
          <w14:textFill>
            <w14:solidFill>
              <w14:schemeClr w14:val="tx1"/>
            </w14:solidFill>
          </w14:textFill>
        </w:rPr>
        <w:t>、资金管理办法和项目</w:t>
      </w:r>
      <w:r>
        <w:rPr>
          <w:rFonts w:hint="eastAsia" w:ascii="仿宋_GB2312" w:hAnsi="Times New Roman"/>
          <w:color w:val="000000" w:themeColor="text1"/>
          <w:szCs w:val="32"/>
          <w14:textFill>
            <w14:solidFill>
              <w14:schemeClr w14:val="tx1"/>
            </w14:solidFill>
          </w14:textFill>
        </w:rPr>
        <w:t>考核</w:t>
      </w:r>
      <w:r>
        <w:rPr>
          <w:rFonts w:ascii="仿宋_GB2312" w:hAnsi="Times New Roman"/>
          <w:color w:val="000000" w:themeColor="text1"/>
          <w:szCs w:val="32"/>
          <w14:textFill>
            <w14:solidFill>
              <w14:schemeClr w14:val="tx1"/>
            </w14:solidFill>
          </w14:textFill>
        </w:rPr>
        <w:t>监管</w:t>
      </w:r>
      <w:r>
        <w:rPr>
          <w:rFonts w:hint="eastAsia" w:ascii="仿宋_GB2312" w:hAnsi="Times New Roman"/>
          <w:color w:val="000000" w:themeColor="text1"/>
          <w:szCs w:val="32"/>
          <w14:textFill>
            <w14:solidFill>
              <w14:schemeClr w14:val="tx1"/>
            </w14:solidFill>
          </w14:textFill>
        </w:rPr>
        <w:t>等制度保障</w:t>
      </w:r>
      <w:r>
        <w:rPr>
          <w:rFonts w:ascii="仿宋_GB2312" w:hAnsi="Times New Roman"/>
          <w:color w:val="000000" w:themeColor="text1"/>
          <w:szCs w:val="32"/>
          <w14:textFill>
            <w14:solidFill>
              <w14:schemeClr w14:val="tx1"/>
            </w14:solidFill>
          </w14:textFill>
        </w:rPr>
        <w:t>，项目管理办法较为完善</w:t>
      </w:r>
      <w:r>
        <w:rPr>
          <w:rFonts w:hint="eastAsia" w:ascii="仿宋_GB2312" w:hAnsi="Times New Roman"/>
          <w:color w:val="000000" w:themeColor="text1"/>
          <w:szCs w:val="32"/>
          <w14:textFill>
            <w14:solidFill>
              <w14:schemeClr w14:val="tx1"/>
            </w14:solidFill>
          </w14:textFill>
        </w:rPr>
        <w:t>：一是各子项均有相关的政策文件依据，明确了其支持领域、支持方式、资金额度、实施程序、等</w:t>
      </w:r>
      <w:r>
        <w:rPr>
          <w:rFonts w:ascii="仿宋_GB2312" w:hAnsi="Times New Roman"/>
          <w:color w:val="000000" w:themeColor="text1"/>
          <w:szCs w:val="32"/>
          <w14:textFill>
            <w14:solidFill>
              <w14:schemeClr w14:val="tx1"/>
            </w14:solidFill>
          </w14:textFill>
        </w:rPr>
        <w:t>实施细则</w:t>
      </w:r>
      <w:r>
        <w:rPr>
          <w:rFonts w:hint="eastAsia" w:ascii="仿宋_GB2312" w:hAnsi="Times New Roman"/>
          <w:color w:val="000000" w:themeColor="text1"/>
          <w:szCs w:val="32"/>
          <w14:textFill>
            <w14:solidFill>
              <w14:schemeClr w14:val="tx1"/>
            </w14:solidFill>
          </w14:textFill>
        </w:rPr>
        <w:t>；二是韶关市政府</w:t>
      </w:r>
      <w:r>
        <w:rPr>
          <w:rFonts w:ascii="仿宋_GB2312" w:hAnsi="Times New Roman"/>
          <w:color w:val="000000" w:themeColor="text1"/>
          <w:szCs w:val="32"/>
          <w14:textFill>
            <w14:solidFill>
              <w14:schemeClr w14:val="tx1"/>
            </w14:solidFill>
          </w14:textFill>
        </w:rPr>
        <w:t>结合</w:t>
      </w:r>
      <w:r>
        <w:rPr>
          <w:rFonts w:hint="eastAsia" w:ascii="仿宋_GB2312" w:hAnsi="Times New Roman"/>
          <w:color w:val="000000" w:themeColor="text1"/>
          <w:szCs w:val="32"/>
          <w14:textFill>
            <w14:solidFill>
              <w14:schemeClr w14:val="tx1"/>
            </w14:solidFill>
          </w14:textFill>
        </w:rPr>
        <w:t>《韶关市人民政府印发关于进一步促进科技创新若干政策措施的通知》（韶府〔2019〕19号），修订了《韶关市科技计划项目资金管理办法》（韶府规〔2019〕11号），对</w:t>
      </w:r>
      <w:r>
        <w:rPr>
          <w:rFonts w:ascii="仿宋_GB2312" w:hAnsi="Times New Roman"/>
          <w:color w:val="000000" w:themeColor="text1"/>
          <w:szCs w:val="32"/>
          <w14:textFill>
            <w14:solidFill>
              <w14:schemeClr w14:val="tx1"/>
            </w14:solidFill>
          </w14:textFill>
        </w:rPr>
        <w:t>资金</w:t>
      </w:r>
      <w:r>
        <w:rPr>
          <w:rFonts w:hint="eastAsia" w:ascii="仿宋_GB2312" w:hAnsi="Times New Roman"/>
          <w:color w:val="000000" w:themeColor="text1"/>
          <w:szCs w:val="32"/>
          <w14:textFill>
            <w14:solidFill>
              <w14:schemeClr w14:val="tx1"/>
            </w14:solidFill>
          </w14:textFill>
        </w:rPr>
        <w:t>及</w:t>
      </w:r>
      <w:r>
        <w:rPr>
          <w:rFonts w:ascii="仿宋_GB2312" w:hAnsi="Times New Roman"/>
          <w:color w:val="000000" w:themeColor="text1"/>
          <w:szCs w:val="32"/>
          <w14:textFill>
            <w14:solidFill>
              <w14:schemeClr w14:val="tx1"/>
            </w14:solidFill>
          </w14:textFill>
        </w:rPr>
        <w:t>财务管理</w:t>
      </w:r>
      <w:r>
        <w:rPr>
          <w:rFonts w:hint="eastAsia" w:ascii="仿宋_GB2312" w:hAnsi="Times New Roman"/>
          <w:color w:val="000000" w:themeColor="text1"/>
          <w:szCs w:val="32"/>
          <w14:textFill>
            <w14:solidFill>
              <w14:schemeClr w14:val="tx1"/>
            </w14:solidFill>
          </w14:textFill>
        </w:rPr>
        <w:t>等</w:t>
      </w:r>
      <w:r>
        <w:rPr>
          <w:rFonts w:ascii="仿宋_GB2312" w:hAnsi="Times New Roman"/>
          <w:color w:val="000000" w:themeColor="text1"/>
          <w:szCs w:val="32"/>
          <w14:textFill>
            <w14:solidFill>
              <w14:schemeClr w14:val="tx1"/>
            </w14:solidFill>
          </w14:textFill>
        </w:rPr>
        <w:t>进行说明</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三是</w:t>
      </w:r>
      <w:r>
        <w:rPr>
          <w:rFonts w:hint="eastAsia" w:ascii="仿宋_GB2312" w:hAnsi="Times New Roman"/>
          <w:color w:val="000000" w:themeColor="text1"/>
          <w:szCs w:val="32"/>
          <w14:textFill>
            <w14:solidFill>
              <w14:schemeClr w14:val="tx1"/>
            </w14:solidFill>
          </w14:textFill>
        </w:rPr>
        <w:t>制定了《韶关市科技计划项目中期检查实施细则（试行）》（韶科〔2017〕85号）、《韶关市科技计划项目结题管理实施细则（试行）》（韶科〔2017〕86号）等监管制度。</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总体</w:t>
      </w:r>
      <w:r>
        <w:rPr>
          <w:rFonts w:hint="eastAsia" w:ascii="仿宋_GB2312" w:hAnsi="Times New Roman"/>
          <w:color w:val="000000" w:themeColor="text1"/>
          <w:szCs w:val="32"/>
          <w14:textFill>
            <w14:solidFill>
              <w14:schemeClr w14:val="tx1"/>
            </w14:solidFill>
          </w14:textFill>
        </w:rPr>
        <w:t>资金</w:t>
      </w:r>
      <w:r>
        <w:rPr>
          <w:rFonts w:ascii="仿宋_GB2312" w:hAnsi="Times New Roman"/>
          <w:color w:val="000000" w:themeColor="text1"/>
          <w:szCs w:val="32"/>
          <w14:textFill>
            <w14:solidFill>
              <w14:schemeClr w14:val="tx1"/>
            </w14:solidFill>
          </w14:textFill>
        </w:rPr>
        <w:t>安排和各子项实施计划较为合理</w:t>
      </w:r>
      <w:r>
        <w:rPr>
          <w:rFonts w:hint="eastAsia" w:ascii="仿宋_GB2312" w:hAnsi="Times New Roman"/>
          <w:color w:val="000000" w:themeColor="text1"/>
          <w:szCs w:val="32"/>
          <w14:textFill>
            <w14:solidFill>
              <w14:schemeClr w14:val="tx1"/>
            </w14:solidFill>
          </w14:textFill>
        </w:rPr>
        <w:t>：从</w:t>
      </w:r>
      <w:r>
        <w:rPr>
          <w:rFonts w:ascii="仿宋_GB2312" w:hAnsi="Times New Roman"/>
          <w:color w:val="000000" w:themeColor="text1"/>
          <w:szCs w:val="32"/>
          <w14:textFill>
            <w14:solidFill>
              <w14:schemeClr w14:val="tx1"/>
            </w14:solidFill>
          </w14:textFill>
        </w:rPr>
        <w:t>项目总体资金安排上看，</w:t>
      </w:r>
      <w:r>
        <w:rPr>
          <w:rFonts w:hint="eastAsia" w:ascii="仿宋_GB2312" w:hAnsi="Times New Roman"/>
          <w:color w:val="000000" w:themeColor="text1"/>
          <w:szCs w:val="32"/>
          <w14:textFill>
            <w14:solidFill>
              <w14:schemeClr w14:val="tx1"/>
            </w14:solidFill>
          </w14:textFill>
        </w:rPr>
        <w:t>根据</w:t>
      </w:r>
      <w:r>
        <w:rPr>
          <w:rFonts w:ascii="仿宋_GB2312" w:hAnsi="Times New Roman"/>
          <w:color w:val="000000" w:themeColor="text1"/>
          <w:szCs w:val="32"/>
          <w14:textFill>
            <w14:solidFill>
              <w14:schemeClr w14:val="tx1"/>
            </w14:solidFill>
          </w14:textFill>
        </w:rPr>
        <w:t>现场核查</w:t>
      </w:r>
      <w:r>
        <w:rPr>
          <w:rFonts w:hint="eastAsia" w:ascii="仿宋_GB2312" w:hAnsi="Times New Roman"/>
          <w:color w:val="000000" w:themeColor="text1"/>
          <w:szCs w:val="32"/>
          <w14:textFill>
            <w14:solidFill>
              <w14:schemeClr w14:val="tx1"/>
            </w14:solidFill>
          </w14:textFill>
        </w:rPr>
        <w:t>时</w:t>
      </w:r>
      <w:r>
        <w:rPr>
          <w:rFonts w:ascii="仿宋_GB2312" w:hAnsi="Times New Roman"/>
          <w:color w:val="000000" w:themeColor="text1"/>
          <w:szCs w:val="32"/>
          <w14:textFill>
            <w14:solidFill>
              <w14:schemeClr w14:val="tx1"/>
            </w14:solidFill>
          </w14:textFill>
        </w:rPr>
        <w:t>单位介绍，</w:t>
      </w:r>
      <w:r>
        <w:rPr>
          <w:rFonts w:hint="eastAsia" w:ascii="仿宋_GB2312" w:hAnsi="Times New Roman"/>
          <w:color w:val="000000" w:themeColor="text1"/>
          <w:szCs w:val="32"/>
          <w14:textFill>
            <w14:solidFill>
              <w14:schemeClr w14:val="tx1"/>
            </w14:solidFill>
          </w14:textFill>
        </w:rPr>
        <w:t>2019年</w:t>
      </w:r>
      <w:r>
        <w:rPr>
          <w:rFonts w:ascii="仿宋_GB2312" w:hAnsi="Times New Roman"/>
          <w:color w:val="000000" w:themeColor="text1"/>
          <w:szCs w:val="32"/>
          <w14:textFill>
            <w14:solidFill>
              <w14:schemeClr w14:val="tx1"/>
            </w14:solidFill>
          </w14:textFill>
        </w:rPr>
        <w:t>的科技创新</w:t>
      </w: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选择</w:t>
      </w:r>
      <w:r>
        <w:rPr>
          <w:rFonts w:hint="eastAsia" w:ascii="仿宋_GB2312" w:hAnsi="Times New Roman"/>
          <w:color w:val="000000" w:themeColor="text1"/>
          <w:szCs w:val="32"/>
          <w14:textFill>
            <w14:solidFill>
              <w14:schemeClr w14:val="tx1"/>
            </w14:solidFill>
          </w14:textFill>
        </w:rPr>
        <w:t>主要</w:t>
      </w:r>
      <w:r>
        <w:rPr>
          <w:rFonts w:ascii="仿宋_GB2312" w:hAnsi="Times New Roman"/>
          <w:color w:val="000000" w:themeColor="text1"/>
          <w:szCs w:val="32"/>
          <w14:textFill>
            <w14:solidFill>
              <w14:schemeClr w14:val="tx1"/>
            </w14:solidFill>
          </w14:textFill>
        </w:rPr>
        <w:t>有</w:t>
      </w:r>
      <w:r>
        <w:rPr>
          <w:rFonts w:hint="eastAsia" w:ascii="仿宋_GB2312" w:hAnsi="Times New Roman"/>
          <w:color w:val="000000" w:themeColor="text1"/>
          <w:szCs w:val="32"/>
          <w14:textFill>
            <w14:solidFill>
              <w14:schemeClr w14:val="tx1"/>
            </w14:solidFill>
          </w14:textFill>
        </w:rPr>
        <w:t>3种方式</w:t>
      </w:r>
      <w:r>
        <w:rPr>
          <w:rFonts w:ascii="仿宋_GB2312" w:hAnsi="Times New Roman"/>
          <w:color w:val="000000" w:themeColor="text1"/>
          <w:szCs w:val="32"/>
          <w14:textFill>
            <w14:solidFill>
              <w14:schemeClr w14:val="tx1"/>
            </w14:solidFill>
          </w14:textFill>
        </w:rPr>
        <w:t>，一是</w:t>
      </w:r>
      <w:r>
        <w:rPr>
          <w:rFonts w:hint="eastAsia" w:ascii="仿宋_GB2312" w:hAnsi="Times New Roman"/>
          <w:color w:val="000000" w:themeColor="text1"/>
          <w:szCs w:val="32"/>
          <w14:textFill>
            <w14:solidFill>
              <w14:schemeClr w14:val="tx1"/>
            </w14:solidFill>
          </w14:textFill>
        </w:rPr>
        <w:t>按</w:t>
      </w:r>
      <w:r>
        <w:rPr>
          <w:rFonts w:ascii="仿宋_GB2312" w:hAnsi="Times New Roman"/>
          <w:color w:val="000000" w:themeColor="text1"/>
          <w:szCs w:val="32"/>
          <w14:textFill>
            <w14:solidFill>
              <w14:schemeClr w14:val="tx1"/>
            </w14:solidFill>
          </w14:textFill>
        </w:rPr>
        <w:t>政策文件进行奖励性</w:t>
      </w:r>
      <w:r>
        <w:rPr>
          <w:rFonts w:hint="eastAsia" w:ascii="仿宋_GB2312" w:hAnsi="Times New Roman"/>
          <w:color w:val="000000" w:themeColor="text1"/>
          <w:szCs w:val="32"/>
          <w14:textFill>
            <w14:solidFill>
              <w14:schemeClr w14:val="tx1"/>
            </w14:solidFill>
          </w14:textFill>
        </w:rPr>
        <w:t>补助</w:t>
      </w:r>
      <w:r>
        <w:rPr>
          <w:rFonts w:ascii="仿宋_GB2312" w:hAnsi="Times New Roman"/>
          <w:color w:val="000000" w:themeColor="text1"/>
          <w:szCs w:val="32"/>
          <w14:textFill>
            <w14:solidFill>
              <w14:schemeClr w14:val="tx1"/>
            </w14:solidFill>
          </w14:textFill>
        </w:rPr>
        <w:t>，二是</w:t>
      </w:r>
      <w:r>
        <w:rPr>
          <w:rFonts w:hint="eastAsia" w:ascii="仿宋_GB2312" w:hAnsi="Times New Roman"/>
          <w:color w:val="000000" w:themeColor="text1"/>
          <w:szCs w:val="32"/>
          <w14:textFill>
            <w14:solidFill>
              <w14:schemeClr w14:val="tx1"/>
            </w14:solidFill>
          </w14:textFill>
        </w:rPr>
        <w:t>扶持</w:t>
      </w:r>
      <w:r>
        <w:rPr>
          <w:rFonts w:ascii="仿宋_GB2312" w:hAnsi="Times New Roman"/>
          <w:color w:val="000000" w:themeColor="text1"/>
          <w:szCs w:val="32"/>
          <w14:textFill>
            <w14:solidFill>
              <w14:schemeClr w14:val="tx1"/>
            </w14:solidFill>
          </w14:textFill>
        </w:rPr>
        <w:t>韶关市战略性新兴产业和</w:t>
      </w:r>
      <w:r>
        <w:rPr>
          <w:rFonts w:hint="eastAsia" w:ascii="仿宋_GB2312" w:hAnsi="Times New Roman"/>
          <w:color w:val="000000" w:themeColor="text1"/>
          <w:szCs w:val="32"/>
          <w14:textFill>
            <w14:solidFill>
              <w14:schemeClr w14:val="tx1"/>
            </w14:solidFill>
          </w14:textFill>
        </w:rPr>
        <w:t>优势</w:t>
      </w:r>
      <w:r>
        <w:rPr>
          <w:rFonts w:ascii="仿宋_GB2312" w:hAnsi="Times New Roman"/>
          <w:color w:val="000000" w:themeColor="text1"/>
          <w:szCs w:val="32"/>
          <w14:textFill>
            <w14:solidFill>
              <w14:schemeClr w14:val="tx1"/>
            </w14:solidFill>
          </w14:textFill>
        </w:rPr>
        <w:t>传统产业，在</w:t>
      </w:r>
      <w:r>
        <w:rPr>
          <w:rFonts w:hint="eastAsia" w:ascii="仿宋_GB2312" w:hAnsi="Times New Roman"/>
          <w:color w:val="000000" w:themeColor="text1"/>
          <w:szCs w:val="32"/>
          <w14:textFill>
            <w14:solidFill>
              <w14:schemeClr w14:val="tx1"/>
            </w14:solidFill>
          </w14:textFill>
        </w:rPr>
        <w:t>满足</w:t>
      </w:r>
      <w:r>
        <w:rPr>
          <w:rFonts w:ascii="仿宋_GB2312" w:hAnsi="Times New Roman"/>
          <w:color w:val="000000" w:themeColor="text1"/>
          <w:szCs w:val="32"/>
          <w14:textFill>
            <w14:solidFill>
              <w14:schemeClr w14:val="tx1"/>
            </w14:solidFill>
          </w14:textFill>
        </w:rPr>
        <w:t>这</w:t>
      </w:r>
      <w:r>
        <w:rPr>
          <w:rFonts w:hint="eastAsia" w:ascii="仿宋_GB2312" w:hAnsi="Times New Roman"/>
          <w:color w:val="000000" w:themeColor="text1"/>
          <w:szCs w:val="32"/>
          <w14:textFill>
            <w14:solidFill>
              <w14:schemeClr w14:val="tx1"/>
            </w14:solidFill>
          </w14:textFill>
        </w:rPr>
        <w:t>两个</w:t>
      </w:r>
      <w:r>
        <w:rPr>
          <w:rFonts w:ascii="仿宋_GB2312" w:hAnsi="Times New Roman"/>
          <w:color w:val="000000" w:themeColor="text1"/>
          <w:szCs w:val="32"/>
          <w14:textFill>
            <w14:solidFill>
              <w14:schemeClr w14:val="tx1"/>
            </w14:solidFill>
          </w14:textFill>
        </w:rPr>
        <w:t>主要方式</w:t>
      </w:r>
      <w:r>
        <w:rPr>
          <w:rFonts w:hint="eastAsia" w:ascii="仿宋_GB2312" w:hAnsi="Times New Roman"/>
          <w:color w:val="000000" w:themeColor="text1"/>
          <w:szCs w:val="32"/>
          <w14:textFill>
            <w14:solidFill>
              <w14:schemeClr w14:val="tx1"/>
            </w14:solidFill>
          </w14:textFill>
        </w:rPr>
        <w:t>扶持</w:t>
      </w:r>
      <w:r>
        <w:rPr>
          <w:rFonts w:ascii="仿宋_GB2312" w:hAnsi="Times New Roman"/>
          <w:color w:val="000000" w:themeColor="text1"/>
          <w:szCs w:val="32"/>
          <w14:textFill>
            <w14:solidFill>
              <w14:schemeClr w14:val="tx1"/>
            </w14:solidFill>
          </w14:textFill>
        </w:rPr>
        <w:t>的前提下</w:t>
      </w:r>
      <w:r>
        <w:rPr>
          <w:rFonts w:hint="eastAsia" w:ascii="仿宋_GB2312" w:hAnsi="Times New Roman"/>
          <w:color w:val="000000" w:themeColor="text1"/>
          <w:szCs w:val="32"/>
          <w14:textFill>
            <w14:solidFill>
              <w14:schemeClr w14:val="tx1"/>
            </w14:solidFill>
          </w14:textFill>
        </w:rPr>
        <w:t>，剩余</w:t>
      </w:r>
      <w:r>
        <w:rPr>
          <w:rFonts w:ascii="仿宋_GB2312" w:hAnsi="Times New Roman"/>
          <w:color w:val="000000" w:themeColor="text1"/>
          <w:szCs w:val="32"/>
          <w14:textFill>
            <w14:solidFill>
              <w14:schemeClr w14:val="tx1"/>
            </w14:solidFill>
          </w14:textFill>
        </w:rPr>
        <w:t>其他项目</w:t>
      </w:r>
      <w:r>
        <w:rPr>
          <w:rFonts w:hint="eastAsia" w:ascii="仿宋_GB2312" w:hAnsi="Times New Roman"/>
          <w:color w:val="000000" w:themeColor="text1"/>
          <w:szCs w:val="32"/>
          <w14:textFill>
            <w14:solidFill>
              <w14:schemeClr w14:val="tx1"/>
            </w14:solidFill>
          </w14:textFill>
        </w:rPr>
        <w:t>的资金</w:t>
      </w:r>
      <w:r>
        <w:rPr>
          <w:rFonts w:ascii="仿宋_GB2312" w:hAnsi="Times New Roman"/>
          <w:color w:val="000000" w:themeColor="text1"/>
          <w:szCs w:val="32"/>
          <w14:textFill>
            <w14:solidFill>
              <w14:schemeClr w14:val="tx1"/>
            </w14:solidFill>
          </w14:textFill>
        </w:rPr>
        <w:t>将</w:t>
      </w:r>
      <w:r>
        <w:rPr>
          <w:rFonts w:hint="eastAsia" w:ascii="仿宋_GB2312" w:hAnsi="Times New Roman"/>
          <w:color w:val="000000" w:themeColor="text1"/>
          <w:szCs w:val="32"/>
          <w14:textFill>
            <w14:solidFill>
              <w14:schemeClr w14:val="tx1"/>
            </w14:solidFill>
          </w14:textFill>
        </w:rPr>
        <w:t>根据年度</w:t>
      </w:r>
      <w:r>
        <w:rPr>
          <w:rFonts w:ascii="仿宋_GB2312" w:hAnsi="Times New Roman"/>
          <w:color w:val="000000" w:themeColor="text1"/>
          <w:szCs w:val="32"/>
          <w14:textFill>
            <w14:solidFill>
              <w14:schemeClr w14:val="tx1"/>
            </w14:solidFill>
          </w14:textFill>
        </w:rPr>
        <w:t>资金</w:t>
      </w:r>
      <w:r>
        <w:rPr>
          <w:rFonts w:hint="eastAsia" w:ascii="仿宋_GB2312" w:hAnsi="Times New Roman"/>
          <w:color w:val="000000" w:themeColor="text1"/>
          <w:szCs w:val="32"/>
          <w14:textFill>
            <w14:solidFill>
              <w14:schemeClr w14:val="tx1"/>
            </w14:solidFill>
          </w14:textFill>
        </w:rPr>
        <w:t>盘子大小进行</w:t>
      </w:r>
      <w:r>
        <w:rPr>
          <w:rFonts w:ascii="仿宋_GB2312" w:hAnsi="Times New Roman"/>
          <w:color w:val="000000" w:themeColor="text1"/>
          <w:szCs w:val="32"/>
          <w14:textFill>
            <w14:solidFill>
              <w14:schemeClr w14:val="tx1"/>
            </w14:solidFill>
          </w14:textFill>
        </w:rPr>
        <w:t>适当</w:t>
      </w:r>
      <w:r>
        <w:rPr>
          <w:rFonts w:hint="eastAsia" w:ascii="仿宋_GB2312" w:hAnsi="Times New Roman"/>
          <w:color w:val="000000" w:themeColor="text1"/>
          <w:szCs w:val="32"/>
          <w14:textFill>
            <w14:solidFill>
              <w14:schemeClr w14:val="tx1"/>
            </w14:solidFill>
          </w14:textFill>
        </w:rPr>
        <w:t>调整</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总体的</w:t>
      </w:r>
      <w:r>
        <w:rPr>
          <w:rFonts w:ascii="仿宋_GB2312" w:hAnsi="Times New Roman"/>
          <w:color w:val="000000" w:themeColor="text1"/>
          <w:szCs w:val="32"/>
          <w14:textFill>
            <w14:solidFill>
              <w14:schemeClr w14:val="tx1"/>
            </w14:solidFill>
          </w14:textFill>
        </w:rPr>
        <w:t>项目选择、资金安排较为合理。</w:t>
      </w:r>
      <w:r>
        <w:rPr>
          <w:rFonts w:hint="eastAsia" w:ascii="仿宋_GB2312" w:hAnsi="Times New Roman"/>
          <w:color w:val="000000" w:themeColor="text1"/>
          <w:szCs w:val="32"/>
          <w14:textFill>
            <w14:solidFill>
              <w14:schemeClr w14:val="tx1"/>
            </w14:solidFill>
          </w14:textFill>
        </w:rPr>
        <w:t>从</w:t>
      </w:r>
      <w:r>
        <w:rPr>
          <w:rFonts w:ascii="仿宋_GB2312" w:hAnsi="Times New Roman"/>
          <w:color w:val="000000" w:themeColor="text1"/>
          <w:szCs w:val="32"/>
          <w14:textFill>
            <w14:solidFill>
              <w14:schemeClr w14:val="tx1"/>
            </w14:solidFill>
          </w14:textFill>
        </w:rPr>
        <w:t>各子项实施计划上看，各子项</w:t>
      </w:r>
      <w:r>
        <w:rPr>
          <w:rFonts w:hint="eastAsia" w:ascii="仿宋_GB2312" w:hAnsi="Times New Roman"/>
          <w:color w:val="000000" w:themeColor="text1"/>
          <w:szCs w:val="32"/>
          <w14:textFill>
            <w14:solidFill>
              <w14:schemeClr w14:val="tx1"/>
            </w14:solidFill>
          </w14:textFill>
        </w:rPr>
        <w:t>相关的</w:t>
      </w:r>
      <w:r>
        <w:rPr>
          <w:rFonts w:ascii="仿宋_GB2312" w:hAnsi="Times New Roman"/>
          <w:color w:val="000000" w:themeColor="text1"/>
          <w:szCs w:val="32"/>
          <w14:textFill>
            <w14:solidFill>
              <w14:schemeClr w14:val="tx1"/>
            </w14:solidFill>
          </w14:textFill>
        </w:rPr>
        <w:t>实施</w:t>
      </w:r>
      <w:r>
        <w:rPr>
          <w:rFonts w:hint="eastAsia" w:ascii="仿宋_GB2312" w:hAnsi="Times New Roman"/>
          <w:color w:val="000000" w:themeColor="text1"/>
          <w:szCs w:val="32"/>
          <w14:textFill>
            <w14:solidFill>
              <w14:schemeClr w14:val="tx1"/>
            </w14:solidFill>
          </w14:textFill>
        </w:rPr>
        <w:t>方案</w:t>
      </w:r>
      <w:r>
        <w:rPr>
          <w:rFonts w:ascii="仿宋_GB2312" w:hAnsi="Times New Roman"/>
          <w:color w:val="000000" w:themeColor="text1"/>
          <w:szCs w:val="32"/>
          <w14:textFill>
            <w14:solidFill>
              <w14:schemeClr w14:val="tx1"/>
            </w14:solidFill>
          </w14:textFill>
        </w:rPr>
        <w:t>和申报通知等对项目实施</w:t>
      </w:r>
      <w:r>
        <w:rPr>
          <w:rFonts w:hint="eastAsia" w:ascii="仿宋_GB2312" w:hAnsi="Times New Roman"/>
          <w:color w:val="000000" w:themeColor="text1"/>
          <w:szCs w:val="32"/>
          <w14:textFill>
            <w14:solidFill>
              <w14:schemeClr w14:val="tx1"/>
            </w14:solidFill>
          </w14:textFill>
        </w:rPr>
        <w:t>支持</w:t>
      </w:r>
      <w:r>
        <w:rPr>
          <w:rFonts w:ascii="仿宋_GB2312" w:hAnsi="Times New Roman"/>
          <w:color w:val="000000" w:themeColor="text1"/>
          <w:szCs w:val="32"/>
          <w14:textFill>
            <w14:solidFill>
              <w14:schemeClr w14:val="tx1"/>
            </w14:solidFill>
          </w14:textFill>
        </w:rPr>
        <w:t>领域、申报和奖补时间、支持额度安排</w:t>
      </w:r>
      <w:r>
        <w:rPr>
          <w:rFonts w:hint="eastAsia" w:ascii="仿宋_GB2312" w:hAnsi="Times New Roman"/>
          <w:color w:val="000000" w:themeColor="text1"/>
          <w:szCs w:val="32"/>
          <w14:textFill>
            <w14:solidFill>
              <w14:schemeClr w14:val="tx1"/>
            </w14:solidFill>
          </w14:textFill>
        </w:rPr>
        <w:t>等</w:t>
      </w:r>
      <w:r>
        <w:rPr>
          <w:rFonts w:ascii="仿宋_GB2312" w:hAnsi="Times New Roman"/>
          <w:color w:val="000000" w:themeColor="text1"/>
          <w:szCs w:val="32"/>
          <w14:textFill>
            <w14:solidFill>
              <w14:schemeClr w14:val="tx1"/>
            </w14:solidFill>
          </w14:textFill>
        </w:rPr>
        <w:t>进行了明确，各子项实施计划较为</w:t>
      </w:r>
      <w:r>
        <w:rPr>
          <w:rFonts w:hint="eastAsia" w:ascii="仿宋_GB2312" w:hAnsi="Times New Roman"/>
          <w:color w:val="000000" w:themeColor="text1"/>
          <w:szCs w:val="32"/>
          <w14:textFill>
            <w14:solidFill>
              <w14:schemeClr w14:val="tx1"/>
            </w14:solidFill>
          </w14:textFill>
        </w:rPr>
        <w:t>清晰</w:t>
      </w:r>
      <w:r>
        <w:rPr>
          <w:rFonts w:ascii="仿宋_GB2312" w:hAnsi="Times New Roman"/>
          <w:color w:val="000000" w:themeColor="text1"/>
          <w:szCs w:val="32"/>
          <w14:textFill>
            <w14:solidFill>
              <w14:schemeClr w14:val="tx1"/>
            </w14:solidFill>
          </w14:textFill>
        </w:rPr>
        <w:t>。</w:t>
      </w:r>
    </w:p>
    <w:p>
      <w:pPr>
        <w:pStyle w:val="4"/>
        <w:ind w:firstLine="640"/>
        <w:rPr>
          <w:rFonts w:hAnsi="Times New Roman"/>
          <w:b w:val="0"/>
          <w:bCs w:val="0"/>
          <w:color w:val="000000" w:themeColor="text1"/>
          <w14:textFill>
            <w14:solidFill>
              <w14:schemeClr w14:val="tx1"/>
            </w14:solidFill>
          </w14:textFill>
        </w:rPr>
      </w:pPr>
      <w:bookmarkStart w:id="44" w:name="_Toc536094120"/>
      <w:r>
        <w:rPr>
          <w:rFonts w:hint="eastAsia" w:hAnsi="Times New Roman"/>
          <w:b w:val="0"/>
          <w:bCs w:val="0"/>
          <w:color w:val="000000" w:themeColor="text1"/>
          <w14:textFill>
            <w14:solidFill>
              <w14:schemeClr w14:val="tx1"/>
            </w14:solidFill>
          </w14:textFill>
        </w:rPr>
        <w:t>2.</w:t>
      </w:r>
      <w:bookmarkEnd w:id="44"/>
      <w:r>
        <w:rPr>
          <w:rFonts w:hint="eastAsia" w:hAnsi="Times New Roman"/>
          <w:b w:val="0"/>
          <w:bCs w:val="0"/>
          <w:color w:val="000000" w:themeColor="text1"/>
          <w14:textFill>
            <w14:solidFill>
              <w14:schemeClr w14:val="tx1"/>
            </w14:solidFill>
          </w14:textFill>
        </w:rPr>
        <w:t>资金落实</w:t>
      </w:r>
    </w:p>
    <w:p>
      <w:pPr>
        <w:ind w:firstLine="640"/>
        <w:rPr>
          <w:rFonts w:ascii="仿宋_GB2312" w:hAnsi="Times New Roman" w:cs="Times New Roman"/>
          <w:bCs/>
          <w:color w:val="000000" w:themeColor="text1"/>
          <w:szCs w:val="28"/>
          <w14:textFill>
            <w14:solidFill>
              <w14:schemeClr w14:val="tx1"/>
            </w14:solidFill>
          </w14:textFill>
        </w:rPr>
      </w:pPr>
      <w:r>
        <w:rPr>
          <w:rFonts w:hint="eastAsia" w:ascii="仿宋_GB2312" w:hAnsi="Times New Roman" w:cs="Times New Roman"/>
          <w:bCs/>
          <w:color w:val="000000" w:themeColor="text1"/>
          <w:szCs w:val="28"/>
          <w14:textFill>
            <w14:solidFill>
              <w14:schemeClr w14:val="tx1"/>
            </w14:solidFill>
          </w14:textFill>
        </w:rPr>
        <w:t>资金</w:t>
      </w:r>
      <w:r>
        <w:rPr>
          <w:rFonts w:ascii="仿宋_GB2312" w:hAnsi="Times New Roman" w:cs="Times New Roman"/>
          <w:bCs/>
          <w:color w:val="000000" w:themeColor="text1"/>
          <w:szCs w:val="28"/>
          <w14:textFill>
            <w14:solidFill>
              <w14:schemeClr w14:val="tx1"/>
            </w14:solidFill>
          </w14:textFill>
        </w:rPr>
        <w:t>到位得分率</w:t>
      </w:r>
      <w:r>
        <w:rPr>
          <w:rFonts w:hint="eastAsia" w:ascii="仿宋_GB2312" w:hAnsi="Times New Roman" w:cs="Times New Roman"/>
          <w:bCs/>
          <w:color w:val="000000" w:themeColor="text1"/>
          <w:szCs w:val="28"/>
          <w14:textFill>
            <w14:solidFill>
              <w14:schemeClr w14:val="tx1"/>
            </w14:solidFill>
          </w14:textFill>
        </w:rPr>
        <w:t>100</w:t>
      </w:r>
      <w:r>
        <w:rPr>
          <w:rFonts w:ascii="仿宋_GB2312" w:hAnsi="Times New Roman" w:cs="Times New Roman"/>
          <w:bCs/>
          <w:color w:val="000000" w:themeColor="text1"/>
          <w:szCs w:val="28"/>
          <w14:textFill>
            <w14:solidFill>
              <w14:schemeClr w14:val="tx1"/>
            </w14:solidFill>
          </w14:textFill>
        </w:rPr>
        <w:t>%。</w:t>
      </w:r>
      <w:r>
        <w:rPr>
          <w:rFonts w:hint="eastAsia" w:ascii="仿宋_GB2312" w:hAnsi="Times New Roman" w:cs="Times New Roman"/>
          <w:bCs/>
          <w:color w:val="000000" w:themeColor="text1"/>
          <w:szCs w:val="28"/>
          <w14:textFill>
            <w14:solidFill>
              <w14:schemeClr w14:val="tx1"/>
            </w14:solidFill>
          </w14:textFill>
        </w:rPr>
        <w:t>根据资金下达</w:t>
      </w:r>
      <w:r>
        <w:rPr>
          <w:rFonts w:ascii="仿宋_GB2312" w:hAnsi="Times New Roman" w:cs="Times New Roman"/>
          <w:bCs/>
          <w:color w:val="000000" w:themeColor="text1"/>
          <w:szCs w:val="28"/>
          <w14:textFill>
            <w14:solidFill>
              <w14:schemeClr w14:val="tx1"/>
            </w14:solidFill>
          </w14:textFill>
        </w:rPr>
        <w:t>通知</w:t>
      </w:r>
      <w:r>
        <w:rPr>
          <w:rFonts w:hint="eastAsia" w:ascii="仿宋_GB2312" w:hAnsi="Times New Roman" w:cs="Times New Roman"/>
          <w:bCs/>
          <w:color w:val="000000" w:themeColor="text1"/>
          <w:szCs w:val="28"/>
          <w14:textFill>
            <w14:solidFill>
              <w14:schemeClr w14:val="tx1"/>
            </w14:solidFill>
          </w14:textFill>
        </w:rPr>
        <w:t>等材料</w:t>
      </w:r>
      <w:r>
        <w:rPr>
          <w:rFonts w:ascii="仿宋_GB2312" w:hAnsi="Times New Roman" w:cs="Times New Roman"/>
          <w:bCs/>
          <w:color w:val="000000" w:themeColor="text1"/>
          <w:szCs w:val="28"/>
          <w14:textFill>
            <w14:solidFill>
              <w14:schemeClr w14:val="tx1"/>
            </w14:solidFill>
          </w14:textFill>
        </w:rPr>
        <w:t>，财政</w:t>
      </w:r>
      <w:r>
        <w:rPr>
          <w:rFonts w:hint="eastAsia" w:ascii="仿宋_GB2312" w:hAnsi="Times New Roman" w:cs="Times New Roman"/>
          <w:bCs/>
          <w:color w:val="000000" w:themeColor="text1"/>
          <w:szCs w:val="28"/>
          <w14:textFill>
            <w14:solidFill>
              <w14:schemeClr w14:val="tx1"/>
            </w14:solidFill>
          </w14:textFill>
        </w:rPr>
        <w:t>资金</w:t>
      </w:r>
      <w:r>
        <w:rPr>
          <w:rFonts w:ascii="仿宋_GB2312" w:hAnsi="Times New Roman" w:cs="Times New Roman"/>
          <w:bCs/>
          <w:color w:val="000000" w:themeColor="text1"/>
          <w:szCs w:val="28"/>
          <w14:textFill>
            <w14:solidFill>
              <w14:schemeClr w14:val="tx1"/>
            </w14:solidFill>
          </w14:textFill>
        </w:rPr>
        <w:t>及时足额到位</w:t>
      </w:r>
      <w:r>
        <w:rPr>
          <w:rFonts w:hint="eastAsia" w:ascii="仿宋_GB2312" w:hAnsi="Times New Roman" w:cs="Times New Roman"/>
          <w:bCs/>
          <w:color w:val="000000" w:themeColor="text1"/>
          <w:szCs w:val="28"/>
          <w14:textFill>
            <w14:solidFill>
              <w14:schemeClr w14:val="tx1"/>
            </w14:solidFill>
          </w14:textFill>
        </w:rPr>
        <w:t>：韶关市2019年度</w:t>
      </w:r>
      <w:r>
        <w:rPr>
          <w:rFonts w:ascii="仿宋_GB2312" w:hAnsi="Times New Roman" w:cs="Times New Roman"/>
          <w:bCs/>
          <w:color w:val="000000" w:themeColor="text1"/>
          <w:szCs w:val="28"/>
          <w14:textFill>
            <w14:solidFill>
              <w14:schemeClr w14:val="tx1"/>
            </w14:solidFill>
          </w14:textFill>
        </w:rPr>
        <w:t>全市科技创新</w:t>
      </w:r>
      <w:r>
        <w:rPr>
          <w:rFonts w:hint="eastAsia" w:ascii="仿宋_GB2312" w:hAnsi="Times New Roman" w:cs="Times New Roman"/>
          <w:bCs/>
          <w:color w:val="000000" w:themeColor="text1"/>
          <w:szCs w:val="28"/>
          <w14:textFill>
            <w14:solidFill>
              <w14:schemeClr w14:val="tx1"/>
            </w14:solidFill>
          </w14:textFill>
        </w:rPr>
        <w:t>预算资金为</w:t>
      </w:r>
      <w:r>
        <w:rPr>
          <w:rFonts w:ascii="仿宋_GB2312" w:hAnsi="Times New Roman" w:cs="Times New Roman"/>
          <w:bCs/>
          <w:color w:val="000000" w:themeColor="text1"/>
          <w:szCs w:val="28"/>
          <w14:textFill>
            <w14:solidFill>
              <w14:schemeClr w14:val="tx1"/>
            </w14:solidFill>
          </w14:textFill>
        </w:rPr>
        <w:t>10241.70</w:t>
      </w:r>
      <w:r>
        <w:rPr>
          <w:rFonts w:hint="eastAsia" w:ascii="仿宋_GB2312" w:hAnsi="Times New Roman" w:cs="Times New Roman"/>
          <w:bCs/>
          <w:color w:val="000000" w:themeColor="text1"/>
          <w:szCs w:val="28"/>
          <w14:textFill>
            <w14:solidFill>
              <w14:schemeClr w14:val="tx1"/>
            </w14:solidFill>
          </w14:textFill>
        </w:rPr>
        <w:t>万元，因</w:t>
      </w:r>
      <w:r>
        <w:rPr>
          <w:rFonts w:ascii="仿宋_GB2312" w:hAnsi="Times New Roman" w:cs="Times New Roman"/>
          <w:bCs/>
          <w:color w:val="000000" w:themeColor="text1"/>
          <w:szCs w:val="28"/>
          <w14:textFill>
            <w14:solidFill>
              <w14:schemeClr w14:val="tx1"/>
            </w14:solidFill>
          </w14:textFill>
        </w:rPr>
        <w:t>机构改革</w:t>
      </w:r>
      <w:r>
        <w:rPr>
          <w:rFonts w:hint="eastAsia" w:ascii="仿宋_GB2312" w:hAnsi="Times New Roman" w:cs="Times New Roman"/>
          <w:bCs/>
          <w:color w:val="000000" w:themeColor="text1"/>
          <w:szCs w:val="28"/>
          <w14:textFill>
            <w14:solidFill>
              <w14:schemeClr w14:val="tx1"/>
            </w14:solidFill>
          </w14:textFill>
        </w:rPr>
        <w:t>划出630.00万元</w:t>
      </w:r>
      <w:r>
        <w:rPr>
          <w:rFonts w:ascii="仿宋_GB2312" w:hAnsi="Times New Roman" w:cs="Times New Roman"/>
          <w:bCs/>
          <w:color w:val="000000" w:themeColor="text1"/>
          <w:szCs w:val="28"/>
          <w14:textFill>
            <w14:solidFill>
              <w14:schemeClr w14:val="tx1"/>
            </w14:solidFill>
          </w14:textFill>
        </w:rPr>
        <w:t>，</w:t>
      </w:r>
      <w:r>
        <w:rPr>
          <w:rFonts w:hint="eastAsia" w:ascii="仿宋_GB2312" w:hAnsi="Times New Roman" w:cs="Times New Roman"/>
          <w:bCs/>
          <w:color w:val="000000" w:themeColor="text1"/>
          <w:szCs w:val="28"/>
          <w14:textFill>
            <w14:solidFill>
              <w14:schemeClr w14:val="tx1"/>
            </w14:solidFill>
          </w14:textFill>
        </w:rPr>
        <w:t>因此，实际预算资金应为9611.70万元，实际到位资金9611.70万元，</w:t>
      </w:r>
      <w:r>
        <w:rPr>
          <w:rFonts w:ascii="仿宋_GB2312" w:hAnsi="Times New Roman" w:cs="Times New Roman"/>
          <w:bCs/>
          <w:color w:val="000000" w:themeColor="text1"/>
          <w:szCs w:val="28"/>
          <w14:textFill>
            <w14:solidFill>
              <w14:schemeClr w14:val="tx1"/>
            </w14:solidFill>
          </w14:textFill>
        </w:rPr>
        <w:t>资金及时足额到位</w:t>
      </w:r>
      <w:r>
        <w:rPr>
          <w:rFonts w:hint="eastAsia" w:ascii="仿宋_GB2312" w:hAnsi="Times New Roman" w:cs="Times New Roman"/>
          <w:bCs/>
          <w:color w:val="000000" w:themeColor="text1"/>
          <w:szCs w:val="28"/>
          <w14:textFill>
            <w14:solidFill>
              <w14:schemeClr w14:val="tx1"/>
            </w14:solidFill>
          </w14:textFill>
        </w:rPr>
        <w:t>。</w:t>
      </w:r>
    </w:p>
    <w:p>
      <w:pPr>
        <w:ind w:firstLine="640"/>
        <w:rPr>
          <w:rFonts w:ascii="仿宋_GB2312" w:hAnsi="Times New Roman" w:cs="Times New Roman"/>
          <w:bCs/>
          <w:color w:val="000000" w:themeColor="text1"/>
          <w:szCs w:val="28"/>
          <w14:textFill>
            <w14:solidFill>
              <w14:schemeClr w14:val="tx1"/>
            </w14:solidFill>
          </w14:textFill>
        </w:rPr>
      </w:pPr>
      <w:r>
        <w:rPr>
          <w:rFonts w:hint="eastAsia" w:ascii="仿宋_GB2312" w:hAnsi="Times New Roman" w:cs="Times New Roman"/>
          <w:bCs/>
          <w:color w:val="000000" w:themeColor="text1"/>
          <w:szCs w:val="28"/>
          <w14:textFill>
            <w14:solidFill>
              <w14:schemeClr w14:val="tx1"/>
            </w14:solidFill>
          </w14:textFill>
        </w:rPr>
        <w:t>资金</w:t>
      </w:r>
      <w:r>
        <w:rPr>
          <w:rFonts w:ascii="仿宋_GB2312" w:hAnsi="Times New Roman" w:cs="Times New Roman"/>
          <w:bCs/>
          <w:color w:val="000000" w:themeColor="text1"/>
          <w:szCs w:val="28"/>
          <w14:textFill>
            <w14:solidFill>
              <w14:schemeClr w14:val="tx1"/>
            </w14:solidFill>
          </w14:textFill>
        </w:rPr>
        <w:t>分配得分率</w:t>
      </w:r>
      <w:r>
        <w:rPr>
          <w:rFonts w:hint="eastAsia" w:ascii="仿宋_GB2312" w:hAnsi="Times New Roman" w:cs="Times New Roman"/>
          <w:bCs/>
          <w:color w:val="000000" w:themeColor="text1"/>
          <w:szCs w:val="28"/>
          <w14:textFill>
            <w14:solidFill>
              <w14:schemeClr w14:val="tx1"/>
            </w14:solidFill>
          </w14:textFill>
        </w:rPr>
        <w:t>66.67</w:t>
      </w:r>
      <w:r>
        <w:rPr>
          <w:rFonts w:ascii="仿宋_GB2312" w:hAnsi="Times New Roman" w:cs="Times New Roman"/>
          <w:bCs/>
          <w:color w:val="000000" w:themeColor="text1"/>
          <w:szCs w:val="28"/>
          <w14:textFill>
            <w14:solidFill>
              <w14:schemeClr w14:val="tx1"/>
            </w14:solidFill>
          </w14:textFill>
        </w:rPr>
        <w:t>%。</w:t>
      </w:r>
      <w:r>
        <w:rPr>
          <w:rFonts w:hint="eastAsia" w:ascii="仿宋_GB2312" w:hAnsi="Times New Roman" w:cs="Times New Roman"/>
          <w:bCs/>
          <w:color w:val="000000" w:themeColor="text1"/>
          <w:szCs w:val="28"/>
          <w14:textFill>
            <w14:solidFill>
              <w14:schemeClr w14:val="tx1"/>
            </w14:solidFill>
          </w14:textFill>
        </w:rPr>
        <w:t>大部分</w:t>
      </w:r>
      <w:r>
        <w:rPr>
          <w:rFonts w:ascii="仿宋_GB2312" w:hAnsi="Times New Roman" w:cs="Times New Roman"/>
          <w:bCs/>
          <w:color w:val="000000" w:themeColor="text1"/>
          <w:szCs w:val="28"/>
          <w14:textFill>
            <w14:solidFill>
              <w14:schemeClr w14:val="tx1"/>
            </w14:solidFill>
          </w14:textFill>
        </w:rPr>
        <w:t>子项资金分配合理，但</w:t>
      </w:r>
      <w:r>
        <w:rPr>
          <w:rFonts w:hint="eastAsia" w:ascii="仿宋_GB2312" w:hAnsi="Times New Roman" w:cs="Times New Roman"/>
          <w:bCs/>
          <w:color w:val="000000" w:themeColor="text1"/>
          <w:szCs w:val="28"/>
          <w14:textFill>
            <w14:solidFill>
              <w14:schemeClr w14:val="tx1"/>
            </w14:solidFill>
          </w14:textFill>
        </w:rPr>
        <w:t>个别项目资金在扶持对象之间的分配方式不够科学合理：企业研发市级财政资金的扶持对象中，获得补助资金较大的广东韶钢松山股份有限公司（下</w:t>
      </w:r>
      <w:r>
        <w:rPr>
          <w:rFonts w:ascii="仿宋_GB2312" w:hAnsi="Times New Roman" w:cs="Times New Roman"/>
          <w:bCs/>
          <w:color w:val="000000" w:themeColor="text1"/>
          <w:szCs w:val="28"/>
          <w14:textFill>
            <w14:solidFill>
              <w14:schemeClr w14:val="tx1"/>
            </w14:solidFill>
          </w14:textFill>
        </w:rPr>
        <w:t>称</w:t>
      </w:r>
      <w:r>
        <w:rPr>
          <w:rFonts w:hint="eastAsia" w:ascii="仿宋_GB2312" w:hAnsi="Times New Roman" w:cs="Times New Roman"/>
          <w:bCs/>
          <w:color w:val="000000" w:themeColor="text1"/>
          <w:szCs w:val="28"/>
          <w14:textFill>
            <w14:solidFill>
              <w14:schemeClr w14:val="tx1"/>
            </w14:solidFill>
          </w14:textFill>
        </w:rPr>
        <w:t>韶</w:t>
      </w:r>
      <w:r>
        <w:rPr>
          <w:rFonts w:ascii="仿宋_GB2312" w:hAnsi="Times New Roman" w:cs="Times New Roman"/>
          <w:bCs/>
          <w:color w:val="000000" w:themeColor="text1"/>
          <w:szCs w:val="28"/>
          <w14:textFill>
            <w14:solidFill>
              <w14:schemeClr w14:val="tx1"/>
            </w14:solidFill>
          </w14:textFill>
        </w:rPr>
        <w:t>钢公司</w:t>
      </w:r>
      <w:r>
        <w:rPr>
          <w:rFonts w:hint="eastAsia" w:ascii="仿宋_GB2312" w:hAnsi="Times New Roman" w:cs="Times New Roman"/>
          <w:bCs/>
          <w:color w:val="000000" w:themeColor="text1"/>
          <w:szCs w:val="28"/>
          <w14:textFill>
            <w14:solidFill>
              <w14:schemeClr w14:val="tx1"/>
            </w14:solidFill>
          </w14:textFill>
        </w:rPr>
        <w:t>）</w:t>
      </w:r>
      <w:r>
        <w:rPr>
          <w:rFonts w:ascii="仿宋_GB2312" w:hAnsi="Times New Roman" w:cs="Times New Roman"/>
          <w:bCs/>
          <w:color w:val="000000" w:themeColor="text1"/>
          <w:szCs w:val="28"/>
          <w14:textFill>
            <w14:solidFill>
              <w14:schemeClr w14:val="tx1"/>
            </w14:solidFill>
          </w14:textFill>
        </w:rPr>
        <w:t>获得了</w:t>
      </w:r>
      <w:r>
        <w:rPr>
          <w:rFonts w:hint="eastAsia" w:ascii="仿宋_GB2312" w:hAnsi="Times New Roman" w:cs="Times New Roman"/>
          <w:bCs/>
          <w:color w:val="000000" w:themeColor="text1"/>
          <w:szCs w:val="28"/>
          <w14:textFill>
            <w14:solidFill>
              <w14:schemeClr w14:val="tx1"/>
            </w14:solidFill>
          </w14:textFill>
        </w:rPr>
        <w:t>20</w:t>
      </w:r>
      <w:r>
        <w:rPr>
          <w:rFonts w:ascii="仿宋_GB2312" w:hAnsi="Times New Roman" w:cs="Times New Roman"/>
          <w:bCs/>
          <w:color w:val="000000" w:themeColor="text1"/>
          <w:szCs w:val="28"/>
          <w14:textFill>
            <w14:solidFill>
              <w14:schemeClr w14:val="tx1"/>
            </w14:solidFill>
          </w14:textFill>
        </w:rPr>
        <w:t>5</w:t>
      </w:r>
      <w:r>
        <w:rPr>
          <w:rFonts w:hint="eastAsia" w:ascii="仿宋_GB2312" w:hAnsi="Times New Roman" w:cs="Times New Roman"/>
          <w:bCs/>
          <w:color w:val="000000" w:themeColor="text1"/>
          <w:szCs w:val="28"/>
          <w14:textFill>
            <w14:solidFill>
              <w14:schemeClr w14:val="tx1"/>
            </w14:solidFill>
          </w14:textFill>
        </w:rPr>
        <w:t>万元的</w:t>
      </w:r>
      <w:r>
        <w:rPr>
          <w:rFonts w:ascii="仿宋_GB2312" w:hAnsi="Times New Roman" w:cs="Times New Roman"/>
          <w:bCs/>
          <w:color w:val="000000" w:themeColor="text1"/>
          <w:szCs w:val="28"/>
          <w14:textFill>
            <w14:solidFill>
              <w14:schemeClr w14:val="tx1"/>
            </w14:solidFill>
          </w14:textFill>
        </w:rPr>
        <w:t>研发补助</w:t>
      </w:r>
      <w:r>
        <w:rPr>
          <w:rFonts w:hint="eastAsia" w:ascii="仿宋_GB2312" w:hAnsi="Times New Roman" w:cs="Times New Roman"/>
          <w:bCs/>
          <w:szCs w:val="28"/>
        </w:rPr>
        <w:t>，占该资金的41.02%；</w:t>
      </w:r>
      <w:r>
        <w:rPr>
          <w:rFonts w:hint="eastAsia" w:ascii="仿宋_GB2312" w:hAnsi="Times New Roman" w:cs="Times New Roman"/>
          <w:bCs/>
          <w:color w:val="000000" w:themeColor="text1"/>
          <w:szCs w:val="28"/>
          <w14:textFill>
            <w14:solidFill>
              <w14:schemeClr w14:val="tx1"/>
            </w14:solidFill>
          </w14:textFill>
        </w:rPr>
        <w:t>而获得资金补助较小的企业中有</w:t>
      </w:r>
      <w:r>
        <w:rPr>
          <w:rFonts w:ascii="仿宋_GB2312" w:hAnsi="Times New Roman" w:cs="Times New Roman"/>
          <w:bCs/>
          <w:color w:val="000000" w:themeColor="text1"/>
          <w:szCs w:val="28"/>
          <w14:textFill>
            <w14:solidFill>
              <w14:schemeClr w14:val="tx1"/>
            </w14:solidFill>
          </w14:textFill>
        </w:rPr>
        <w:t>8</w:t>
      </w:r>
      <w:r>
        <w:rPr>
          <w:rFonts w:hint="eastAsia" w:ascii="仿宋_GB2312" w:hAnsi="Times New Roman" w:cs="Times New Roman"/>
          <w:bCs/>
          <w:color w:val="000000" w:themeColor="text1"/>
          <w:szCs w:val="28"/>
          <w14:textFill>
            <w14:solidFill>
              <w14:schemeClr w14:val="tx1"/>
            </w14:solidFill>
          </w14:textFill>
        </w:rPr>
        <w:t>家</w:t>
      </w:r>
      <w:r>
        <w:rPr>
          <w:rFonts w:ascii="仿宋_GB2312" w:hAnsi="Times New Roman" w:cs="Times New Roman"/>
          <w:bCs/>
          <w:color w:val="000000" w:themeColor="text1"/>
          <w:szCs w:val="28"/>
          <w14:textFill>
            <w14:solidFill>
              <w14:schemeClr w14:val="tx1"/>
            </w14:solidFill>
          </w14:textFill>
        </w:rPr>
        <w:t>企业</w:t>
      </w:r>
      <w:r>
        <w:rPr>
          <w:rFonts w:hint="eastAsia" w:ascii="仿宋_GB2312" w:hAnsi="Times New Roman" w:cs="Times New Roman"/>
          <w:bCs/>
          <w:color w:val="000000" w:themeColor="text1"/>
          <w:szCs w:val="28"/>
          <w14:textFill>
            <w14:solidFill>
              <w14:schemeClr w14:val="tx1"/>
            </w14:solidFill>
          </w14:textFill>
        </w:rPr>
        <w:t>获得</w:t>
      </w:r>
      <w:r>
        <w:rPr>
          <w:rFonts w:ascii="仿宋_GB2312" w:hAnsi="Times New Roman" w:cs="Times New Roman"/>
          <w:bCs/>
          <w:color w:val="000000" w:themeColor="text1"/>
          <w:szCs w:val="28"/>
          <w14:textFill>
            <w14:solidFill>
              <w14:schemeClr w14:val="tx1"/>
            </w14:solidFill>
          </w14:textFill>
        </w:rPr>
        <w:t>的研发补助</w:t>
      </w:r>
      <w:r>
        <w:rPr>
          <w:rFonts w:hint="eastAsia" w:ascii="仿宋_GB2312" w:hAnsi="Times New Roman" w:cs="Times New Roman"/>
          <w:bCs/>
          <w:color w:val="000000" w:themeColor="text1"/>
          <w:szCs w:val="28"/>
          <w14:textFill>
            <w14:solidFill>
              <w14:schemeClr w14:val="tx1"/>
            </w14:solidFill>
          </w14:textFill>
        </w:rPr>
        <w:t>均</w:t>
      </w:r>
      <w:r>
        <w:rPr>
          <w:rFonts w:ascii="仿宋_GB2312" w:hAnsi="Times New Roman" w:cs="Times New Roman"/>
          <w:bCs/>
          <w:color w:val="000000" w:themeColor="text1"/>
          <w:szCs w:val="28"/>
          <w14:textFill>
            <w14:solidFill>
              <w14:schemeClr w14:val="tx1"/>
            </w14:solidFill>
          </w14:textFill>
        </w:rPr>
        <w:t>低于</w:t>
      </w:r>
      <w:r>
        <w:rPr>
          <w:rFonts w:hint="eastAsia" w:ascii="仿宋_GB2312" w:hAnsi="Times New Roman" w:cs="Times New Roman"/>
          <w:bCs/>
          <w:color w:val="000000" w:themeColor="text1"/>
          <w:szCs w:val="28"/>
          <w14:textFill>
            <w14:solidFill>
              <w14:schemeClr w14:val="tx1"/>
            </w14:solidFill>
          </w14:textFill>
        </w:rPr>
        <w:t>1000元，所占比重不足0.11%。此种资金分配方式，不利于充分调动企业的投入研发积极性，偏离了“引导</w:t>
      </w:r>
      <w:r>
        <w:rPr>
          <w:rFonts w:ascii="仿宋_GB2312" w:hAnsi="Times New Roman" w:cs="Times New Roman"/>
          <w:bCs/>
          <w:color w:val="000000" w:themeColor="text1"/>
          <w:szCs w:val="28"/>
          <w14:textFill>
            <w14:solidFill>
              <w14:schemeClr w14:val="tx1"/>
            </w14:solidFill>
          </w14:textFill>
        </w:rPr>
        <w:t>企业普遍建立研发准备金制度，有计划、持续地增加研发投入</w:t>
      </w:r>
      <w:r>
        <w:rPr>
          <w:rFonts w:hint="eastAsia" w:ascii="仿宋_GB2312" w:hAnsi="Times New Roman" w:cs="Times New Roman"/>
          <w:bCs/>
          <w:color w:val="000000" w:themeColor="text1"/>
          <w:szCs w:val="28"/>
          <w14:textFill>
            <w14:solidFill>
              <w14:schemeClr w14:val="tx1"/>
            </w14:solidFill>
          </w14:textFill>
        </w:rPr>
        <w:t>”的政策初衷。</w:t>
      </w:r>
    </w:p>
    <w:p>
      <w:pPr>
        <w:pStyle w:val="3"/>
        <w:ind w:firstLine="640"/>
        <w:rPr>
          <w:rFonts w:hint="eastAsia" w:eastAsia="楷体_GB2312"/>
          <w:b w:val="0"/>
          <w:bCs w:val="0"/>
          <w:lang w:eastAsia="zh-CN"/>
        </w:rPr>
      </w:pPr>
      <w:bookmarkStart w:id="45" w:name="_Toc19623160"/>
      <w:bookmarkStart w:id="46" w:name="_Toc21995292"/>
      <w:bookmarkStart w:id="47" w:name="_Toc21995524"/>
      <w:bookmarkStart w:id="48" w:name="_Toc53500210"/>
      <w:r>
        <w:rPr>
          <w:rFonts w:hint="eastAsia"/>
          <w:b w:val="0"/>
          <w:bCs w:val="0"/>
        </w:rPr>
        <w:t>（二）</w:t>
      </w:r>
      <w:bookmarkEnd w:id="45"/>
      <w:bookmarkEnd w:id="46"/>
      <w:bookmarkEnd w:id="47"/>
      <w:r>
        <w:rPr>
          <w:rFonts w:hint="eastAsia"/>
          <w:b w:val="0"/>
          <w:bCs w:val="0"/>
        </w:rPr>
        <w:t>项目过程</w:t>
      </w:r>
      <w:bookmarkEnd w:id="48"/>
      <w:r>
        <w:rPr>
          <w:rFonts w:hint="eastAsia"/>
          <w:b w:val="0"/>
          <w:bCs w:val="0"/>
          <w:lang w:eastAsia="zh-CN"/>
        </w:rPr>
        <w:t>。</w:t>
      </w:r>
    </w:p>
    <w:p>
      <w:pPr>
        <w:ind w:firstLine="640"/>
        <w:rPr>
          <w:rFonts w:ascii="仿宋_GB2312"/>
        </w:rPr>
      </w:pPr>
      <w:r>
        <w:rPr>
          <w:rFonts w:hint="eastAsia" w:ascii="仿宋_GB2312"/>
        </w:rPr>
        <w:t>项目过程的4项三级指标得分率如下（图</w:t>
      </w:r>
      <w:r>
        <w:rPr>
          <w:rFonts w:ascii="仿宋_GB2312"/>
        </w:rPr>
        <w:t>2</w:t>
      </w:r>
      <w:r>
        <w:rPr>
          <w:rFonts w:hint="eastAsia" w:ascii="仿宋_GB2312"/>
        </w:rPr>
        <w:t>）：</w:t>
      </w:r>
    </w:p>
    <w:p>
      <w:pPr>
        <w:ind w:firstLine="0" w:firstLineChars="0"/>
        <w:jc w:val="center"/>
        <w:rPr>
          <w:rFonts w:ascii="仿宋_GB2312"/>
        </w:rPr>
      </w:pPr>
      <w:r>
        <w:drawing>
          <wp:inline distT="0" distB="0" distL="0" distR="0">
            <wp:extent cx="5762625" cy="2945130"/>
            <wp:effectExtent l="0" t="0" r="9525"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图2 项目过程的4项三级指标各指标得分率</w:t>
      </w:r>
    </w:p>
    <w:p>
      <w:pPr>
        <w:pStyle w:val="4"/>
        <w:ind w:firstLine="643"/>
        <w:rPr>
          <w:rFonts w:hAnsi="Times New Roman"/>
          <w:color w:val="000000" w:themeColor="text1"/>
          <w14:textFill>
            <w14:solidFill>
              <w14:schemeClr w14:val="tx1"/>
            </w14:solidFill>
          </w14:textFill>
        </w:rPr>
      </w:pPr>
      <w:bookmarkStart w:id="49" w:name="_Toc536094123"/>
      <w:r>
        <w:rPr>
          <w:rFonts w:hint="eastAsia" w:hAnsi="Times New Roman" w:cs="Times New Roman"/>
          <w:color w:val="000000" w:themeColor="text1"/>
          <w14:textFill>
            <w14:solidFill>
              <w14:schemeClr w14:val="tx1"/>
            </w14:solidFill>
          </w14:textFill>
        </w:rPr>
        <w:t>1.</w:t>
      </w:r>
      <w:bookmarkEnd w:id="49"/>
      <w:r>
        <w:rPr>
          <w:rFonts w:hint="eastAsia" w:hAnsi="Times New Roman"/>
          <w:color w:val="000000" w:themeColor="text1"/>
          <w14:textFill>
            <w14:solidFill>
              <w14:schemeClr w14:val="tx1"/>
            </w14:solidFill>
          </w14:textFill>
        </w:rPr>
        <w:t>资金管理</w:t>
      </w:r>
    </w:p>
    <w:p>
      <w:pPr>
        <w:pStyle w:val="5"/>
        <w:ind w:firstLine="640"/>
        <w:rPr>
          <w:rFonts w:hAnsi="Times New Roman"/>
          <w:color w:val="000000" w:themeColor="text1"/>
          <w14:textFill>
            <w14:solidFill>
              <w14:schemeClr w14:val="tx1"/>
            </w14:solidFill>
          </w14:textFill>
        </w:rPr>
      </w:pPr>
      <w:bookmarkStart w:id="50" w:name="_Toc536094124"/>
      <w:r>
        <w:rPr>
          <w:rFonts w:hint="eastAsia" w:hAnsi="Times New Roman"/>
          <w:color w:val="000000" w:themeColor="text1"/>
          <w14:textFill>
            <w14:solidFill>
              <w14:schemeClr w14:val="tx1"/>
            </w14:solidFill>
          </w14:textFill>
        </w:rPr>
        <w:t>（1）项目</w:t>
      </w:r>
      <w:r>
        <w:rPr>
          <w:rFonts w:hAnsi="Times New Roman"/>
          <w:color w:val="000000" w:themeColor="text1"/>
          <w14:textFill>
            <w14:solidFill>
              <w14:schemeClr w14:val="tx1"/>
            </w14:solidFill>
          </w14:textFill>
        </w:rPr>
        <w:t>总体资金支出</w:t>
      </w:r>
      <w:r>
        <w:rPr>
          <w:rFonts w:hint="eastAsia" w:hAnsi="Times New Roman"/>
          <w:color w:val="000000" w:themeColor="text1"/>
          <w14:textFill>
            <w14:solidFill>
              <w14:schemeClr w14:val="tx1"/>
            </w14:solidFill>
          </w14:textFill>
        </w:rPr>
        <w:t>率为100</w:t>
      </w:r>
      <w:r>
        <w:rPr>
          <w:rFonts w:hAnsi="Times New Roman"/>
          <w:color w:val="000000" w:themeColor="text1"/>
          <w14:textFill>
            <w14:solidFill>
              <w14:schemeClr w14:val="tx1"/>
            </w14:solidFill>
          </w14:textFill>
        </w:rPr>
        <w:t>%，但</w:t>
      </w:r>
      <w:r>
        <w:rPr>
          <w:rFonts w:hint="eastAsia" w:hAnsi="Times New Roman"/>
          <w:color w:val="000000" w:themeColor="text1"/>
          <w14:textFill>
            <w14:solidFill>
              <w14:schemeClr w14:val="tx1"/>
            </w14:solidFill>
          </w14:textFill>
        </w:rPr>
        <w:t>个别子项预算</w:t>
      </w:r>
      <w:r>
        <w:rPr>
          <w:rFonts w:hAnsi="Times New Roman"/>
          <w:color w:val="000000" w:themeColor="text1"/>
          <w14:textFill>
            <w14:solidFill>
              <w14:schemeClr w14:val="tx1"/>
            </w14:solidFill>
          </w14:textFill>
        </w:rPr>
        <w:t>调整</w:t>
      </w:r>
      <w:r>
        <w:rPr>
          <w:rFonts w:hint="eastAsia" w:hAnsi="Times New Roman"/>
          <w:color w:val="000000" w:themeColor="text1"/>
          <w14:textFill>
            <w14:solidFill>
              <w14:schemeClr w14:val="tx1"/>
            </w14:solidFill>
          </w14:textFill>
        </w:rPr>
        <w:t>较大</w:t>
      </w:r>
      <w:r>
        <w:rPr>
          <w:rFonts w:hAnsi="Times New Roman"/>
          <w:color w:val="000000" w:themeColor="text1"/>
          <w14:textFill>
            <w14:solidFill>
              <w14:schemeClr w14:val="tx1"/>
            </w14:solidFill>
          </w14:textFill>
        </w:rPr>
        <w:t>。</w:t>
      </w:r>
    </w:p>
    <w:p>
      <w:pPr>
        <w:ind w:firstLine="640"/>
        <w:rPr>
          <w:rFonts w:ascii="仿宋_GB2312"/>
        </w:rPr>
      </w:pPr>
      <w:r>
        <w:rPr>
          <w:rFonts w:hint="eastAsia" w:ascii="仿宋_GB2312"/>
        </w:rPr>
        <w:t>总体而言，韶关市2019年度</w:t>
      </w:r>
      <w:r>
        <w:rPr>
          <w:rFonts w:ascii="仿宋_GB2312"/>
        </w:rPr>
        <w:t>全市科技</w:t>
      </w:r>
      <w:r>
        <w:rPr>
          <w:rFonts w:hint="eastAsia" w:ascii="仿宋_GB2312"/>
        </w:rPr>
        <w:t>创新</w:t>
      </w:r>
      <w:r>
        <w:rPr>
          <w:rFonts w:ascii="仿宋_GB2312"/>
        </w:rPr>
        <w:t>项目</w:t>
      </w:r>
      <w:r>
        <w:rPr>
          <w:rFonts w:hint="eastAsia" w:ascii="仿宋_GB2312"/>
        </w:rPr>
        <w:t>预算资金为9611.</w:t>
      </w:r>
      <w:r>
        <w:rPr>
          <w:rFonts w:ascii="仿宋_GB2312"/>
        </w:rPr>
        <w:t>70</w:t>
      </w:r>
      <w:r>
        <w:rPr>
          <w:rFonts w:hint="eastAsia" w:ascii="仿宋_GB2312"/>
        </w:rPr>
        <w:t>万元，实际支出金额为9611.</w:t>
      </w:r>
      <w:r>
        <w:rPr>
          <w:rFonts w:ascii="仿宋_GB2312"/>
        </w:rPr>
        <w:t>70</w:t>
      </w:r>
      <w:r>
        <w:rPr>
          <w:rFonts w:hint="eastAsia" w:ascii="仿宋_GB2312"/>
        </w:rPr>
        <w:t>万元，资金支出率为100%。但从预算结构上来看，个别</w:t>
      </w:r>
      <w:r>
        <w:rPr>
          <w:rFonts w:ascii="仿宋_GB2312"/>
        </w:rPr>
        <w:t>子项</w:t>
      </w:r>
      <w:r>
        <w:rPr>
          <w:rFonts w:hint="eastAsia" w:ascii="仿宋_GB2312"/>
        </w:rPr>
        <w:t>预算调整较大</w:t>
      </w:r>
      <w:r>
        <w:rPr>
          <w:rFonts w:ascii="仿宋_GB2312"/>
        </w:rPr>
        <w:t>，如</w:t>
      </w:r>
      <w:r>
        <w:rPr>
          <w:rFonts w:hint="eastAsia" w:ascii="仿宋_GB2312"/>
        </w:rPr>
        <w:t>社会发展科技专项，预算</w:t>
      </w:r>
      <w:r>
        <w:rPr>
          <w:rFonts w:ascii="仿宋_GB2312"/>
        </w:rPr>
        <w:t>资金为</w:t>
      </w:r>
      <w:r>
        <w:rPr>
          <w:rFonts w:hint="eastAsia" w:ascii="仿宋_GB2312"/>
        </w:rPr>
        <w:t>500万元</w:t>
      </w:r>
      <w:r>
        <w:rPr>
          <w:rFonts w:ascii="仿宋_GB2312"/>
        </w:rPr>
        <w:t>，实际</w:t>
      </w:r>
      <w:r>
        <w:rPr>
          <w:rFonts w:hint="eastAsia" w:ascii="仿宋_GB2312"/>
        </w:rPr>
        <w:t>执行时调整</w:t>
      </w:r>
      <w:r>
        <w:rPr>
          <w:rFonts w:ascii="仿宋_GB2312"/>
        </w:rPr>
        <w:t>为</w:t>
      </w:r>
      <w:r>
        <w:rPr>
          <w:rFonts w:hint="eastAsia" w:ascii="仿宋_GB2312"/>
        </w:rPr>
        <w:t>340万元</w:t>
      </w:r>
      <w:r>
        <w:rPr>
          <w:rFonts w:ascii="仿宋_GB2312"/>
        </w:rPr>
        <w:t>，</w:t>
      </w:r>
      <w:r>
        <w:rPr>
          <w:rFonts w:hint="eastAsia" w:ascii="仿宋_GB2312"/>
        </w:rPr>
        <w:t>其预算</w:t>
      </w:r>
      <w:r>
        <w:rPr>
          <w:rFonts w:ascii="仿宋_GB2312"/>
        </w:rPr>
        <w:t>计划性有待</w:t>
      </w:r>
      <w:r>
        <w:rPr>
          <w:rFonts w:hint="eastAsia" w:ascii="仿宋_GB2312"/>
        </w:rPr>
        <w:t>加强</w:t>
      </w:r>
      <w:r>
        <w:rPr>
          <w:rFonts w:ascii="仿宋_GB2312"/>
        </w:rPr>
        <w:t>。</w:t>
      </w:r>
    </w:p>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（2）项目预算</w:t>
      </w:r>
      <w:r>
        <w:rPr>
          <w:rFonts w:hAnsi="Times New Roman"/>
          <w:color w:val="000000" w:themeColor="text1"/>
          <w14:textFill>
            <w14:solidFill>
              <w14:schemeClr w14:val="tx1"/>
            </w14:solidFill>
          </w14:textFill>
        </w:rPr>
        <w:t>执行和事项支出较为合规，会计核算</w:t>
      </w:r>
      <w:r>
        <w:rPr>
          <w:rFonts w:hint="eastAsia" w:hAnsi="Times New Roman"/>
          <w:color w:val="000000" w:themeColor="text1"/>
          <w14:textFill>
            <w14:solidFill>
              <w14:schemeClr w14:val="tx1"/>
            </w14:solidFill>
          </w14:textFill>
        </w:rPr>
        <w:t>较为</w:t>
      </w:r>
      <w:r>
        <w:rPr>
          <w:rFonts w:hAnsi="Times New Roman"/>
          <w:color w:val="000000" w:themeColor="text1"/>
          <w14:textFill>
            <w14:solidFill>
              <w14:schemeClr w14:val="tx1"/>
            </w14:solidFill>
          </w14:textFill>
        </w:rPr>
        <w:t>规范性。</w:t>
      </w:r>
    </w:p>
    <w:p>
      <w:pPr>
        <w:ind w:firstLine="640"/>
        <w:rPr>
          <w:rFonts w:ascii="仿宋_GB2312"/>
        </w:rPr>
      </w:pPr>
      <w:r>
        <w:rPr>
          <w:rFonts w:hint="eastAsia" w:ascii="仿宋_GB2312"/>
        </w:rPr>
        <w:t>支出</w:t>
      </w:r>
      <w:r>
        <w:rPr>
          <w:rFonts w:ascii="仿宋_GB2312"/>
        </w:rPr>
        <w:t>规范性得分</w:t>
      </w:r>
      <w:r>
        <w:rPr>
          <w:rFonts w:hint="eastAsia" w:ascii="仿宋_GB2312"/>
        </w:rPr>
        <w:t>率100</w:t>
      </w:r>
      <w:r>
        <w:rPr>
          <w:rFonts w:ascii="仿宋_GB2312"/>
        </w:rPr>
        <w:t>%。</w:t>
      </w:r>
      <w:r>
        <w:rPr>
          <w:rFonts w:hint="eastAsia" w:ascii="仿宋_GB2312"/>
        </w:rPr>
        <w:t>根据相关资金</w:t>
      </w:r>
      <w:r>
        <w:rPr>
          <w:rFonts w:ascii="仿宋_GB2312"/>
        </w:rPr>
        <w:t>下达文件</w:t>
      </w:r>
      <w:r>
        <w:rPr>
          <w:rFonts w:hint="eastAsia" w:ascii="仿宋_GB2312"/>
        </w:rPr>
        <w:t>及</w:t>
      </w:r>
      <w:r>
        <w:rPr>
          <w:rFonts w:ascii="仿宋_GB2312"/>
        </w:rPr>
        <w:t>现场核查支付</w:t>
      </w:r>
      <w:r>
        <w:rPr>
          <w:rFonts w:hint="eastAsia" w:ascii="仿宋_GB2312"/>
        </w:rPr>
        <w:t>凭证</w:t>
      </w:r>
      <w:r>
        <w:rPr>
          <w:rFonts w:ascii="仿宋_GB2312"/>
        </w:rPr>
        <w:t>情况，</w:t>
      </w:r>
      <w:r>
        <w:rPr>
          <w:rFonts w:hint="eastAsia" w:ascii="仿宋_GB2312"/>
        </w:rPr>
        <w:t>整体项目未</w:t>
      </w:r>
      <w:r>
        <w:rPr>
          <w:rFonts w:ascii="仿宋_GB2312"/>
        </w:rPr>
        <w:t>发生</w:t>
      </w:r>
      <w:r>
        <w:rPr>
          <w:rFonts w:hint="eastAsia" w:ascii="仿宋_GB2312"/>
        </w:rPr>
        <w:t>预算</w:t>
      </w:r>
      <w:r>
        <w:rPr>
          <w:rFonts w:ascii="仿宋_GB2312"/>
        </w:rPr>
        <w:t>调整，</w:t>
      </w:r>
      <w:bookmarkStart w:id="51" w:name="_Hlk44317865"/>
      <w:r>
        <w:rPr>
          <w:rFonts w:hint="eastAsia" w:ascii="仿宋_GB2312"/>
        </w:rPr>
        <w:t>各子项</w:t>
      </w:r>
      <w:r>
        <w:rPr>
          <w:rFonts w:ascii="仿宋_GB2312"/>
        </w:rPr>
        <w:t>资金</w:t>
      </w:r>
      <w:r>
        <w:rPr>
          <w:rFonts w:hint="eastAsia" w:ascii="仿宋_GB2312"/>
        </w:rPr>
        <w:t>分配</w:t>
      </w:r>
      <w:r>
        <w:rPr>
          <w:rFonts w:ascii="仿宋_GB2312"/>
        </w:rPr>
        <w:t>依据较为充分，支出内容符合韶关市科技创新支持内容，</w:t>
      </w:r>
      <w:r>
        <w:rPr>
          <w:rFonts w:hint="eastAsia" w:ascii="仿宋_GB2312"/>
        </w:rPr>
        <w:t>会计核算</w:t>
      </w:r>
      <w:r>
        <w:rPr>
          <w:rFonts w:ascii="仿宋_GB2312"/>
        </w:rPr>
        <w:t>较为规范</w:t>
      </w:r>
      <w:r>
        <w:rPr>
          <w:rFonts w:hint="eastAsia" w:ascii="仿宋_GB2312"/>
        </w:rPr>
        <w:t>。</w:t>
      </w:r>
      <w:bookmarkEnd w:id="51"/>
    </w:p>
    <w:bookmarkEnd w:id="50"/>
    <w:p>
      <w:pPr>
        <w:pStyle w:val="4"/>
        <w:ind w:firstLine="643"/>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2.事项管理</w:t>
      </w:r>
    </w:p>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（1）项目实施</w:t>
      </w:r>
      <w:r>
        <w:rPr>
          <w:rFonts w:hAnsi="Times New Roman"/>
          <w:color w:val="000000" w:themeColor="text1"/>
          <w14:textFill>
            <w14:solidFill>
              <w14:schemeClr w14:val="tx1"/>
            </w14:solidFill>
          </w14:textFill>
        </w:rPr>
        <w:t>程序较为规范。</w:t>
      </w:r>
    </w:p>
    <w:p>
      <w:pPr>
        <w:ind w:firstLine="640"/>
        <w:rPr>
          <w:rFonts w:ascii="仿宋_GB2312" w:hAnsi="Times New Roman"/>
        </w:rPr>
      </w:pPr>
      <w:r>
        <w:rPr>
          <w:rFonts w:hint="eastAsia" w:ascii="仿宋_GB2312" w:hAnsi="Times New Roman"/>
        </w:rPr>
        <w:t>实施</w:t>
      </w:r>
      <w:r>
        <w:rPr>
          <w:rFonts w:ascii="仿宋_GB2312" w:hAnsi="Times New Roman"/>
        </w:rPr>
        <w:t>程序得分率</w:t>
      </w:r>
      <w:r>
        <w:rPr>
          <w:rFonts w:hint="eastAsia" w:ascii="仿宋_GB2312" w:hAnsi="Times New Roman"/>
        </w:rPr>
        <w:t>100</w:t>
      </w:r>
      <w:r>
        <w:rPr>
          <w:rFonts w:ascii="仿宋_GB2312" w:hAnsi="Times New Roman"/>
        </w:rPr>
        <w:t>%。</w:t>
      </w:r>
      <w:r>
        <w:rPr>
          <w:rFonts w:hint="eastAsia" w:ascii="仿宋_GB2312" w:hAnsi="Times New Roman"/>
        </w:rPr>
        <w:t>各</w:t>
      </w:r>
      <w:r>
        <w:rPr>
          <w:rFonts w:ascii="仿宋_GB2312" w:hAnsi="Times New Roman"/>
        </w:rPr>
        <w:t>类型项目实施程序均较为规范：</w:t>
      </w:r>
      <w:r>
        <w:rPr>
          <w:rFonts w:hint="eastAsia" w:ascii="仿宋_GB2312" w:hAnsi="Times New Roman"/>
        </w:rPr>
        <w:t>①竞争性事前资助项目主要以专家评审的意见为依据，具体实施流程为：开展前期调研-制定工作计划-制定并发布申报通知指南-受理申报-开展形式审查-委托专家进行评审-根据评审结果及文件依据制定资金分配方案-上交党组会审议-公示-征求相关部门意见-提交市政府-拨付资金。实施中期将对项目开展中期检查，实施后进行结题验收。②事后奖补项目实施程序与竞争性事前资助项目实施流程大致相同，部分项目无需企业申报，由科技局根据相关文件要求直接向人民银行、税局、统计局等相关部门获得数据，再按程序进行认定并发放相关补助。项目实施</w:t>
      </w:r>
      <w:r>
        <w:rPr>
          <w:rFonts w:ascii="仿宋_GB2312" w:hAnsi="Times New Roman"/>
        </w:rPr>
        <w:t>程序较为规范，且提供了相关过程文件，</w:t>
      </w:r>
      <w:r>
        <w:rPr>
          <w:rFonts w:hint="eastAsia" w:ascii="仿宋_GB2312" w:hAnsi="Times New Roman"/>
        </w:rPr>
        <w:t>包括</w:t>
      </w:r>
      <w:r>
        <w:rPr>
          <w:rFonts w:ascii="仿宋_GB2312" w:hAnsi="Times New Roman"/>
        </w:rPr>
        <w:t>可行性</w:t>
      </w:r>
      <w:r>
        <w:rPr>
          <w:rFonts w:hint="eastAsia" w:ascii="仿宋_GB2312" w:hAnsi="Times New Roman"/>
        </w:rPr>
        <w:t>论证</w:t>
      </w:r>
      <w:r>
        <w:rPr>
          <w:rFonts w:ascii="仿宋_GB2312" w:hAnsi="Times New Roman"/>
        </w:rPr>
        <w:t>方案、立项评审报告、项目中期绩效自评汇总表</w:t>
      </w:r>
      <w:r>
        <w:rPr>
          <w:rFonts w:hint="eastAsia" w:ascii="仿宋_GB2312" w:hAnsi="Times New Roman"/>
        </w:rPr>
        <w:t>、</w:t>
      </w:r>
      <w:r>
        <w:rPr>
          <w:rFonts w:ascii="仿宋_GB2312" w:hAnsi="Times New Roman"/>
        </w:rPr>
        <w:t>补助项目的绩效自评报告</w:t>
      </w:r>
      <w:r>
        <w:rPr>
          <w:rFonts w:hint="eastAsia" w:ascii="仿宋_GB2312" w:hAnsi="Times New Roman"/>
        </w:rPr>
        <w:t>等</w:t>
      </w:r>
      <w:r>
        <w:rPr>
          <w:rFonts w:ascii="仿宋_GB2312" w:hAnsi="Times New Roman"/>
        </w:rPr>
        <w:t>。</w:t>
      </w:r>
    </w:p>
    <w:p>
      <w:pPr>
        <w:pStyle w:val="5"/>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（2）项目监管</w:t>
      </w:r>
      <w:r>
        <w:rPr>
          <w:rFonts w:hAnsi="Times New Roman"/>
          <w:color w:val="000000" w:themeColor="text1"/>
          <w14:textFill>
            <w14:solidFill>
              <w14:schemeClr w14:val="tx1"/>
            </w14:solidFill>
          </w14:textFill>
        </w:rPr>
        <w:t>机制不够完善，</w:t>
      </w:r>
      <w:r>
        <w:rPr>
          <w:rFonts w:hint="eastAsia" w:hAnsi="Times New Roman"/>
          <w:color w:val="000000" w:themeColor="text1"/>
          <w14:textFill>
            <w14:solidFill>
              <w14:schemeClr w14:val="tx1"/>
            </w14:solidFill>
          </w14:textFill>
        </w:rPr>
        <w:t>资金</w:t>
      </w:r>
      <w:r>
        <w:rPr>
          <w:rFonts w:hAnsi="Times New Roman"/>
          <w:color w:val="000000" w:themeColor="text1"/>
          <w14:textFill>
            <w14:solidFill>
              <w14:schemeClr w14:val="tx1"/>
            </w14:solidFill>
          </w14:textFill>
        </w:rPr>
        <w:t>使用过程</w:t>
      </w:r>
      <w:r>
        <w:rPr>
          <w:rFonts w:hint="eastAsia" w:hAnsi="Times New Roman"/>
          <w:color w:val="000000" w:themeColor="text1"/>
          <w14:textFill>
            <w14:solidFill>
              <w14:schemeClr w14:val="tx1"/>
            </w14:solidFill>
          </w14:textFill>
        </w:rPr>
        <w:t>的监管</w:t>
      </w:r>
      <w:r>
        <w:rPr>
          <w:rFonts w:hAnsi="Times New Roman"/>
          <w:color w:val="000000" w:themeColor="text1"/>
          <w14:textFill>
            <w14:solidFill>
              <w14:schemeClr w14:val="tx1"/>
            </w14:solidFill>
          </w14:textFill>
        </w:rPr>
        <w:t>缺失</w:t>
      </w:r>
      <w:r>
        <w:rPr>
          <w:rFonts w:hint="eastAsia" w:hAnsi="Times New Roman"/>
          <w:color w:val="000000" w:themeColor="text1"/>
          <w14:textFill>
            <w14:solidFill>
              <w14:schemeClr w14:val="tx1"/>
            </w14:solidFill>
          </w14:textFill>
        </w:rPr>
        <w:t>。</w:t>
      </w:r>
    </w:p>
    <w:p>
      <w:pPr>
        <w:ind w:firstLine="640"/>
        <w:rPr>
          <w:rFonts w:ascii="仿宋_GB2312" w:hAnsi="Times New Roman"/>
        </w:rPr>
      </w:pPr>
      <w:r>
        <w:rPr>
          <w:rFonts w:hint="eastAsia" w:ascii="仿宋_GB2312" w:hAnsi="Times New Roman"/>
        </w:rPr>
        <w:t>管理</w:t>
      </w:r>
      <w:r>
        <w:rPr>
          <w:rFonts w:ascii="仿宋_GB2312" w:hAnsi="Times New Roman"/>
        </w:rPr>
        <w:t>情况得分率</w:t>
      </w:r>
      <w:r>
        <w:rPr>
          <w:rFonts w:hint="eastAsia" w:ascii="仿宋_GB2312" w:hAnsi="Times New Roman"/>
        </w:rPr>
        <w:t>50</w:t>
      </w:r>
      <w:r>
        <w:rPr>
          <w:rFonts w:ascii="仿宋_GB2312" w:hAnsi="Times New Roman"/>
        </w:rPr>
        <w:t>%</w:t>
      </w:r>
      <w:r>
        <w:rPr>
          <w:rFonts w:hint="eastAsia" w:ascii="仿宋_GB2312" w:hAnsi="Times New Roman"/>
        </w:rPr>
        <w:t>。项目</w:t>
      </w:r>
      <w:r>
        <w:rPr>
          <w:rFonts w:ascii="仿宋_GB2312" w:hAnsi="Times New Roman"/>
        </w:rPr>
        <w:t>监管</w:t>
      </w:r>
      <w:r>
        <w:rPr>
          <w:rFonts w:hint="eastAsia" w:ascii="仿宋_GB2312" w:hAnsi="Times New Roman"/>
        </w:rPr>
        <w:t>机制</w:t>
      </w:r>
      <w:r>
        <w:rPr>
          <w:rFonts w:ascii="仿宋_GB2312" w:hAnsi="Times New Roman"/>
        </w:rPr>
        <w:t>不够完善，对于资金使用过程</w:t>
      </w:r>
      <w:r>
        <w:rPr>
          <w:rFonts w:hint="eastAsia" w:ascii="仿宋_GB2312" w:hAnsi="Times New Roman"/>
        </w:rPr>
        <w:t>的</w:t>
      </w:r>
      <w:r>
        <w:rPr>
          <w:rFonts w:ascii="仿宋_GB2312" w:hAnsi="Times New Roman"/>
        </w:rPr>
        <w:t>监管</w:t>
      </w:r>
      <w:r>
        <w:rPr>
          <w:rFonts w:hint="eastAsia" w:ascii="仿宋_GB2312" w:hAnsi="Times New Roman"/>
        </w:rPr>
        <w:t>和</w:t>
      </w:r>
      <w:r>
        <w:rPr>
          <w:rFonts w:ascii="仿宋_GB2312" w:hAnsi="Times New Roman"/>
        </w:rPr>
        <w:t>管理缺失，且</w:t>
      </w:r>
      <w:r>
        <w:rPr>
          <w:rFonts w:hint="eastAsia" w:ascii="仿宋_GB2312" w:hAnsi="Times New Roman"/>
        </w:rPr>
        <w:t>各县（市、区）</w:t>
      </w:r>
      <w:r>
        <w:rPr>
          <w:rFonts w:ascii="仿宋_GB2312" w:hAnsi="Times New Roman"/>
        </w:rPr>
        <w:t>对</w:t>
      </w:r>
      <w:r>
        <w:rPr>
          <w:rFonts w:hint="eastAsia" w:ascii="仿宋_GB2312" w:hAnsi="Times New Roman"/>
        </w:rPr>
        <w:t>扶持</w:t>
      </w:r>
      <w:r>
        <w:rPr>
          <w:rFonts w:ascii="仿宋_GB2312" w:hAnsi="Times New Roman"/>
        </w:rPr>
        <w:t>项目的监管力度较弱</w:t>
      </w:r>
      <w:r>
        <w:rPr>
          <w:rFonts w:hint="eastAsia" w:ascii="仿宋_GB2312" w:hAnsi="Times New Roman"/>
        </w:rPr>
        <w:t>：一是对项目资金使用的监管没有具体的实施方案和记录材料，对项目产生绩效仅</w:t>
      </w:r>
      <w:r>
        <w:rPr>
          <w:rFonts w:ascii="仿宋_GB2312" w:hAnsi="Times New Roman"/>
        </w:rPr>
        <w:t>进行了材料收集，未</w:t>
      </w:r>
      <w:r>
        <w:rPr>
          <w:rFonts w:hint="eastAsia" w:ascii="仿宋_GB2312" w:hAnsi="Times New Roman"/>
        </w:rPr>
        <w:t>进行</w:t>
      </w:r>
      <w:r>
        <w:rPr>
          <w:rFonts w:ascii="仿宋_GB2312" w:hAnsi="Times New Roman"/>
        </w:rPr>
        <w:t>分析</w:t>
      </w:r>
      <w:r>
        <w:rPr>
          <w:rFonts w:hint="eastAsia" w:ascii="仿宋_GB2312" w:hAnsi="Times New Roman"/>
        </w:rPr>
        <w:t>统计，缺少系统的台账记录和归档。二是项目资金的使用管理以拨付</w:t>
      </w:r>
      <w:r>
        <w:rPr>
          <w:rFonts w:ascii="仿宋_GB2312" w:hAnsi="Times New Roman"/>
        </w:rPr>
        <w:t>为主</w:t>
      </w:r>
      <w:r>
        <w:rPr>
          <w:rFonts w:hint="eastAsia" w:ascii="仿宋_GB2312" w:hAnsi="Times New Roman"/>
        </w:rPr>
        <w:t>，对于重大项目未</w:t>
      </w:r>
      <w:r>
        <w:rPr>
          <w:rFonts w:ascii="仿宋_GB2312" w:hAnsi="Times New Roman"/>
        </w:rPr>
        <w:t>根据项目</w:t>
      </w:r>
      <w:r>
        <w:rPr>
          <w:rFonts w:hint="eastAsia" w:ascii="仿宋_GB2312" w:hAnsi="Times New Roman"/>
        </w:rPr>
        <w:t>进展</w:t>
      </w:r>
      <w:r>
        <w:rPr>
          <w:rFonts w:ascii="仿宋_GB2312" w:hAnsi="Times New Roman"/>
        </w:rPr>
        <w:t>和效益情况</w:t>
      </w:r>
      <w:r>
        <w:rPr>
          <w:rFonts w:hint="eastAsia" w:ascii="仿宋_GB2312" w:hAnsi="Times New Roman"/>
        </w:rPr>
        <w:t>采取多阶段资金支付的有效管理方式，大额资金进行一次性支付不利于提高</w:t>
      </w:r>
      <w:r>
        <w:rPr>
          <w:rFonts w:ascii="仿宋_GB2312" w:hAnsi="Times New Roman"/>
        </w:rPr>
        <w:t>财政资金的使用效率</w:t>
      </w:r>
      <w:r>
        <w:rPr>
          <w:rFonts w:hint="eastAsia" w:ascii="仿宋_GB2312" w:hAnsi="Times New Roman"/>
        </w:rPr>
        <w:t>。三是大部分资金都是由市科技局直接及时支付到相应企业，作为</w:t>
      </w:r>
      <w:r>
        <w:rPr>
          <w:rFonts w:ascii="仿宋_GB2312" w:hAnsi="Times New Roman"/>
        </w:rPr>
        <w:t>与企业直接沟通、走访的单位，</w:t>
      </w:r>
      <w:r>
        <w:rPr>
          <w:rFonts w:hint="eastAsia" w:ascii="仿宋_GB2312" w:hAnsi="Times New Roman"/>
        </w:rPr>
        <w:t>各县（市、区）科技部门对项目过程的监管较弱，多以微信、电话等方式联系了解情况，未</w:t>
      </w:r>
      <w:r>
        <w:rPr>
          <w:rFonts w:ascii="仿宋_GB2312" w:hAnsi="Times New Roman"/>
        </w:rPr>
        <w:t>开展以</w:t>
      </w:r>
      <w:r>
        <w:rPr>
          <w:rFonts w:hint="eastAsia" w:ascii="仿宋_GB2312" w:hAnsi="Times New Roman"/>
        </w:rPr>
        <w:t>为</w:t>
      </w:r>
      <w:r>
        <w:rPr>
          <w:rFonts w:ascii="仿宋_GB2312" w:hAnsi="Times New Roman"/>
        </w:rPr>
        <w:t>企业</w:t>
      </w:r>
      <w:r>
        <w:rPr>
          <w:rFonts w:hint="eastAsia" w:ascii="仿宋_GB2312" w:hAnsi="Times New Roman"/>
        </w:rPr>
        <w:t>排忧解难为主的调研。</w:t>
      </w:r>
    </w:p>
    <w:p>
      <w:pPr>
        <w:pStyle w:val="3"/>
        <w:rPr>
          <w:rFonts w:hint="eastAsia" w:eastAsia="楷体_GB2312"/>
          <w:b w:val="0"/>
          <w:bCs w:val="0"/>
          <w:lang w:eastAsia="zh-CN"/>
        </w:rPr>
      </w:pPr>
      <w:bookmarkStart w:id="52" w:name="_Toc21995525"/>
      <w:bookmarkStart w:id="53" w:name="_Toc21995293"/>
      <w:bookmarkStart w:id="54" w:name="_Toc19623161"/>
      <w:bookmarkStart w:id="55" w:name="_Toc53500211"/>
      <w:r>
        <w:rPr>
          <w:rFonts w:hint="eastAsia"/>
          <w:b w:val="0"/>
          <w:bCs w:val="0"/>
        </w:rPr>
        <w:t>（三）</w:t>
      </w:r>
      <w:bookmarkEnd w:id="52"/>
      <w:bookmarkEnd w:id="53"/>
      <w:bookmarkEnd w:id="54"/>
      <w:r>
        <w:rPr>
          <w:rFonts w:hint="eastAsia"/>
          <w:b w:val="0"/>
          <w:bCs w:val="0"/>
        </w:rPr>
        <w:t>项目产出</w:t>
      </w:r>
      <w:bookmarkEnd w:id="55"/>
      <w:r>
        <w:rPr>
          <w:rFonts w:hint="eastAsia"/>
          <w:b w:val="0"/>
          <w:bCs w:val="0"/>
          <w:lang w:eastAsia="zh-CN"/>
        </w:rPr>
        <w:t>。</w:t>
      </w:r>
    </w:p>
    <w:p>
      <w:pPr>
        <w:ind w:firstLine="640"/>
        <w:rPr>
          <w:rFonts w:ascii="仿宋_GB2312"/>
        </w:rPr>
      </w:pPr>
      <w:r>
        <w:rPr>
          <w:rFonts w:hint="eastAsia" w:ascii="仿宋_GB2312"/>
        </w:rPr>
        <w:t>项目产出的</w:t>
      </w:r>
      <w:r>
        <w:rPr>
          <w:rFonts w:ascii="仿宋_GB2312"/>
        </w:rPr>
        <w:t>4</w:t>
      </w:r>
      <w:r>
        <w:rPr>
          <w:rFonts w:hint="eastAsia" w:ascii="仿宋_GB2312"/>
        </w:rPr>
        <w:t>项三级指标得分率如下（图3）：</w:t>
      </w:r>
    </w:p>
    <w:p>
      <w:pPr>
        <w:ind w:firstLine="0" w:firstLineChars="0"/>
        <w:jc w:val="center"/>
        <w:rPr>
          <w:rFonts w:ascii="仿宋_GB2312"/>
        </w:rPr>
      </w:pPr>
      <w:r>
        <w:t xml:space="preserve"> </w:t>
      </w:r>
      <w:r>
        <w:drawing>
          <wp:inline distT="0" distB="0" distL="0" distR="0">
            <wp:extent cx="5482590" cy="2692400"/>
            <wp:effectExtent l="0" t="0" r="3810" b="1270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图3 项目产出的4项三级指标各指标得分率</w:t>
      </w:r>
    </w:p>
    <w:p>
      <w:pPr>
        <w:spacing w:line="240" w:lineRule="auto"/>
        <w:ind w:firstLine="0" w:firstLineChars="0"/>
        <w:jc w:val="center"/>
        <w:rPr>
          <w:rFonts w:ascii="仿宋_GB2312" w:hAnsi="Times New Roman"/>
          <w:b/>
          <w:color w:val="000000" w:themeColor="text1"/>
          <w:sz w:val="28"/>
          <w:szCs w:val="28"/>
          <w14:textFill>
            <w14:solidFill>
              <w14:schemeClr w14:val="tx1"/>
            </w14:solidFill>
          </w14:textFill>
        </w:rPr>
      </w:pPr>
    </w:p>
    <w:p>
      <w:pPr>
        <w:pStyle w:val="4"/>
        <w:ind w:firstLine="640"/>
        <w:rPr>
          <w:rFonts w:hAnsi="Times New Roman"/>
          <w:b w:val="0"/>
          <w:bCs w:val="0"/>
          <w:color w:val="000000" w:themeColor="text1"/>
          <w14:textFill>
            <w14:solidFill>
              <w14:schemeClr w14:val="tx1"/>
            </w14:solidFill>
          </w14:textFill>
        </w:rPr>
      </w:pPr>
      <w:r>
        <w:rPr>
          <w:rFonts w:hint="eastAsia" w:hAnsi="Times New Roman"/>
          <w:b w:val="0"/>
          <w:bCs w:val="0"/>
          <w:color w:val="000000" w:themeColor="text1"/>
          <w14:textFill>
            <w14:solidFill>
              <w14:schemeClr w14:val="tx1"/>
            </w14:solidFill>
          </w14:textFill>
        </w:rPr>
        <w:t>1.经济性</w:t>
      </w:r>
    </w:p>
    <w:p>
      <w:pPr>
        <w:ind w:firstLine="640"/>
        <w:rPr>
          <w:rFonts w:ascii="仿宋_GB2312" w:hAnsi="Times New Roman"/>
        </w:rPr>
      </w:pPr>
      <w:bookmarkStart w:id="56" w:name="_Hlk17705819"/>
      <w:r>
        <w:rPr>
          <w:rFonts w:hint="eastAsia" w:ascii="仿宋_GB2312" w:hAnsi="Times New Roman"/>
        </w:rPr>
        <w:t>预算</w:t>
      </w:r>
      <w:r>
        <w:rPr>
          <w:rFonts w:ascii="仿宋_GB2312" w:hAnsi="Times New Roman"/>
        </w:rPr>
        <w:t>控制</w:t>
      </w:r>
      <w:r>
        <w:rPr>
          <w:rFonts w:hint="eastAsia" w:ascii="仿宋_GB2312" w:hAnsi="Times New Roman"/>
        </w:rPr>
        <w:t>和</w:t>
      </w:r>
      <w:r>
        <w:rPr>
          <w:rFonts w:ascii="仿宋_GB2312" w:hAnsi="Times New Roman"/>
        </w:rPr>
        <w:t>成本控制</w:t>
      </w:r>
      <w:r>
        <w:rPr>
          <w:rFonts w:hint="eastAsia" w:ascii="仿宋_GB2312" w:hAnsi="Times New Roman"/>
        </w:rPr>
        <w:t>较好，</w:t>
      </w:r>
      <w:r>
        <w:rPr>
          <w:rFonts w:ascii="仿宋_GB2312" w:hAnsi="Times New Roman"/>
        </w:rPr>
        <w:t>得分率</w:t>
      </w:r>
      <w:r>
        <w:rPr>
          <w:rFonts w:hint="eastAsia" w:ascii="仿宋_GB2312" w:hAnsi="Times New Roman"/>
        </w:rPr>
        <w:t>均为100</w:t>
      </w:r>
      <w:r>
        <w:rPr>
          <w:rFonts w:ascii="仿宋_GB2312" w:hAnsi="Times New Roman"/>
        </w:rPr>
        <w:t>%。</w:t>
      </w:r>
      <w:r>
        <w:rPr>
          <w:rFonts w:hint="eastAsia" w:ascii="仿宋_GB2312" w:hAnsi="Times New Roman"/>
        </w:rPr>
        <w:t>项目</w:t>
      </w:r>
      <w:r>
        <w:rPr>
          <w:rFonts w:ascii="仿宋_GB2312" w:hAnsi="Times New Roman"/>
        </w:rPr>
        <w:t>支出未超预算，且支出标准较为明确</w:t>
      </w:r>
      <w:r>
        <w:rPr>
          <w:rFonts w:hint="eastAsia" w:ascii="仿宋_GB2312" w:hAnsi="Times New Roman"/>
        </w:rPr>
        <w:t>。韶关市2019年度全市科技创新项目可用预算资金为9611.69万元，实际支出金额为9611.69万元，支出未</w:t>
      </w:r>
      <w:r>
        <w:rPr>
          <w:rFonts w:ascii="仿宋_GB2312" w:hAnsi="Times New Roman"/>
        </w:rPr>
        <w:t>超预算</w:t>
      </w:r>
      <w:r>
        <w:rPr>
          <w:rFonts w:hint="eastAsia" w:ascii="仿宋_GB2312" w:hAnsi="Times New Roman"/>
        </w:rPr>
        <w:t>计划</w:t>
      </w:r>
      <w:r>
        <w:rPr>
          <w:rFonts w:ascii="仿宋_GB2312" w:hAnsi="Times New Roman"/>
        </w:rPr>
        <w:t>，预算控制情况较好。</w:t>
      </w:r>
    </w:p>
    <w:bookmarkEnd w:id="56"/>
    <w:p>
      <w:pPr>
        <w:pStyle w:val="4"/>
        <w:ind w:firstLine="640"/>
        <w:rPr>
          <w:rFonts w:hAnsi="Times New Roman"/>
          <w:b w:val="0"/>
          <w:bCs w:val="0"/>
          <w:color w:val="000000" w:themeColor="text1"/>
          <w14:textFill>
            <w14:solidFill>
              <w14:schemeClr w14:val="tx1"/>
            </w14:solidFill>
          </w14:textFill>
        </w:rPr>
      </w:pPr>
      <w:r>
        <w:rPr>
          <w:rFonts w:hint="eastAsia" w:hAnsi="Times New Roman"/>
          <w:b w:val="0"/>
          <w:bCs w:val="0"/>
          <w:color w:val="000000" w:themeColor="text1"/>
          <w14:textFill>
            <w14:solidFill>
              <w14:schemeClr w14:val="tx1"/>
            </w14:solidFill>
          </w14:textFill>
        </w:rPr>
        <w:t>2.效率性</w:t>
      </w:r>
    </w:p>
    <w:p>
      <w:pPr>
        <w:pStyle w:val="5"/>
        <w:ind w:firstLine="640"/>
        <w:rPr>
          <w:rFonts w:hAnsi="Times New Roman" w:cstheme="minorBidi"/>
          <w:bCs w:val="0"/>
          <w:szCs w:val="22"/>
        </w:rPr>
      </w:pPr>
      <w:r>
        <w:rPr>
          <w:rFonts w:hint="eastAsia" w:hAnsi="Times New Roman" w:cstheme="minorBidi"/>
          <w:bCs w:val="0"/>
          <w:szCs w:val="22"/>
        </w:rPr>
        <w:t>（1）14个子项中，1</w:t>
      </w:r>
      <w:r>
        <w:rPr>
          <w:rFonts w:hAnsi="Times New Roman" w:cstheme="minorBidi"/>
          <w:bCs w:val="0"/>
          <w:szCs w:val="22"/>
        </w:rPr>
        <w:t>3</w:t>
      </w:r>
      <w:r>
        <w:rPr>
          <w:rFonts w:hint="eastAsia" w:hAnsi="Times New Roman" w:cstheme="minorBidi"/>
          <w:bCs w:val="0"/>
          <w:szCs w:val="22"/>
        </w:rPr>
        <w:t>个均完成了其子项绩效目标。</w:t>
      </w:r>
    </w:p>
    <w:p>
      <w:pPr>
        <w:ind w:firstLine="640"/>
        <w:rPr>
          <w:rFonts w:ascii="仿宋_GB2312" w:hAnsi="Times New Roman"/>
        </w:rPr>
      </w:pPr>
      <w:r>
        <w:rPr>
          <w:rFonts w:hint="eastAsia" w:ascii="仿宋_GB2312" w:hAnsi="Times New Roman"/>
        </w:rPr>
        <w:t>完成</w:t>
      </w:r>
      <w:r>
        <w:rPr>
          <w:rFonts w:ascii="仿宋_GB2312" w:hAnsi="Times New Roman"/>
        </w:rPr>
        <w:t>进度得分率</w:t>
      </w:r>
      <w:r>
        <w:rPr>
          <w:rFonts w:hint="eastAsia" w:ascii="仿宋_GB2312" w:hAnsi="Times New Roman"/>
        </w:rPr>
        <w:t>94.12</w:t>
      </w:r>
      <w:r>
        <w:rPr>
          <w:rFonts w:ascii="仿宋_GB2312" w:hAnsi="Times New Roman"/>
        </w:rPr>
        <w:t>%。</w:t>
      </w:r>
      <w:bookmarkStart w:id="57" w:name="_Hlk56703092"/>
      <w:r>
        <w:rPr>
          <w:rFonts w:hint="eastAsia" w:ascii="仿宋_GB2312" w:hAnsi="Times New Roman"/>
        </w:rPr>
        <w:t>截至2019年12月31日，除“先进智造-新材料”创新大赛项目暂未完成绩效目标（应完成时间为2020年12月20日），其余各子项基本完成其绩效目标</w:t>
      </w:r>
      <w:bookmarkEnd w:id="57"/>
      <w:r>
        <w:rPr>
          <w:rFonts w:hint="eastAsia" w:ascii="仿宋_GB2312" w:hAnsi="Times New Roman"/>
        </w:rPr>
        <w:t>：一是高新技术企业培育奖补子项共补贴高新技术认定企业83家，已完成30家的绩效目标。二是孵化器众创空间子项新增孵化器（众创空间）4家，已完成了2家的绩效目标。三是高新技术企业培育奖补、重大科技专项、企业科技特派员方向、社会发展科技计划项目、农业农村科技方向、产学研合作专项、</w:t>
      </w:r>
      <w:bookmarkStart w:id="58" w:name="_Hlk44860537"/>
      <w:r>
        <w:rPr>
          <w:rFonts w:hint="eastAsia" w:ascii="仿宋_GB2312" w:hAnsi="Times New Roman"/>
        </w:rPr>
        <w:t>企业研发机构奖补</w:t>
      </w:r>
      <w:bookmarkEnd w:id="58"/>
      <w:r>
        <w:rPr>
          <w:rFonts w:hint="eastAsia" w:ascii="仿宋_GB2312" w:hAnsi="Times New Roman"/>
        </w:rPr>
        <w:t>等子项共完成了相关高新技术产品、新技术、新工艺开发、专利申请等科研成果700余项。四是企业科技特派员方向、产学研合作专项、企业研发机构奖补等子项共完成了的900余人的人才引进与培养任务。五是第八届中国创新创业大赛、“先进智造-新材料”创新大赛等实施子项在省内外知名媒体上发布了宣传报道，取得了较好的宣传效果。</w:t>
      </w:r>
    </w:p>
    <w:p>
      <w:pPr>
        <w:pStyle w:val="5"/>
        <w:ind w:firstLine="640"/>
        <w:rPr>
          <w:rFonts w:hAnsi="Times New Roman" w:cstheme="minorBidi"/>
          <w:bCs w:val="0"/>
          <w:szCs w:val="22"/>
        </w:rPr>
      </w:pPr>
      <w:r>
        <w:rPr>
          <w:rFonts w:hint="eastAsia" w:hAnsi="Times New Roman" w:cstheme="minorBidi"/>
          <w:bCs w:val="0"/>
          <w:szCs w:val="22"/>
        </w:rPr>
        <w:t>（2）项目一定程度上实现了</w:t>
      </w:r>
      <w:bookmarkStart w:id="59" w:name="_Hlk44859658"/>
      <w:r>
        <w:rPr>
          <w:rFonts w:hint="eastAsia" w:hAnsi="Times New Roman" w:cstheme="minorBidi"/>
          <w:bCs w:val="0"/>
          <w:szCs w:val="22"/>
        </w:rPr>
        <w:t>R&amp;D投入占GDP 比重</w:t>
      </w:r>
      <w:bookmarkEnd w:id="59"/>
      <w:r>
        <w:rPr>
          <w:rFonts w:hint="eastAsia" w:hAnsi="Times New Roman" w:cstheme="minorBidi"/>
          <w:bCs w:val="0"/>
          <w:szCs w:val="22"/>
        </w:rPr>
        <w:t>和高新技术产业收入的增长。</w:t>
      </w:r>
    </w:p>
    <w:p>
      <w:pPr>
        <w:ind w:firstLine="640"/>
        <w:rPr>
          <w:rFonts w:ascii="仿宋_GB2312" w:hAnsi="Times New Roman"/>
        </w:rPr>
      </w:pPr>
      <w:bookmarkStart w:id="60" w:name="_Hlk44861438"/>
      <w:r>
        <w:rPr>
          <w:rFonts w:hint="eastAsia" w:ascii="仿宋_GB2312" w:hAnsi="Times New Roman"/>
        </w:rPr>
        <w:t>完成</w:t>
      </w:r>
      <w:r>
        <w:rPr>
          <w:rFonts w:ascii="仿宋_GB2312" w:hAnsi="Times New Roman"/>
        </w:rPr>
        <w:t>质量得分率100%。</w:t>
      </w:r>
      <w:r>
        <w:rPr>
          <w:rFonts w:hint="eastAsia" w:ascii="仿宋_GB2312" w:hAnsi="Times New Roman"/>
        </w:rPr>
        <w:t>一是高新</w:t>
      </w:r>
      <w:r>
        <w:rPr>
          <w:rFonts w:ascii="仿宋_GB2312" w:hAnsi="Times New Roman"/>
        </w:rPr>
        <w:t>技术产业收入增长情况较好。</w:t>
      </w:r>
      <w:r>
        <w:rPr>
          <w:rFonts w:hint="eastAsia" w:ascii="仿宋_GB2312" w:hAnsi="Times New Roman"/>
        </w:rPr>
        <w:t>截至2019年底，韶关市共有高新技术企业236家，申请专利4818件，根据广东省科技统计数据和《韶关市2019年通过高新技术企业认定的企业产值和纳税情况表》，韶关市高新技术企业工业总产值从2018年的270.72亿元增加到了2019年的412.49亿元，较上年增长52.37%。</w:t>
      </w:r>
    </w:p>
    <w:p>
      <w:pPr>
        <w:ind w:firstLine="640"/>
        <w:rPr>
          <w:rFonts w:ascii="仿宋_GB2312" w:hAnsi="Times New Roman"/>
        </w:rPr>
      </w:pPr>
      <w:r>
        <w:rPr>
          <w:rFonts w:hint="eastAsia" w:ascii="仿宋_GB2312" w:hAnsi="Times New Roman"/>
        </w:rPr>
        <w:t>二是R&amp;D经费支出占GDP的比重完成1.3</w:t>
      </w:r>
      <w:r>
        <w:rPr>
          <w:rFonts w:ascii="仿宋_GB2312" w:hAnsi="Times New Roman"/>
        </w:rPr>
        <w:t>%的</w:t>
      </w:r>
      <w:r>
        <w:rPr>
          <w:rFonts w:hint="eastAsia" w:ascii="仿宋_GB2312" w:hAnsi="Times New Roman"/>
        </w:rPr>
        <w:t>绩效</w:t>
      </w:r>
      <w:r>
        <w:rPr>
          <w:rFonts w:ascii="仿宋_GB2312" w:hAnsi="Times New Roman"/>
        </w:rPr>
        <w:t>目标。</w:t>
      </w:r>
      <w:r>
        <w:rPr>
          <w:rFonts w:hint="eastAsia" w:ascii="仿宋_GB2312" w:hAnsi="Times New Roman"/>
        </w:rPr>
        <w:t>R&amp;D经费支出占GDP的比重</w:t>
      </w:r>
      <w:bookmarkEnd w:id="60"/>
      <w:r>
        <w:rPr>
          <w:rFonts w:hint="eastAsia" w:ascii="仿宋_GB2312" w:hAnsi="Times New Roman"/>
        </w:rPr>
        <w:t>是指统计年度内全社会实际用于基础研究、应用研究和试验发展的经费支出占国内生产总值的比重，是衡量科技投入水平最为重要的指标。通过实施企业研发市级财政补助资金、企业研发机构奖补等子项，R&amp;D 经费投入占GDP 比重实际为</w:t>
      </w:r>
      <w:r>
        <w:rPr>
          <w:rFonts w:ascii="仿宋_GB2312" w:hAnsi="Times New Roman"/>
        </w:rPr>
        <w:t>1.32%</w:t>
      </w:r>
      <w:r>
        <w:rPr>
          <w:rFonts w:hint="eastAsia" w:ascii="仿宋_GB2312" w:hAnsi="Times New Roman"/>
        </w:rPr>
        <w:t>，已完成1.3%的绩效目标。韶关市近5年R&amp;D经费支出占GDP的比重情况如图4所示。</w:t>
      </w:r>
    </w:p>
    <w:p>
      <w:pPr>
        <w:ind w:firstLine="140" w:firstLineChars="44"/>
        <w:jc w:val="center"/>
      </w:pPr>
      <w:r>
        <w:t xml:space="preserve"> </w:t>
      </w:r>
      <w:r>
        <w:drawing>
          <wp:inline distT="0" distB="0" distL="0" distR="0">
            <wp:extent cx="5313045" cy="2444115"/>
            <wp:effectExtent l="0" t="0" r="1905" b="133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图4 </w:t>
      </w:r>
      <w:bookmarkStart w:id="61" w:name="_Hlk44865320"/>
      <w:r>
        <w:rPr>
          <w:rFonts w:hint="eastAsia" w:ascii="宋体" w:hAnsi="宋体" w:eastAsia="宋体" w:cs="宋体"/>
          <w:b/>
          <w:color w:val="000000" w:themeColor="text1"/>
          <w:sz w:val="28"/>
          <w:szCs w:val="28"/>
          <w14:textFill>
            <w14:solidFill>
              <w14:schemeClr w14:val="tx1"/>
            </w14:solidFill>
          </w14:textFill>
        </w:rPr>
        <w:t>韶关市近5年R&amp;D经费支出占GDP的比重情况</w:t>
      </w:r>
      <w:bookmarkEnd w:id="61"/>
      <w:r>
        <w:rPr>
          <w:rFonts w:hint="eastAsia" w:ascii="宋体" w:hAnsi="宋体" w:eastAsia="宋体" w:cs="宋体"/>
          <w:b/>
          <w:color w:val="000000" w:themeColor="text1"/>
          <w:sz w:val="28"/>
          <w:szCs w:val="28"/>
          <w14:textFill>
            <w14:solidFill>
              <w14:schemeClr w14:val="tx1"/>
            </w14:solidFill>
          </w14:textFill>
        </w:rPr>
        <w:t>（%）</w:t>
      </w:r>
    </w:p>
    <w:p>
      <w:pPr>
        <w:pStyle w:val="3"/>
        <w:ind w:firstLine="640"/>
        <w:rPr>
          <w:rFonts w:hint="eastAsia" w:eastAsia="楷体_GB2312"/>
          <w:b w:val="0"/>
          <w:bCs w:val="0"/>
          <w:lang w:eastAsia="zh-CN"/>
        </w:rPr>
      </w:pPr>
      <w:bookmarkStart w:id="62" w:name="_Toc53500212"/>
      <w:r>
        <w:rPr>
          <w:rFonts w:hint="eastAsia"/>
          <w:b w:val="0"/>
          <w:bCs w:val="0"/>
        </w:rPr>
        <w:t>（四）项目效益</w:t>
      </w:r>
      <w:bookmarkEnd w:id="62"/>
      <w:r>
        <w:rPr>
          <w:rFonts w:hint="eastAsia"/>
          <w:b w:val="0"/>
          <w:bCs w:val="0"/>
          <w:lang w:eastAsia="zh-CN"/>
        </w:rPr>
        <w:t>。</w:t>
      </w:r>
    </w:p>
    <w:p>
      <w:pPr>
        <w:ind w:firstLine="640"/>
        <w:rPr>
          <w:rFonts w:ascii="仿宋_GB2312"/>
        </w:rPr>
      </w:pPr>
      <w:r>
        <w:rPr>
          <w:rFonts w:hint="eastAsia" w:ascii="仿宋_GB2312"/>
        </w:rPr>
        <w:t>项目效益的</w:t>
      </w:r>
      <w:r>
        <w:rPr>
          <w:rFonts w:ascii="仿宋_GB2312"/>
        </w:rPr>
        <w:t>5</w:t>
      </w:r>
      <w:r>
        <w:rPr>
          <w:rFonts w:hint="eastAsia" w:ascii="仿宋_GB2312"/>
        </w:rPr>
        <w:t>项三级指标得分率如下（图</w:t>
      </w:r>
      <w:r>
        <w:rPr>
          <w:rFonts w:ascii="仿宋_GB2312"/>
        </w:rPr>
        <w:t>5</w:t>
      </w:r>
      <w:r>
        <w:rPr>
          <w:rFonts w:hint="eastAsia" w:ascii="仿宋_GB2312"/>
        </w:rPr>
        <w:t>）：</w:t>
      </w:r>
    </w:p>
    <w:p>
      <w:pPr>
        <w:ind w:firstLine="0" w:firstLineChars="0"/>
        <w:jc w:val="center"/>
        <w:rPr>
          <w:rFonts w:ascii="仿宋_GB2312"/>
        </w:rPr>
      </w:pPr>
      <w:r>
        <w:drawing>
          <wp:inline distT="0" distB="0" distL="0" distR="0">
            <wp:extent cx="5709285" cy="3317240"/>
            <wp:effectExtent l="0" t="0" r="5715" b="1651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图5 项目效益的5项三级指标各指标得分率</w:t>
      </w:r>
    </w:p>
    <w:p>
      <w:pPr>
        <w:pStyle w:val="4"/>
        <w:ind w:firstLine="640"/>
        <w:rPr>
          <w:rFonts w:hAnsi="Times New Roman"/>
          <w:b w:val="0"/>
          <w:bCs w:val="0"/>
          <w:szCs w:val="22"/>
        </w:rPr>
      </w:pPr>
      <w:r>
        <w:rPr>
          <w:rFonts w:hint="eastAsia" w:hAnsi="Times New Roman"/>
          <w:b w:val="0"/>
          <w:bCs w:val="0"/>
          <w:szCs w:val="22"/>
        </w:rPr>
        <w:t>1.效果性</w:t>
      </w:r>
    </w:p>
    <w:p>
      <w:pPr>
        <w:pStyle w:val="5"/>
        <w:ind w:firstLine="640"/>
        <w:rPr>
          <w:rFonts w:hAnsi="Times New Roman" w:cstheme="minorBidi"/>
          <w:bCs w:val="0"/>
          <w:szCs w:val="22"/>
        </w:rPr>
      </w:pPr>
      <w:r>
        <w:rPr>
          <w:rFonts w:hint="eastAsia" w:hAnsi="Times New Roman" w:cstheme="minorBidi"/>
          <w:bCs w:val="0"/>
          <w:szCs w:val="22"/>
        </w:rPr>
        <w:t>（1）在一定程度上拉动了韶关市经济增长，并贡献了一定的税收收入。</w:t>
      </w:r>
    </w:p>
    <w:p>
      <w:pPr>
        <w:ind w:firstLine="640"/>
        <w:rPr>
          <w:rFonts w:ascii="仿宋_GB2312" w:hAnsi="Times New Roman"/>
        </w:rPr>
      </w:pPr>
      <w:r>
        <w:rPr>
          <w:rFonts w:hint="eastAsia" w:ascii="仿宋_GB2312" w:hAnsi="Times New Roman"/>
        </w:rPr>
        <w:t>经济</w:t>
      </w:r>
      <w:r>
        <w:rPr>
          <w:rFonts w:ascii="仿宋_GB2312" w:hAnsi="Times New Roman"/>
        </w:rPr>
        <w:t>效益得分率</w:t>
      </w:r>
      <w:r>
        <w:rPr>
          <w:rFonts w:hint="eastAsia" w:ascii="仿宋_GB2312" w:hAnsi="Times New Roman"/>
        </w:rPr>
        <w:t>100</w:t>
      </w:r>
      <w:r>
        <w:rPr>
          <w:rFonts w:ascii="仿宋_GB2312" w:hAnsi="Times New Roman"/>
        </w:rPr>
        <w:t>%。</w:t>
      </w:r>
      <w:r>
        <w:rPr>
          <w:rFonts w:hint="eastAsia" w:ascii="仿宋_GB2312" w:hAnsi="Times New Roman"/>
        </w:rPr>
        <w:t>根据广东省科技统计数据和《韶关市2019年通过高新技术企业认定的企业产值和纳税情况表》，2019年</w:t>
      </w:r>
      <w:bookmarkStart w:id="63" w:name="_Hlk49794718"/>
      <w:r>
        <w:rPr>
          <w:rFonts w:hint="eastAsia" w:ascii="仿宋_GB2312" w:hAnsi="Times New Roman"/>
        </w:rPr>
        <w:t>高新技术企业营业收入为442.85亿元，较之2018年的322.81亿元增长37.19%，</w:t>
      </w:r>
      <w:bookmarkStart w:id="64" w:name="_Hlk51689153"/>
      <w:r>
        <w:rPr>
          <w:rFonts w:hint="eastAsia" w:ascii="仿宋_GB2312" w:hAnsi="Times New Roman"/>
        </w:rPr>
        <w:t>一定程度上拉动了韶关市经济增长</w:t>
      </w:r>
      <w:bookmarkEnd w:id="64"/>
      <w:r>
        <w:rPr>
          <w:rFonts w:hint="eastAsia" w:ascii="仿宋_GB2312" w:hAnsi="Times New Roman"/>
        </w:rPr>
        <w:t>。韶关市2019年高新技术企业上缴税费共17.68亿元。</w:t>
      </w:r>
      <w:bookmarkEnd w:id="63"/>
    </w:p>
    <w:p>
      <w:pPr>
        <w:pStyle w:val="5"/>
        <w:ind w:firstLine="640"/>
        <w:rPr>
          <w:rFonts w:hAnsi="Times New Roman" w:cstheme="minorBidi"/>
          <w:bCs w:val="0"/>
          <w:szCs w:val="22"/>
        </w:rPr>
      </w:pPr>
      <w:r>
        <w:rPr>
          <w:rFonts w:hint="eastAsia" w:hAnsi="Times New Roman" w:cstheme="minorBidi"/>
          <w:bCs w:val="0"/>
          <w:szCs w:val="22"/>
        </w:rPr>
        <w:t>（2）项目一定程度上促进了</w:t>
      </w:r>
      <w:bookmarkStart w:id="65" w:name="_Hlk44863365"/>
      <w:r>
        <w:rPr>
          <w:rFonts w:hint="eastAsia" w:hAnsi="Times New Roman" w:cstheme="minorBidi"/>
          <w:bCs w:val="0"/>
          <w:szCs w:val="22"/>
        </w:rPr>
        <w:t>科技服务体系的完善和科技创新能力</w:t>
      </w:r>
      <w:bookmarkEnd w:id="65"/>
      <w:r>
        <w:rPr>
          <w:rFonts w:hint="eastAsia" w:hAnsi="Times New Roman" w:cstheme="minorBidi"/>
          <w:bCs w:val="0"/>
          <w:szCs w:val="22"/>
        </w:rPr>
        <w:t>的提高。</w:t>
      </w:r>
    </w:p>
    <w:p>
      <w:pPr>
        <w:ind w:firstLine="640"/>
        <w:rPr>
          <w:rFonts w:ascii="仿宋_GB2312" w:hAnsi="Times New Roman"/>
        </w:rPr>
      </w:pPr>
      <w:r>
        <w:rPr>
          <w:rFonts w:hint="eastAsia" w:ascii="仿宋_GB2312" w:hAnsi="Times New Roman"/>
        </w:rPr>
        <w:t>社会</w:t>
      </w:r>
      <w:r>
        <w:rPr>
          <w:rFonts w:ascii="仿宋_GB2312" w:hAnsi="Times New Roman"/>
        </w:rPr>
        <w:t>效益得分率</w:t>
      </w:r>
      <w:r>
        <w:rPr>
          <w:rFonts w:hint="eastAsia" w:ascii="仿宋_GB2312" w:hAnsi="Times New Roman"/>
        </w:rPr>
        <w:t>80</w:t>
      </w:r>
      <w:r>
        <w:rPr>
          <w:rFonts w:ascii="仿宋_GB2312" w:hAnsi="Times New Roman"/>
        </w:rPr>
        <w:t>%。</w:t>
      </w:r>
      <w:r>
        <w:rPr>
          <w:rFonts w:hint="eastAsia" w:ascii="仿宋_GB2312" w:hAnsi="Times New Roman"/>
        </w:rPr>
        <w:t>从总体看，项目一定程度上促进了科技服务体系的完善和科技创新能力的提升，但部分指标较之2018年有所下降。根据广东省科技统计数据、《韶关市2019年通过高新技术企业认定的企业产值和纳税情况表》和《2019年韶关市各县（市、区）创新驱动发展检测评估报告》，</w:t>
      </w:r>
      <w:bookmarkStart w:id="66" w:name="_Hlk51688574"/>
      <w:r>
        <w:rPr>
          <w:rFonts w:hint="eastAsia" w:ascii="仿宋_GB2312" w:hAnsi="Times New Roman"/>
        </w:rPr>
        <w:t>韶关市2019年高新技术企业共236家</w:t>
      </w:r>
      <w:bookmarkEnd w:id="66"/>
      <w:r>
        <w:rPr>
          <w:rFonts w:hint="eastAsia" w:ascii="仿宋_GB2312" w:hAnsi="Times New Roman"/>
        </w:rPr>
        <w:t>，2019年认定高新技术企业106家，相较2018年增幅为29.27%；孵化器17家，相较2018年增幅为142.86%；入选引进紧缺适用人才61人，入选引进产业科技人才648人；R&amp;D占GDP的比重为从上年的1.17%增加到1.</w:t>
      </w:r>
      <w:r>
        <w:rPr>
          <w:rFonts w:ascii="仿宋_GB2312" w:hAnsi="Times New Roman"/>
        </w:rPr>
        <w:t>32</w:t>
      </w:r>
      <w:r>
        <w:rPr>
          <w:rFonts w:hint="eastAsia" w:ascii="仿宋_GB2312" w:hAnsi="Times New Roman"/>
        </w:rPr>
        <w:t>%。</w:t>
      </w:r>
    </w:p>
    <w:p>
      <w:pPr>
        <w:ind w:firstLine="640"/>
        <w:rPr>
          <w:rFonts w:ascii="仿宋_GB2312" w:hAnsi="Times New Roman"/>
        </w:rPr>
      </w:pPr>
      <w:r>
        <w:rPr>
          <w:rFonts w:hint="eastAsia" w:ascii="仿宋_GB2312" w:hAnsi="Times New Roman"/>
        </w:rPr>
        <w:t>但2019年专利申请量指标较2018年有所下降，2019年韶关市专利申请量为4818件，较2018年下降34.36</w:t>
      </w:r>
      <w:r>
        <w:rPr>
          <w:rFonts w:ascii="仿宋_GB2312" w:hAnsi="Times New Roman"/>
        </w:rPr>
        <w:t>%</w:t>
      </w:r>
      <w:r>
        <w:rPr>
          <w:rFonts w:hint="eastAsia" w:ascii="仿宋_GB2312" w:hAnsi="Times New Roman"/>
        </w:rPr>
        <w:t>，专利研发能力有待加强</w:t>
      </w:r>
      <w:r>
        <w:rPr>
          <w:rFonts w:ascii="仿宋_GB2312" w:hAnsi="Times New Roman"/>
        </w:rPr>
        <w:t>。</w:t>
      </w:r>
    </w:p>
    <w:p>
      <w:pPr>
        <w:spacing w:line="240" w:lineRule="auto"/>
        <w:ind w:firstLine="0" w:firstLine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表5 科技服务体系和科技创新能力部分指标变化情况</w:t>
      </w:r>
    </w:p>
    <w:tbl>
      <w:tblPr>
        <w:tblStyle w:val="33"/>
        <w:tblW w:w="45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1163"/>
        <w:gridCol w:w="116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pct"/>
            <w:shd w:val="clear" w:color="auto" w:fill="D6DCE4" w:themeFill="text2" w:themeFillTint="33"/>
            <w:vAlign w:val="center"/>
          </w:tcPr>
          <w:p>
            <w:pPr>
              <w:spacing w:line="380" w:lineRule="exact"/>
              <w:ind w:firstLine="0" w:firstLineChars="0"/>
              <w:jc w:val="center"/>
              <w:rPr>
                <w:rFonts w:ascii="宋体" w:hAnsi="宋体" w:eastAsia="宋体" w:cs="宋体"/>
                <w:b/>
                <w:sz w:val="21"/>
                <w:szCs w:val="21"/>
              </w:rPr>
            </w:pPr>
            <w:r>
              <w:rPr>
                <w:rFonts w:hint="eastAsia" w:ascii="宋体" w:hAnsi="宋体" w:eastAsia="宋体" w:cs="宋体"/>
                <w:b/>
                <w:sz w:val="21"/>
                <w:szCs w:val="21"/>
              </w:rPr>
              <w:t>科技服务体系和科技创新能力部分指标</w:t>
            </w:r>
          </w:p>
        </w:tc>
        <w:tc>
          <w:tcPr>
            <w:tcW w:w="690" w:type="pct"/>
            <w:shd w:val="clear" w:color="auto" w:fill="D6DCE4" w:themeFill="text2" w:themeFillTint="33"/>
            <w:vAlign w:val="center"/>
          </w:tcPr>
          <w:p>
            <w:pPr>
              <w:spacing w:line="380" w:lineRule="exact"/>
              <w:ind w:firstLine="0" w:firstLineChars="0"/>
              <w:jc w:val="center"/>
              <w:rPr>
                <w:rFonts w:ascii="宋体" w:hAnsi="宋体" w:eastAsia="宋体" w:cs="宋体"/>
                <w:b/>
                <w:sz w:val="21"/>
                <w:szCs w:val="21"/>
              </w:rPr>
            </w:pPr>
            <w:r>
              <w:rPr>
                <w:rFonts w:hint="eastAsia" w:ascii="宋体" w:hAnsi="宋体" w:eastAsia="宋体" w:cs="宋体"/>
                <w:b/>
                <w:sz w:val="21"/>
                <w:szCs w:val="21"/>
              </w:rPr>
              <w:t>2018年</w:t>
            </w:r>
          </w:p>
        </w:tc>
        <w:tc>
          <w:tcPr>
            <w:tcW w:w="689" w:type="pct"/>
            <w:shd w:val="clear" w:color="auto" w:fill="D6DCE4" w:themeFill="text2" w:themeFillTint="33"/>
            <w:vAlign w:val="center"/>
          </w:tcPr>
          <w:p>
            <w:pPr>
              <w:spacing w:line="380" w:lineRule="exact"/>
              <w:ind w:firstLine="0" w:firstLineChars="0"/>
              <w:jc w:val="center"/>
              <w:rPr>
                <w:rFonts w:ascii="宋体" w:hAnsi="宋体" w:eastAsia="宋体" w:cs="宋体"/>
                <w:b/>
                <w:sz w:val="21"/>
                <w:szCs w:val="21"/>
              </w:rPr>
            </w:pPr>
            <w:r>
              <w:rPr>
                <w:rFonts w:hint="eastAsia" w:ascii="宋体" w:hAnsi="宋体" w:eastAsia="宋体" w:cs="宋体"/>
                <w:b/>
                <w:sz w:val="21"/>
                <w:szCs w:val="21"/>
              </w:rPr>
              <w:t>2019年</w:t>
            </w:r>
          </w:p>
        </w:tc>
        <w:tc>
          <w:tcPr>
            <w:tcW w:w="949" w:type="pct"/>
            <w:shd w:val="clear" w:color="auto" w:fill="D6DCE4" w:themeFill="text2" w:themeFillTint="33"/>
            <w:vAlign w:val="center"/>
          </w:tcPr>
          <w:p>
            <w:pPr>
              <w:spacing w:line="380" w:lineRule="exact"/>
              <w:ind w:firstLine="0" w:firstLineChars="0"/>
              <w:jc w:val="center"/>
              <w:rPr>
                <w:rFonts w:ascii="宋体" w:hAnsi="宋体" w:eastAsia="宋体" w:cs="宋体"/>
                <w:b/>
                <w:sz w:val="21"/>
                <w:szCs w:val="21"/>
              </w:rPr>
            </w:pPr>
            <w:r>
              <w:rPr>
                <w:rFonts w:hint="eastAsia" w:ascii="宋体" w:hAnsi="宋体" w:eastAsia="宋体" w:cs="宋体"/>
                <w:b/>
                <w:sz w:val="21"/>
                <w:szCs w:val="21"/>
              </w:rPr>
              <w:t>较上年增长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当年认定高新技术企业（家）</w:t>
            </w:r>
          </w:p>
        </w:tc>
        <w:tc>
          <w:tcPr>
            <w:tcW w:w="690"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82</w:t>
            </w:r>
          </w:p>
        </w:tc>
        <w:tc>
          <w:tcPr>
            <w:tcW w:w="68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106</w:t>
            </w:r>
          </w:p>
        </w:tc>
        <w:tc>
          <w:tcPr>
            <w:tcW w:w="94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29.27%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孵化器（家）</w:t>
            </w:r>
          </w:p>
        </w:tc>
        <w:tc>
          <w:tcPr>
            <w:tcW w:w="690"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7</w:t>
            </w:r>
          </w:p>
        </w:tc>
        <w:tc>
          <w:tcPr>
            <w:tcW w:w="68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17</w:t>
            </w:r>
          </w:p>
        </w:tc>
        <w:tc>
          <w:tcPr>
            <w:tcW w:w="94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142.86%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72"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专利申请量（件）</w:t>
            </w:r>
          </w:p>
        </w:tc>
        <w:tc>
          <w:tcPr>
            <w:tcW w:w="690"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7340</w:t>
            </w:r>
          </w:p>
        </w:tc>
        <w:tc>
          <w:tcPr>
            <w:tcW w:w="68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4818</w:t>
            </w:r>
          </w:p>
        </w:tc>
        <w:tc>
          <w:tcPr>
            <w:tcW w:w="94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-34.36%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R&amp;D占GDP的比重（%）</w:t>
            </w:r>
          </w:p>
        </w:tc>
        <w:tc>
          <w:tcPr>
            <w:tcW w:w="690"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1.17</w:t>
            </w:r>
          </w:p>
        </w:tc>
        <w:tc>
          <w:tcPr>
            <w:tcW w:w="689" w:type="pct"/>
            <w:vAlign w:val="center"/>
          </w:tcPr>
          <w:p>
            <w:pPr>
              <w:spacing w:line="380" w:lineRule="exact"/>
              <w:ind w:firstLine="0" w:firstLineChars="0"/>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32</w:t>
            </w:r>
          </w:p>
        </w:tc>
        <w:tc>
          <w:tcPr>
            <w:tcW w:w="949" w:type="pct"/>
            <w:vAlign w:val="center"/>
          </w:tcPr>
          <w:p>
            <w:pPr>
              <w:spacing w:line="380" w:lineRule="exact"/>
              <w:ind w:firstLine="0" w:firstLineChars="0"/>
              <w:jc w:val="center"/>
              <w:rPr>
                <w:rFonts w:ascii="宋体" w:hAnsi="宋体" w:eastAsia="宋体" w:cs="宋体"/>
                <w:sz w:val="21"/>
                <w:szCs w:val="21"/>
              </w:rPr>
            </w:pPr>
            <w:r>
              <w:rPr>
                <w:rFonts w:ascii="宋体" w:hAnsi="宋体" w:eastAsia="宋体" w:cs="宋体"/>
                <w:sz w:val="21"/>
                <w:szCs w:val="21"/>
              </w:rPr>
              <w:t>12.82</w:t>
            </w:r>
            <w:r>
              <w:rPr>
                <w:rFonts w:hint="eastAsia" w:ascii="宋体" w:hAnsi="宋体" w:eastAsia="宋体" w:cs="宋体"/>
                <w:sz w:val="21"/>
                <w:szCs w:val="21"/>
              </w:rPr>
              <w:t>%</w:t>
            </w:r>
          </w:p>
        </w:tc>
      </w:tr>
    </w:tbl>
    <w:p>
      <w:pPr>
        <w:pStyle w:val="5"/>
        <w:spacing w:before="217" w:beforeLines="50"/>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（3）项目一定</w:t>
      </w:r>
      <w:r>
        <w:rPr>
          <w:rFonts w:hAnsi="Times New Roman"/>
          <w:color w:val="000000" w:themeColor="text1"/>
          <w14:textFill>
            <w14:solidFill>
              <w14:schemeClr w14:val="tx1"/>
            </w14:solidFill>
          </w14:textFill>
        </w:rPr>
        <w:t>程度上营造了科技创新</w:t>
      </w:r>
      <w:r>
        <w:rPr>
          <w:rFonts w:hint="eastAsia" w:hAnsi="Times New Roman"/>
          <w:color w:val="000000" w:themeColor="text1"/>
          <w14:textFill>
            <w14:solidFill>
              <w14:schemeClr w14:val="tx1"/>
            </w14:solidFill>
          </w14:textFill>
        </w:rPr>
        <w:t>氛围</w:t>
      </w:r>
      <w:r>
        <w:rPr>
          <w:rFonts w:hAnsi="Times New Roman"/>
          <w:color w:val="000000" w:themeColor="text1"/>
          <w14:textFill>
            <w14:solidFill>
              <w14:schemeClr w14:val="tx1"/>
            </w14:solidFill>
          </w14:textFill>
        </w:rPr>
        <w:t>。</w:t>
      </w:r>
    </w:p>
    <w:p>
      <w:pPr>
        <w:ind w:firstLine="640"/>
        <w:rPr>
          <w:rFonts w:ascii="仿宋_GB2312" w:hAnsi="Times New Roman"/>
        </w:rPr>
      </w:pPr>
      <w:r>
        <w:rPr>
          <w:rFonts w:hint="eastAsia" w:ascii="仿宋_GB2312" w:hAnsi="Times New Roman"/>
        </w:rPr>
        <w:t>生态</w:t>
      </w:r>
      <w:r>
        <w:rPr>
          <w:rFonts w:ascii="仿宋_GB2312" w:hAnsi="Times New Roman"/>
        </w:rPr>
        <w:t>效益得分率</w:t>
      </w:r>
      <w:r>
        <w:rPr>
          <w:rFonts w:hint="eastAsia" w:ascii="仿宋_GB2312" w:hAnsi="Times New Roman"/>
        </w:rPr>
        <w:t>80</w:t>
      </w:r>
      <w:r>
        <w:rPr>
          <w:rFonts w:ascii="仿宋_GB2312" w:hAnsi="Times New Roman"/>
        </w:rPr>
        <w:t>%。</w:t>
      </w:r>
      <w:r>
        <w:rPr>
          <w:rFonts w:hint="eastAsia" w:ascii="仿宋_GB2312" w:hAnsi="Times New Roman"/>
        </w:rPr>
        <w:t>从总体上看，韶关市2019年度全市科技创新项目通过财政资金支持符合申报要求的科技创新企业或项目，结合赛事举办和媒体宣传等方式，营造了科技创新氛围，一定程度上提升了韶关科技创新的知名度。但从结构上看，部分子项营造科技创新氛围的能力稍显不足，如企业研发市级财政资金子项由于补贴金额差距过大，不利于充分调动企业的投入研发积极性。</w:t>
      </w:r>
    </w:p>
    <w:p>
      <w:pPr>
        <w:pStyle w:val="5"/>
        <w:spacing w:before="217" w:beforeLines="50"/>
        <w:ind w:firstLine="640"/>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w:t>
      </w:r>
      <w:r>
        <w:rPr>
          <w:rFonts w:hAnsi="Times New Roman"/>
          <w:color w:val="000000" w:themeColor="text1"/>
          <w14:textFill>
            <w14:solidFill>
              <w14:schemeClr w14:val="tx1"/>
            </w14:solidFill>
          </w14:textFill>
        </w:rPr>
        <w:t>4</w:t>
      </w:r>
      <w:r>
        <w:rPr>
          <w:rFonts w:hint="eastAsia" w:hAnsi="Times New Roman"/>
          <w:color w:val="000000" w:themeColor="text1"/>
          <w14:textFill>
            <w14:solidFill>
              <w14:schemeClr w14:val="tx1"/>
            </w14:solidFill>
          </w14:textFill>
        </w:rPr>
        <w:t>）政策具有可持续性，但需完善部分子项的实施政策和项目监管机制。</w:t>
      </w:r>
    </w:p>
    <w:p>
      <w:pPr>
        <w:ind w:firstLine="640"/>
        <w:rPr>
          <w:rFonts w:ascii="仿宋_GB2312" w:hAnsi="Times New Roman"/>
        </w:rPr>
      </w:pPr>
      <w:r>
        <w:rPr>
          <w:rFonts w:hint="eastAsia" w:ascii="仿宋_GB2312" w:hAnsi="Times New Roman"/>
        </w:rPr>
        <w:t>可持续</w:t>
      </w:r>
      <w:r>
        <w:rPr>
          <w:rFonts w:ascii="仿宋_GB2312" w:hAnsi="Times New Roman"/>
        </w:rPr>
        <w:t>发展得分率</w:t>
      </w:r>
      <w:r>
        <w:rPr>
          <w:rFonts w:hint="eastAsia" w:ascii="仿宋_GB2312" w:hAnsi="Times New Roman"/>
        </w:rPr>
        <w:t>80</w:t>
      </w:r>
      <w:r>
        <w:rPr>
          <w:rFonts w:ascii="仿宋_GB2312" w:hAnsi="Times New Roman"/>
        </w:rPr>
        <w:t>%。</w:t>
      </w:r>
      <w:r>
        <w:rPr>
          <w:rFonts w:hint="eastAsia" w:ascii="仿宋_GB2312" w:hAnsi="Times New Roman"/>
        </w:rPr>
        <w:t>创新是引领发展的第一动力，是推动高质量发展的战略支撑，在粤港澳大湾区建设全面推进的关键时刻，科技创新尤为重要，实施科技创新政策也具有重要性和紧迫性，政策具有可持续性。但项目的监管机制不够完善，且部分子项实施内容和补贴标准不够合理。具体而言，一是项目监管机制不够完善，资金使用过程的监管缺失，对项目产生的绩效未进行系统的台账记录和材料的归档，且对于重大项目也未采取多阶段资金支付的有效管理方式，县（市、区）对企业的调研和监管力度不够；另一方面，部分子项实施内容和补贴标准有待进一步论证其科学性和合理性，如社会发展科技专项融合了很多工作内容，包括科研工作者专项、社会发展项目、科技+旅游项目、科技下乡项目等，但是重点不突出；企业研发市级财政资金补助，部分企业扶持资金占比过大等。</w:t>
      </w:r>
    </w:p>
    <w:p>
      <w:pPr>
        <w:pStyle w:val="4"/>
        <w:ind w:firstLine="640"/>
        <w:rPr>
          <w:rFonts w:hAnsi="Times New Roman"/>
          <w:b w:val="0"/>
          <w:bCs w:val="0"/>
          <w:color w:val="000000" w:themeColor="text1"/>
          <w14:textFill>
            <w14:solidFill>
              <w14:schemeClr w14:val="tx1"/>
            </w14:solidFill>
          </w14:textFill>
        </w:rPr>
      </w:pPr>
      <w:r>
        <w:rPr>
          <w:rFonts w:hAnsi="Times New Roman"/>
          <w:b w:val="0"/>
          <w:bCs w:val="0"/>
          <w:color w:val="000000" w:themeColor="text1"/>
          <w14:textFill>
            <w14:solidFill>
              <w14:schemeClr w14:val="tx1"/>
            </w14:solidFill>
          </w14:textFill>
        </w:rPr>
        <w:t>2.</w:t>
      </w:r>
      <w:r>
        <w:rPr>
          <w:rFonts w:hint="eastAsia" w:hAnsi="Times New Roman"/>
          <w:b w:val="0"/>
          <w:bCs w:val="0"/>
          <w:color w:val="000000" w:themeColor="text1"/>
          <w14:textFill>
            <w14:solidFill>
              <w14:schemeClr w14:val="tx1"/>
            </w14:solidFill>
          </w14:textFill>
        </w:rPr>
        <w:t>公平性</w:t>
      </w:r>
    </w:p>
    <w:p>
      <w:pPr>
        <w:ind w:firstLine="640"/>
        <w:rPr>
          <w:rFonts w:ascii="仿宋_GB2312" w:hAnsi="Times New Roman"/>
        </w:rPr>
      </w:pPr>
      <w:r>
        <w:rPr>
          <w:rFonts w:hint="eastAsia" w:ascii="仿宋_GB2312" w:hAnsi="Times New Roman"/>
        </w:rPr>
        <w:t>满意度</w:t>
      </w:r>
      <w:r>
        <w:rPr>
          <w:rFonts w:ascii="仿宋_GB2312" w:hAnsi="Times New Roman"/>
        </w:rPr>
        <w:t>得分率</w:t>
      </w:r>
      <w:r>
        <w:rPr>
          <w:rFonts w:hint="eastAsia" w:ascii="仿宋_GB2312" w:hAnsi="Times New Roman"/>
        </w:rPr>
        <w:t>80</w:t>
      </w:r>
      <w:r>
        <w:rPr>
          <w:rFonts w:ascii="仿宋_GB2312" w:hAnsi="Times New Roman"/>
        </w:rPr>
        <w:t>%。</w:t>
      </w:r>
      <w:r>
        <w:rPr>
          <w:rFonts w:hint="eastAsia" w:ascii="仿宋_GB2312" w:hAnsi="Times New Roman"/>
        </w:rPr>
        <w:t>总体</w:t>
      </w:r>
      <w:r>
        <w:rPr>
          <w:rFonts w:ascii="仿宋_GB2312" w:hAnsi="Times New Roman"/>
        </w:rPr>
        <w:t>而言项目公平性较好</w:t>
      </w:r>
      <w:r>
        <w:rPr>
          <w:rFonts w:hint="eastAsia" w:ascii="仿宋_GB2312" w:hAnsi="Times New Roman"/>
        </w:rPr>
        <w:t>，</w:t>
      </w:r>
      <w:r>
        <w:rPr>
          <w:rFonts w:ascii="仿宋_GB2312" w:hAnsi="Times New Roman"/>
        </w:rPr>
        <w:t>但</w:t>
      </w:r>
      <w:r>
        <w:rPr>
          <w:rFonts w:hint="eastAsia" w:ascii="仿宋_GB2312" w:hAnsi="Times New Roman"/>
        </w:rPr>
        <w:t>部分</w:t>
      </w:r>
      <w:r>
        <w:rPr>
          <w:rFonts w:ascii="仿宋_GB2312" w:hAnsi="Times New Roman"/>
        </w:rPr>
        <w:t>子项</w:t>
      </w:r>
      <w:r>
        <w:rPr>
          <w:rFonts w:hint="eastAsia" w:ascii="仿宋_GB2312" w:hAnsi="Times New Roman"/>
        </w:rPr>
        <w:t>资金</w:t>
      </w:r>
      <w:r>
        <w:rPr>
          <w:rFonts w:ascii="仿宋_GB2312" w:hAnsi="Times New Roman"/>
        </w:rPr>
        <w:t>分配存在一定的不公平性</w:t>
      </w:r>
      <w:r>
        <w:rPr>
          <w:rFonts w:hint="eastAsia" w:ascii="仿宋_GB2312" w:hAnsi="Times New Roman"/>
        </w:rPr>
        <w:t>：项目</w:t>
      </w:r>
      <w:r>
        <w:rPr>
          <w:rFonts w:ascii="仿宋_GB2312" w:hAnsi="Times New Roman"/>
        </w:rPr>
        <w:t>单位</w:t>
      </w:r>
      <w:r>
        <w:rPr>
          <w:rFonts w:hint="eastAsia" w:ascii="仿宋_GB2312" w:hAnsi="Times New Roman"/>
        </w:rPr>
        <w:t>对“先进制造-新材料”科技创新大赛24个重点</w:t>
      </w:r>
      <w:r>
        <w:rPr>
          <w:rFonts w:ascii="仿宋_GB2312" w:hAnsi="Times New Roman"/>
        </w:rPr>
        <w:t>项目方开展了满意度</w:t>
      </w:r>
      <w:r>
        <w:rPr>
          <w:rFonts w:hint="eastAsia" w:ascii="仿宋_GB2312" w:hAnsi="Times New Roman"/>
        </w:rPr>
        <w:t>调查</w:t>
      </w:r>
      <w:r>
        <w:rPr>
          <w:rFonts w:ascii="仿宋_GB2312" w:hAnsi="Times New Roman"/>
        </w:rPr>
        <w:t>，</w:t>
      </w:r>
      <w:r>
        <w:rPr>
          <w:rFonts w:hint="eastAsia" w:ascii="仿宋_GB2312" w:hAnsi="Times New Roman"/>
        </w:rPr>
        <w:t>由于</w:t>
      </w:r>
      <w:r>
        <w:rPr>
          <w:rFonts w:ascii="仿宋_GB2312" w:hAnsi="Times New Roman"/>
        </w:rPr>
        <w:t>受</w:t>
      </w:r>
      <w:r>
        <w:rPr>
          <w:rFonts w:hint="eastAsia" w:ascii="仿宋_GB2312" w:hAnsi="Times New Roman"/>
        </w:rPr>
        <w:t>疫情</w:t>
      </w:r>
      <w:r>
        <w:rPr>
          <w:rFonts w:ascii="仿宋_GB2312" w:hAnsi="Times New Roman"/>
        </w:rPr>
        <w:t>影响，部分企业暂未返工，满意度</w:t>
      </w:r>
      <w:r>
        <w:rPr>
          <w:rFonts w:hint="eastAsia" w:ascii="仿宋_GB2312" w:hAnsi="Times New Roman"/>
        </w:rPr>
        <w:t>调查</w:t>
      </w:r>
      <w:r>
        <w:rPr>
          <w:rFonts w:ascii="仿宋_GB2312" w:hAnsi="Times New Roman"/>
        </w:rPr>
        <w:t>问卷</w:t>
      </w:r>
      <w:r>
        <w:rPr>
          <w:rFonts w:hint="eastAsia" w:ascii="仿宋_GB2312" w:hAnsi="Times New Roman"/>
        </w:rPr>
        <w:t>无法</w:t>
      </w:r>
      <w:r>
        <w:rPr>
          <w:rFonts w:ascii="仿宋_GB2312" w:hAnsi="Times New Roman"/>
        </w:rPr>
        <w:t>及时回收，因此</w:t>
      </w:r>
      <w:r>
        <w:rPr>
          <w:rFonts w:hint="eastAsia" w:ascii="仿宋_GB2312" w:hAnsi="Times New Roman"/>
        </w:rPr>
        <w:t>仅为79.17%，已</w:t>
      </w:r>
      <w:r>
        <w:rPr>
          <w:rFonts w:ascii="仿宋_GB2312" w:hAnsi="Times New Roman"/>
        </w:rPr>
        <w:t>回收</w:t>
      </w:r>
      <w:r>
        <w:rPr>
          <w:rFonts w:hint="eastAsia" w:ascii="仿宋_GB2312" w:hAnsi="Times New Roman"/>
        </w:rPr>
        <w:t>企业</w:t>
      </w:r>
      <w:r>
        <w:rPr>
          <w:rFonts w:ascii="仿宋_GB2312" w:hAnsi="Times New Roman"/>
        </w:rPr>
        <w:t>的满意度为</w:t>
      </w:r>
      <w:r>
        <w:rPr>
          <w:rFonts w:hint="eastAsia" w:ascii="仿宋_GB2312" w:hAnsi="Times New Roman"/>
        </w:rPr>
        <w:t>100</w:t>
      </w:r>
      <w:r>
        <w:rPr>
          <w:rFonts w:ascii="仿宋_GB2312" w:hAnsi="Times New Roman"/>
        </w:rPr>
        <w:t>%</w:t>
      </w:r>
      <w:r>
        <w:rPr>
          <w:rFonts w:hint="eastAsia" w:ascii="仿宋_GB2312" w:hAnsi="Times New Roman"/>
        </w:rPr>
        <w:t>。但企业研发市级财政资金</w:t>
      </w:r>
      <w:r>
        <w:rPr>
          <w:rFonts w:ascii="仿宋_GB2312" w:hAnsi="Times New Roman"/>
        </w:rPr>
        <w:t>子项由于</w:t>
      </w:r>
      <w:r>
        <w:rPr>
          <w:rFonts w:hint="eastAsia" w:ascii="仿宋_GB2312" w:hAnsi="Times New Roman"/>
        </w:rPr>
        <w:t>不同企业间</w:t>
      </w:r>
      <w:r>
        <w:rPr>
          <w:rFonts w:ascii="仿宋_GB2312" w:hAnsi="Times New Roman"/>
        </w:rPr>
        <w:t>补贴金额</w:t>
      </w:r>
      <w:r>
        <w:rPr>
          <w:rFonts w:hint="eastAsia" w:ascii="仿宋_GB2312" w:hAnsi="Times New Roman"/>
        </w:rPr>
        <w:t>差距</w:t>
      </w:r>
      <w:r>
        <w:rPr>
          <w:rFonts w:ascii="仿宋_GB2312" w:hAnsi="Times New Roman"/>
        </w:rPr>
        <w:t>大，</w:t>
      </w:r>
      <w:r>
        <w:rPr>
          <w:rFonts w:hint="eastAsia" w:ascii="仿宋_GB2312" w:hAnsi="Times New Roman"/>
        </w:rPr>
        <w:t>就资金分配而言，存在一定的不公平性。且</w:t>
      </w:r>
      <w:r>
        <w:rPr>
          <w:rFonts w:ascii="仿宋_GB2312" w:hAnsi="Times New Roman"/>
        </w:rPr>
        <w:t>据现场</w:t>
      </w:r>
      <w:r>
        <w:rPr>
          <w:rFonts w:hint="eastAsia" w:ascii="仿宋_GB2312" w:hAnsi="Times New Roman"/>
        </w:rPr>
        <w:t>调研单位阐述</w:t>
      </w:r>
      <w:r>
        <w:rPr>
          <w:rFonts w:ascii="仿宋_GB2312" w:hAnsi="Times New Roman"/>
        </w:rPr>
        <w:t>，部分企业</w:t>
      </w:r>
      <w:r>
        <w:rPr>
          <w:rFonts w:hint="eastAsia" w:ascii="仿宋_GB2312" w:hAnsi="Times New Roman"/>
        </w:rPr>
        <w:t>也因补贴对象间差额较大而</w:t>
      </w:r>
      <w:r>
        <w:rPr>
          <w:rFonts w:ascii="仿宋_GB2312" w:hAnsi="Times New Roman"/>
        </w:rPr>
        <w:t>对补贴标准</w:t>
      </w:r>
      <w:r>
        <w:rPr>
          <w:rFonts w:hint="eastAsia" w:ascii="仿宋_GB2312" w:hAnsi="Times New Roman"/>
        </w:rPr>
        <w:t>不理解。</w:t>
      </w:r>
    </w:p>
    <w:p>
      <w:pPr>
        <w:pStyle w:val="2"/>
        <w:ind w:firstLine="640"/>
      </w:pPr>
      <w:bookmarkStart w:id="67" w:name="_Toc21995294"/>
      <w:bookmarkStart w:id="68" w:name="_Toc19623162"/>
      <w:bookmarkStart w:id="69" w:name="_Toc21995526"/>
      <w:bookmarkStart w:id="70" w:name="_Toc53500213"/>
      <w:r>
        <w:rPr>
          <w:rFonts w:hint="eastAsia"/>
        </w:rPr>
        <w:t>三、评价结论</w:t>
      </w:r>
      <w:bookmarkEnd w:id="67"/>
      <w:bookmarkEnd w:id="68"/>
      <w:bookmarkEnd w:id="69"/>
      <w:bookmarkEnd w:id="70"/>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综上，基于现有评价材料，结合书面评价、现场调研情况，韶关市2019年度全市科技</w:t>
      </w:r>
      <w:r>
        <w:rPr>
          <w:rFonts w:ascii="仿宋_GB2312" w:hAnsi="Times New Roman"/>
          <w:color w:val="000000" w:themeColor="text1"/>
          <w:szCs w:val="32"/>
          <w14:textFill>
            <w14:solidFill>
              <w14:schemeClr w14:val="tx1"/>
            </w14:solidFill>
          </w14:textFill>
        </w:rPr>
        <w:t>创新项目绩效评价得分87</w:t>
      </w:r>
      <w:r>
        <w:rPr>
          <w:rFonts w:hint="eastAsia" w:ascii="仿宋_GB2312" w:hAnsi="Times New Roman"/>
          <w:color w:val="000000" w:themeColor="text1"/>
          <w:szCs w:val="32"/>
          <w14:textFill>
            <w14:solidFill>
              <w14:schemeClr w14:val="tx1"/>
            </w14:solidFill>
          </w14:textFill>
        </w:rPr>
        <w:t>分，绩效等级为“良”。</w:t>
      </w:r>
    </w:p>
    <w:p>
      <w:pPr>
        <w:pStyle w:val="2"/>
        <w:ind w:firstLine="640"/>
      </w:pPr>
      <w:bookmarkStart w:id="71" w:name="_Toc53500214"/>
      <w:r>
        <w:rPr>
          <w:rFonts w:hint="eastAsia"/>
        </w:rPr>
        <w:t>四、主要绩效</w:t>
      </w:r>
      <w:bookmarkEnd w:id="71"/>
    </w:p>
    <w:p>
      <w:pPr>
        <w:ind w:firstLine="640"/>
        <w:rPr>
          <w:rFonts w:ascii="仿宋_GB2312" w:hAnsi="Times New Roman"/>
          <w:color w:val="000000" w:themeColor="text1"/>
          <w:szCs w:val="32"/>
          <w14:textFill>
            <w14:solidFill>
              <w14:schemeClr w14:val="tx1"/>
            </w14:solidFill>
          </w14:textFill>
        </w:rPr>
      </w:pPr>
      <w:bookmarkStart w:id="72" w:name="_Hlk44396766"/>
      <w:r>
        <w:rPr>
          <w:rFonts w:hint="eastAsia" w:ascii="仿宋_GB2312" w:hAnsi="Times New Roman"/>
          <w:color w:val="000000" w:themeColor="text1"/>
          <w:szCs w:val="32"/>
          <w14:textFill>
            <w14:solidFill>
              <w14:schemeClr w14:val="tx1"/>
            </w14:solidFill>
          </w14:textFill>
        </w:rPr>
        <w:t>韶关市2019年度全市科技</w:t>
      </w:r>
      <w:r>
        <w:rPr>
          <w:rFonts w:ascii="仿宋_GB2312" w:hAnsi="Times New Roman"/>
          <w:color w:val="000000" w:themeColor="text1"/>
          <w:szCs w:val="32"/>
          <w14:textFill>
            <w14:solidFill>
              <w14:schemeClr w14:val="tx1"/>
            </w14:solidFill>
          </w14:textFill>
        </w:rPr>
        <w:t>创新</w:t>
      </w:r>
      <w:r>
        <w:rPr>
          <w:rFonts w:hint="eastAsia" w:ascii="仿宋_GB2312" w:hAnsi="Times New Roman"/>
          <w:color w:val="000000" w:themeColor="text1"/>
          <w:szCs w:val="32"/>
          <w14:textFill>
            <w14:solidFill>
              <w14:schemeClr w14:val="tx1"/>
            </w14:solidFill>
          </w14:textFill>
        </w:rPr>
        <w:t>项目基本完成了相关高新技术企业和创新创业载体培育</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科研</w:t>
      </w:r>
      <w:r>
        <w:rPr>
          <w:rFonts w:ascii="仿宋_GB2312" w:hAnsi="Times New Roman"/>
          <w:color w:val="000000" w:themeColor="text1"/>
          <w:szCs w:val="32"/>
          <w14:textFill>
            <w14:solidFill>
              <w14:schemeClr w14:val="tx1"/>
            </w14:solidFill>
          </w14:textFill>
        </w:rPr>
        <w:t>成果产出</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人才引进等</w:t>
      </w:r>
      <w:r>
        <w:rPr>
          <w:rFonts w:hint="eastAsia" w:ascii="仿宋_GB2312" w:hAnsi="Times New Roman"/>
          <w:color w:val="000000" w:themeColor="text1"/>
          <w:szCs w:val="32"/>
          <w14:textFill>
            <w14:solidFill>
              <w14:schemeClr w14:val="tx1"/>
            </w14:solidFill>
          </w14:textFill>
        </w:rPr>
        <w:t>绩效目标，</w:t>
      </w:r>
      <w:r>
        <w:rPr>
          <w:rFonts w:ascii="仿宋_GB2312" w:hAnsi="Times New Roman"/>
          <w:color w:val="000000" w:themeColor="text1"/>
          <w:szCs w:val="32"/>
          <w14:textFill>
            <w14:solidFill>
              <w14:schemeClr w14:val="tx1"/>
            </w14:solidFill>
          </w14:textFill>
        </w:rPr>
        <w:t>项目</w:t>
      </w:r>
      <w:r>
        <w:rPr>
          <w:rFonts w:hint="eastAsia" w:ascii="仿宋_GB2312" w:hAnsi="Times New Roman"/>
          <w:color w:val="000000" w:themeColor="text1"/>
          <w:szCs w:val="32"/>
          <w14:textFill>
            <w14:solidFill>
              <w14:schemeClr w14:val="tx1"/>
            </w14:solidFill>
          </w14:textFill>
        </w:rPr>
        <w:t>实施</w:t>
      </w:r>
      <w:r>
        <w:rPr>
          <w:rFonts w:ascii="仿宋_GB2312" w:hAnsi="Times New Roman"/>
          <w:color w:val="000000" w:themeColor="text1"/>
          <w:szCs w:val="32"/>
          <w14:textFill>
            <w14:solidFill>
              <w14:schemeClr w14:val="tx1"/>
            </w14:solidFill>
          </w14:textFill>
        </w:rPr>
        <w:t>有利于</w:t>
      </w:r>
      <w:r>
        <w:rPr>
          <w:rFonts w:hint="eastAsia" w:ascii="仿宋_GB2312" w:hAnsi="Times New Roman"/>
          <w:color w:val="000000" w:themeColor="text1"/>
          <w:szCs w:val="32"/>
          <w14:textFill>
            <w14:solidFill>
              <w14:schemeClr w14:val="tx1"/>
            </w14:solidFill>
          </w14:textFill>
        </w:rPr>
        <w:t>助推</w:t>
      </w:r>
      <w:r>
        <w:rPr>
          <w:rFonts w:ascii="仿宋_GB2312" w:hAnsi="Times New Roman"/>
          <w:color w:val="000000" w:themeColor="text1"/>
          <w:szCs w:val="32"/>
          <w14:textFill>
            <w14:solidFill>
              <w14:schemeClr w14:val="tx1"/>
            </w14:solidFill>
          </w14:textFill>
        </w:rPr>
        <w:t>韶关市经济增长</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促进科技服务体系</w:t>
      </w:r>
      <w:r>
        <w:rPr>
          <w:rFonts w:hint="eastAsia" w:ascii="仿宋_GB2312" w:hAnsi="Times New Roman"/>
          <w:color w:val="000000" w:themeColor="text1"/>
          <w:szCs w:val="32"/>
          <w14:textFill>
            <w14:solidFill>
              <w14:schemeClr w14:val="tx1"/>
            </w14:solidFill>
          </w14:textFill>
        </w:rPr>
        <w:t>的完善</w:t>
      </w:r>
      <w:r>
        <w:rPr>
          <w:rFonts w:ascii="仿宋_GB2312" w:hAnsi="Times New Roman"/>
          <w:color w:val="000000" w:themeColor="text1"/>
          <w:szCs w:val="32"/>
          <w14:textFill>
            <w14:solidFill>
              <w14:schemeClr w14:val="tx1"/>
            </w14:solidFill>
          </w14:textFill>
        </w:rPr>
        <w:t>和科技创新能力的提高</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营造科技创新的良好</w:t>
      </w:r>
      <w:r>
        <w:rPr>
          <w:rFonts w:hint="eastAsia" w:ascii="仿宋_GB2312" w:hAnsi="Times New Roman"/>
          <w:color w:val="000000" w:themeColor="text1"/>
          <w:szCs w:val="32"/>
          <w14:textFill>
            <w14:solidFill>
              <w14:schemeClr w14:val="tx1"/>
            </w14:solidFill>
          </w14:textFill>
        </w:rPr>
        <w:t>氛围。</w:t>
      </w:r>
      <w:bookmarkEnd w:id="72"/>
    </w:p>
    <w:p>
      <w:pPr>
        <w:ind w:firstLine="643"/>
        <w:rPr>
          <w:rFonts w:ascii="仿宋_GB2312" w:hAnsi="Times New Roman"/>
          <w:b/>
          <w:color w:val="000000" w:themeColor="text1"/>
          <w:szCs w:val="32"/>
          <w14:textFill>
            <w14:solidFill>
              <w14:schemeClr w14:val="tx1"/>
            </w14:solidFill>
          </w14:textFill>
        </w:rPr>
      </w:pPr>
      <w:r>
        <w:rPr>
          <w:rFonts w:hint="eastAsia" w:ascii="仿宋_GB2312" w:hAnsi="Times New Roman"/>
          <w:b/>
          <w:color w:val="000000" w:themeColor="text1"/>
          <w:szCs w:val="32"/>
          <w14:textFill>
            <w14:solidFill>
              <w14:schemeClr w14:val="tx1"/>
            </w14:solidFill>
          </w14:textFill>
        </w:rPr>
        <w:t>1</w:t>
      </w:r>
      <w:r>
        <w:rPr>
          <w:rFonts w:ascii="仿宋_GB2312" w:hAnsi="Times New Roman"/>
          <w:b/>
          <w:color w:val="000000" w:themeColor="text1"/>
          <w:szCs w:val="32"/>
          <w14:textFill>
            <w14:solidFill>
              <w14:schemeClr w14:val="tx1"/>
            </w14:solidFill>
          </w14:textFill>
        </w:rPr>
        <w:t>.增加了科技创新要素</w:t>
      </w:r>
      <w:r>
        <w:rPr>
          <w:rFonts w:hint="eastAsia" w:ascii="仿宋_GB2312" w:hAnsi="Times New Roman"/>
          <w:b/>
          <w:color w:val="000000" w:themeColor="text1"/>
          <w:szCs w:val="32"/>
          <w14:textFill>
            <w14:solidFill>
              <w14:schemeClr w14:val="tx1"/>
            </w14:solidFill>
          </w14:textFill>
        </w:rPr>
        <w:t>，促进韶关市科技创新能力的提升。</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一是各子项共认定了83家</w:t>
      </w:r>
      <w:r>
        <w:rPr>
          <w:rFonts w:ascii="仿宋_GB2312" w:hAnsi="Times New Roman"/>
          <w:color w:val="000000" w:themeColor="text1"/>
          <w:szCs w:val="32"/>
          <w14:textFill>
            <w14:solidFill>
              <w14:schemeClr w14:val="tx1"/>
            </w14:solidFill>
          </w14:textFill>
        </w:rPr>
        <w:t>高新技术</w:t>
      </w:r>
      <w:r>
        <w:rPr>
          <w:rFonts w:hint="eastAsia" w:ascii="仿宋_GB2312" w:hAnsi="Times New Roman"/>
          <w:color w:val="000000" w:themeColor="text1"/>
          <w:szCs w:val="32"/>
          <w14:textFill>
            <w14:solidFill>
              <w14:schemeClr w14:val="tx1"/>
            </w14:solidFill>
          </w14:textFill>
        </w:rPr>
        <w:t>企业，韶关市2019年高新技术企业达236家，激发了</w:t>
      </w:r>
      <w:r>
        <w:rPr>
          <w:rFonts w:ascii="仿宋_GB2312" w:hAnsi="Times New Roman"/>
          <w:color w:val="000000" w:themeColor="text1"/>
          <w:szCs w:val="32"/>
          <w14:textFill>
            <w14:solidFill>
              <w14:schemeClr w14:val="tx1"/>
            </w14:solidFill>
          </w14:textFill>
        </w:rPr>
        <w:t>企业自主创新的热情，</w:t>
      </w:r>
      <w:r>
        <w:rPr>
          <w:rFonts w:hint="eastAsia" w:ascii="仿宋_GB2312" w:hAnsi="Times New Roman"/>
          <w:color w:val="000000" w:themeColor="text1"/>
          <w:szCs w:val="32"/>
          <w14:textFill>
            <w14:solidFill>
              <w14:schemeClr w14:val="tx1"/>
            </w14:solidFill>
          </w14:textFill>
        </w:rPr>
        <w:t>促进了</w:t>
      </w:r>
      <w:r>
        <w:rPr>
          <w:rFonts w:ascii="仿宋_GB2312" w:hAnsi="Times New Roman"/>
          <w:color w:val="000000" w:themeColor="text1"/>
          <w:szCs w:val="32"/>
          <w14:textFill>
            <w14:solidFill>
              <w14:schemeClr w14:val="tx1"/>
            </w14:solidFill>
          </w14:textFill>
        </w:rPr>
        <w:t>韶关市产业结构的转型升级</w:t>
      </w:r>
      <w:r>
        <w:rPr>
          <w:rFonts w:hint="eastAsia" w:ascii="仿宋_GB2312" w:hAnsi="Times New Roman"/>
          <w:color w:val="000000" w:themeColor="text1"/>
          <w:szCs w:val="32"/>
          <w14:textFill>
            <w14:solidFill>
              <w14:schemeClr w14:val="tx1"/>
            </w14:solidFill>
          </w14:textFill>
        </w:rPr>
        <w:t>；二是各子项</w:t>
      </w:r>
      <w:r>
        <w:rPr>
          <w:rFonts w:ascii="仿宋_GB2312" w:hAnsi="Times New Roman"/>
          <w:color w:val="000000" w:themeColor="text1"/>
          <w:szCs w:val="32"/>
          <w14:textFill>
            <w14:solidFill>
              <w14:schemeClr w14:val="tx1"/>
            </w14:solidFill>
          </w14:textFill>
        </w:rPr>
        <w:t>共</w:t>
      </w:r>
      <w:r>
        <w:rPr>
          <w:rFonts w:hint="eastAsia" w:ascii="仿宋_GB2312" w:hAnsi="Times New Roman"/>
          <w:color w:val="000000" w:themeColor="text1"/>
          <w:szCs w:val="32"/>
          <w14:textFill>
            <w14:solidFill>
              <w14:schemeClr w14:val="tx1"/>
            </w14:solidFill>
          </w14:textFill>
        </w:rPr>
        <w:t>新增</w:t>
      </w:r>
      <w:r>
        <w:rPr>
          <w:rFonts w:ascii="仿宋_GB2312" w:hAnsi="Times New Roman"/>
          <w:color w:val="000000" w:themeColor="text1"/>
          <w:szCs w:val="32"/>
          <w14:textFill>
            <w14:solidFill>
              <w14:schemeClr w14:val="tx1"/>
            </w14:solidFill>
          </w14:textFill>
        </w:rPr>
        <w:t>了</w:t>
      </w:r>
      <w:r>
        <w:rPr>
          <w:rFonts w:hint="eastAsia" w:ascii="仿宋_GB2312" w:hAnsi="Times New Roman"/>
          <w:color w:val="000000" w:themeColor="text1"/>
          <w:szCs w:val="32"/>
          <w14:textFill>
            <w14:solidFill>
              <w14:schemeClr w14:val="tx1"/>
            </w14:solidFill>
          </w14:textFill>
        </w:rPr>
        <w:t>700余</w:t>
      </w:r>
      <w:r>
        <w:rPr>
          <w:rFonts w:ascii="仿宋_GB2312" w:hAnsi="Times New Roman"/>
          <w:color w:val="000000" w:themeColor="text1"/>
          <w:szCs w:val="32"/>
          <w14:textFill>
            <w14:solidFill>
              <w14:schemeClr w14:val="tx1"/>
            </w14:solidFill>
          </w14:textFill>
        </w:rPr>
        <w:t>项</w:t>
      </w:r>
      <w:r>
        <w:rPr>
          <w:rFonts w:hint="eastAsia" w:ascii="仿宋_GB2312" w:hAnsi="Times New Roman"/>
          <w:color w:val="000000" w:themeColor="text1"/>
          <w:szCs w:val="32"/>
          <w14:textFill>
            <w14:solidFill>
              <w14:schemeClr w14:val="tx1"/>
            </w14:solidFill>
          </w14:textFill>
        </w:rPr>
        <w:t>相关</w:t>
      </w:r>
      <w:r>
        <w:rPr>
          <w:rFonts w:ascii="仿宋_GB2312" w:hAnsi="Times New Roman"/>
          <w:color w:val="000000" w:themeColor="text1"/>
          <w:szCs w:val="32"/>
          <w14:textFill>
            <w14:solidFill>
              <w14:schemeClr w14:val="tx1"/>
            </w14:solidFill>
          </w14:textFill>
        </w:rPr>
        <w:t>高新技术产品</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新技术、专利申请等科研成果</w:t>
      </w:r>
      <w:r>
        <w:rPr>
          <w:rFonts w:hint="eastAsia" w:ascii="仿宋_GB2312" w:hAnsi="Times New Roman"/>
          <w:color w:val="000000" w:themeColor="text1"/>
          <w:szCs w:val="32"/>
          <w14:textFill>
            <w14:solidFill>
              <w14:schemeClr w14:val="tx1"/>
            </w14:solidFill>
          </w14:textFill>
        </w:rPr>
        <w:t>，持续</w:t>
      </w:r>
      <w:r>
        <w:rPr>
          <w:rFonts w:ascii="仿宋_GB2312" w:hAnsi="Times New Roman"/>
          <w:color w:val="000000" w:themeColor="text1"/>
          <w:szCs w:val="32"/>
          <w14:textFill>
            <w14:solidFill>
              <w14:schemeClr w14:val="tx1"/>
            </w14:solidFill>
          </w14:textFill>
        </w:rPr>
        <w:t>推进</w:t>
      </w:r>
      <w:r>
        <w:rPr>
          <w:rFonts w:hint="eastAsia" w:ascii="仿宋_GB2312" w:hAnsi="Times New Roman"/>
          <w:color w:val="000000" w:themeColor="text1"/>
          <w:szCs w:val="32"/>
          <w14:textFill>
            <w14:solidFill>
              <w14:schemeClr w14:val="tx1"/>
            </w14:solidFill>
          </w14:textFill>
        </w:rPr>
        <w:t>了</w:t>
      </w:r>
      <w:r>
        <w:rPr>
          <w:rFonts w:ascii="仿宋_GB2312" w:hAnsi="Times New Roman"/>
          <w:color w:val="000000" w:themeColor="text1"/>
          <w:szCs w:val="32"/>
          <w14:textFill>
            <w14:solidFill>
              <w14:schemeClr w14:val="tx1"/>
            </w14:solidFill>
          </w14:textFill>
        </w:rPr>
        <w:t>研究开发与技术成果转化</w:t>
      </w:r>
      <w:r>
        <w:rPr>
          <w:rFonts w:hint="eastAsia" w:ascii="仿宋_GB2312" w:hAnsi="Times New Roman"/>
          <w:color w:val="000000" w:themeColor="text1"/>
          <w:szCs w:val="32"/>
          <w14:textFill>
            <w14:solidFill>
              <w14:schemeClr w14:val="tx1"/>
            </w14:solidFill>
          </w14:textFill>
        </w:rPr>
        <w:t>，增强</w:t>
      </w:r>
      <w:r>
        <w:rPr>
          <w:rFonts w:ascii="仿宋_GB2312" w:hAnsi="Times New Roman"/>
          <w:color w:val="000000" w:themeColor="text1"/>
          <w:szCs w:val="32"/>
          <w14:textFill>
            <w14:solidFill>
              <w14:schemeClr w14:val="tx1"/>
            </w14:solidFill>
          </w14:textFill>
        </w:rPr>
        <w:t>了</w:t>
      </w:r>
      <w:r>
        <w:rPr>
          <w:rFonts w:hint="eastAsia" w:ascii="仿宋_GB2312" w:hAnsi="Times New Roman"/>
          <w:color w:val="000000" w:themeColor="text1"/>
          <w:szCs w:val="32"/>
          <w14:textFill>
            <w14:solidFill>
              <w14:schemeClr w14:val="tx1"/>
            </w14:solidFill>
          </w14:textFill>
        </w:rPr>
        <w:t>企业核心自主知识产权；</w:t>
      </w:r>
      <w:r>
        <w:rPr>
          <w:rFonts w:ascii="仿宋_GB2312" w:hAnsi="Times New Roman"/>
          <w:color w:val="000000" w:themeColor="text1"/>
          <w:szCs w:val="32"/>
          <w14:textFill>
            <w14:solidFill>
              <w14:schemeClr w14:val="tx1"/>
            </w14:solidFill>
          </w14:textFill>
        </w:rPr>
        <w:t>三是引进</w:t>
      </w:r>
      <w:r>
        <w:rPr>
          <w:rFonts w:hint="eastAsia" w:ascii="仿宋_GB2312" w:hAnsi="Times New Roman"/>
          <w:color w:val="000000" w:themeColor="text1"/>
          <w:szCs w:val="32"/>
          <w14:textFill>
            <w14:solidFill>
              <w14:schemeClr w14:val="tx1"/>
            </w14:solidFill>
          </w14:textFill>
        </w:rPr>
        <w:t>和</w:t>
      </w:r>
      <w:r>
        <w:rPr>
          <w:rFonts w:ascii="仿宋_GB2312" w:hAnsi="Times New Roman"/>
          <w:color w:val="000000" w:themeColor="text1"/>
          <w:szCs w:val="32"/>
          <w14:textFill>
            <w14:solidFill>
              <w14:schemeClr w14:val="tx1"/>
            </w14:solidFill>
          </w14:textFill>
        </w:rPr>
        <w:t>培养</w:t>
      </w:r>
      <w:r>
        <w:rPr>
          <w:rFonts w:hint="eastAsia" w:ascii="仿宋_GB2312" w:hAnsi="Times New Roman"/>
          <w:color w:val="000000" w:themeColor="text1"/>
          <w:szCs w:val="32"/>
          <w14:textFill>
            <w14:solidFill>
              <w14:schemeClr w14:val="tx1"/>
            </w14:solidFill>
          </w14:textFill>
        </w:rPr>
        <w:t>了900余科技创新人才，有利于培养和壮大科学技术队伍，提高科研和管理水平。</w:t>
      </w:r>
      <w:r>
        <w:rPr>
          <w:rFonts w:ascii="仿宋_GB2312" w:hAnsi="Times New Roman"/>
          <w:color w:val="000000" w:themeColor="text1"/>
          <w:szCs w:val="32"/>
          <w14:textFill>
            <w14:solidFill>
              <w14:schemeClr w14:val="tx1"/>
            </w14:solidFill>
          </w14:textFill>
        </w:rPr>
        <w:t>各</w:t>
      </w:r>
      <w:r>
        <w:rPr>
          <w:rFonts w:hint="eastAsia" w:ascii="仿宋_GB2312" w:hAnsi="Times New Roman"/>
          <w:color w:val="000000" w:themeColor="text1"/>
          <w:szCs w:val="32"/>
          <w14:textFill>
            <w14:solidFill>
              <w14:schemeClr w14:val="tx1"/>
            </w14:solidFill>
          </w14:textFill>
        </w:rPr>
        <w:t>项</w:t>
      </w:r>
      <w:r>
        <w:rPr>
          <w:rFonts w:ascii="仿宋_GB2312" w:hAnsi="Times New Roman"/>
          <w:color w:val="000000" w:themeColor="text1"/>
          <w:szCs w:val="32"/>
          <w14:textFill>
            <w14:solidFill>
              <w14:schemeClr w14:val="tx1"/>
            </w14:solidFill>
          </w14:textFill>
        </w:rPr>
        <w:t>科技要素的增加促进了韶关市科技创新能力的提升</w:t>
      </w:r>
      <w:r>
        <w:rPr>
          <w:rFonts w:hint="eastAsia" w:ascii="仿宋_GB2312" w:hAnsi="Times New Roman"/>
          <w:color w:val="000000" w:themeColor="text1"/>
          <w:szCs w:val="32"/>
          <w14:textFill>
            <w14:solidFill>
              <w14:schemeClr w14:val="tx1"/>
            </w14:solidFill>
          </w14:textFill>
        </w:rPr>
        <w:t>。</w:t>
      </w:r>
    </w:p>
    <w:p>
      <w:pPr>
        <w:ind w:firstLine="643"/>
        <w:rPr>
          <w:rFonts w:ascii="仿宋_GB2312" w:hAnsi="Times New Roman"/>
          <w:b/>
          <w:color w:val="000000" w:themeColor="text1"/>
          <w:szCs w:val="32"/>
          <w14:textFill>
            <w14:solidFill>
              <w14:schemeClr w14:val="tx1"/>
            </w14:solidFill>
          </w14:textFill>
        </w:rPr>
      </w:pPr>
      <w:r>
        <w:rPr>
          <w:rFonts w:hint="eastAsia" w:ascii="仿宋_GB2312" w:hAnsi="Times New Roman"/>
          <w:b/>
          <w:color w:val="000000" w:themeColor="text1"/>
          <w:szCs w:val="32"/>
          <w14:textFill>
            <w14:solidFill>
              <w14:schemeClr w14:val="tx1"/>
            </w14:solidFill>
          </w14:textFill>
        </w:rPr>
        <w:t>2</w:t>
      </w:r>
      <w:r>
        <w:rPr>
          <w:rFonts w:ascii="仿宋_GB2312" w:hAnsi="Times New Roman"/>
          <w:b/>
          <w:color w:val="000000" w:themeColor="text1"/>
          <w:szCs w:val="32"/>
          <w14:textFill>
            <w14:solidFill>
              <w14:schemeClr w14:val="tx1"/>
            </w14:solidFill>
          </w14:textFill>
        </w:rPr>
        <w:t>.促进了</w:t>
      </w:r>
      <w:r>
        <w:rPr>
          <w:rFonts w:hint="eastAsia" w:ascii="仿宋_GB2312" w:hAnsi="Times New Roman"/>
          <w:b/>
          <w:color w:val="000000" w:themeColor="text1"/>
          <w:szCs w:val="32"/>
          <w14:textFill>
            <w14:solidFill>
              <w14:schemeClr w14:val="tx1"/>
            </w14:solidFill>
          </w14:textFill>
        </w:rPr>
        <w:t>韶关</w:t>
      </w:r>
      <w:r>
        <w:rPr>
          <w:rFonts w:ascii="仿宋_GB2312" w:hAnsi="Times New Roman"/>
          <w:b/>
          <w:color w:val="000000" w:themeColor="text1"/>
          <w:szCs w:val="32"/>
          <w14:textFill>
            <w14:solidFill>
              <w14:schemeClr w14:val="tx1"/>
            </w14:solidFill>
          </w14:textFill>
        </w:rPr>
        <w:t>市科技服务</w:t>
      </w:r>
      <w:r>
        <w:rPr>
          <w:rFonts w:hint="eastAsia" w:ascii="仿宋_GB2312" w:hAnsi="Times New Roman"/>
          <w:b/>
          <w:color w:val="000000" w:themeColor="text1"/>
          <w:szCs w:val="32"/>
          <w14:textFill>
            <w14:solidFill>
              <w14:schemeClr w14:val="tx1"/>
            </w14:solidFill>
          </w14:textFill>
        </w:rPr>
        <w:t>体系</w:t>
      </w:r>
      <w:r>
        <w:rPr>
          <w:rFonts w:ascii="仿宋_GB2312" w:hAnsi="Times New Roman"/>
          <w:b/>
          <w:color w:val="000000" w:themeColor="text1"/>
          <w:szCs w:val="32"/>
          <w14:textFill>
            <w14:solidFill>
              <w14:schemeClr w14:val="tx1"/>
            </w14:solidFill>
          </w14:textFill>
        </w:rPr>
        <w:t>的完善，</w:t>
      </w:r>
      <w:r>
        <w:rPr>
          <w:rFonts w:hint="eastAsia" w:ascii="仿宋_GB2312" w:hAnsi="Times New Roman"/>
          <w:b/>
          <w:color w:val="000000" w:themeColor="text1"/>
          <w:szCs w:val="32"/>
          <w14:textFill>
            <w14:solidFill>
              <w14:schemeClr w14:val="tx1"/>
            </w14:solidFill>
          </w14:textFill>
        </w:rPr>
        <w:t>营造</w:t>
      </w:r>
      <w:r>
        <w:rPr>
          <w:rFonts w:ascii="仿宋_GB2312" w:hAnsi="Times New Roman"/>
          <w:b/>
          <w:color w:val="000000" w:themeColor="text1"/>
          <w:szCs w:val="32"/>
          <w14:textFill>
            <w14:solidFill>
              <w14:schemeClr w14:val="tx1"/>
            </w14:solidFill>
          </w14:textFill>
        </w:rPr>
        <w:t>了良好的科技创新氛围。</w:t>
      </w:r>
    </w:p>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通过</w:t>
      </w:r>
      <w:r>
        <w:rPr>
          <w:rFonts w:hint="eastAsia" w:ascii="仿宋_GB2312" w:hAnsi="Times New Roman"/>
          <w:color w:val="000000" w:themeColor="text1"/>
          <w:szCs w:val="32"/>
          <w14:textFill>
            <w14:solidFill>
              <w14:schemeClr w14:val="tx1"/>
            </w14:solidFill>
          </w14:textFill>
        </w:rPr>
        <w:t>事前</w:t>
      </w:r>
      <w:r>
        <w:rPr>
          <w:rFonts w:ascii="仿宋_GB2312" w:hAnsi="Times New Roman"/>
          <w:color w:val="000000" w:themeColor="text1"/>
          <w:szCs w:val="32"/>
          <w14:textFill>
            <w14:solidFill>
              <w14:schemeClr w14:val="tx1"/>
            </w14:solidFill>
          </w14:textFill>
        </w:rPr>
        <w:t>竞争、事后奖补等方式</w:t>
      </w:r>
      <w:r>
        <w:rPr>
          <w:rFonts w:hint="eastAsia" w:ascii="仿宋_GB2312" w:hAnsi="Times New Roman"/>
          <w:color w:val="000000" w:themeColor="text1"/>
          <w:szCs w:val="32"/>
          <w14:textFill>
            <w14:solidFill>
              <w14:schemeClr w14:val="tx1"/>
            </w14:solidFill>
          </w14:textFill>
        </w:rPr>
        <w:t>，一是支持韶关市科技创新</w:t>
      </w:r>
      <w:r>
        <w:rPr>
          <w:rFonts w:ascii="仿宋_GB2312" w:hAnsi="Times New Roman"/>
          <w:color w:val="000000" w:themeColor="text1"/>
          <w:szCs w:val="32"/>
          <w14:textFill>
            <w14:solidFill>
              <w14:schemeClr w14:val="tx1"/>
            </w14:solidFill>
          </w14:textFill>
        </w:rPr>
        <w:t>平台建设，</w:t>
      </w:r>
      <w:r>
        <w:rPr>
          <w:rFonts w:hint="eastAsia" w:ascii="仿宋_GB2312" w:hAnsi="Times New Roman"/>
          <w:color w:val="000000" w:themeColor="text1"/>
          <w:szCs w:val="32"/>
          <w14:textFill>
            <w14:solidFill>
              <w14:schemeClr w14:val="tx1"/>
            </w14:solidFill>
          </w14:textFill>
        </w:rPr>
        <w:t>新增</w:t>
      </w:r>
      <w:r>
        <w:rPr>
          <w:rFonts w:ascii="仿宋_GB2312" w:hAnsi="Times New Roman"/>
          <w:color w:val="000000" w:themeColor="text1"/>
          <w:szCs w:val="32"/>
          <w14:textFill>
            <w14:solidFill>
              <w14:schemeClr w14:val="tx1"/>
            </w14:solidFill>
          </w14:textFill>
        </w:rPr>
        <w:t>了</w:t>
      </w:r>
      <w:r>
        <w:rPr>
          <w:rFonts w:hint="eastAsia" w:ascii="仿宋_GB2312" w:hAnsi="Times New Roman"/>
          <w:color w:val="000000" w:themeColor="text1"/>
          <w:szCs w:val="32"/>
          <w14:textFill>
            <w14:solidFill>
              <w14:schemeClr w14:val="tx1"/>
            </w14:solidFill>
          </w14:textFill>
        </w:rPr>
        <w:t>4家孵化器</w:t>
      </w:r>
      <w:r>
        <w:rPr>
          <w:rFonts w:ascii="仿宋_GB2312" w:hAnsi="Times New Roman"/>
          <w:color w:val="000000" w:themeColor="text1"/>
          <w:szCs w:val="32"/>
          <w14:textFill>
            <w14:solidFill>
              <w14:schemeClr w14:val="tx1"/>
            </w14:solidFill>
          </w14:textFill>
        </w:rPr>
        <w:t>（</w:t>
      </w:r>
      <w:r>
        <w:rPr>
          <w:rFonts w:hint="eastAsia" w:ascii="仿宋_GB2312" w:hAnsi="Times New Roman"/>
          <w:color w:val="000000" w:themeColor="text1"/>
          <w:szCs w:val="32"/>
          <w14:textFill>
            <w14:solidFill>
              <w14:schemeClr w14:val="tx1"/>
            </w14:solidFill>
          </w14:textFill>
        </w:rPr>
        <w:t>众创</w:t>
      </w:r>
      <w:r>
        <w:rPr>
          <w:rFonts w:ascii="仿宋_GB2312" w:hAnsi="Times New Roman"/>
          <w:color w:val="000000" w:themeColor="text1"/>
          <w:szCs w:val="32"/>
          <w14:textFill>
            <w14:solidFill>
              <w14:schemeClr w14:val="tx1"/>
            </w14:solidFill>
          </w14:textFill>
        </w:rPr>
        <w:t>空间）</w:t>
      </w:r>
      <w:r>
        <w:rPr>
          <w:rFonts w:hint="eastAsia" w:ascii="仿宋_GB2312" w:hAnsi="Times New Roman"/>
          <w:color w:val="000000" w:themeColor="text1"/>
          <w:szCs w:val="32"/>
          <w14:textFill>
            <w14:solidFill>
              <w14:schemeClr w14:val="tx1"/>
            </w14:solidFill>
          </w14:textFill>
        </w:rPr>
        <w:t>后，韶关市全市孵化器达1</w:t>
      </w:r>
      <w:r>
        <w:rPr>
          <w:rFonts w:ascii="仿宋_GB2312" w:hAnsi="Times New Roman"/>
          <w:color w:val="000000" w:themeColor="text1"/>
          <w:szCs w:val="32"/>
          <w14:textFill>
            <w14:solidFill>
              <w14:schemeClr w14:val="tx1"/>
            </w14:solidFill>
          </w14:textFill>
        </w:rPr>
        <w:t>7</w:t>
      </w:r>
      <w:r>
        <w:rPr>
          <w:rFonts w:hint="eastAsia" w:ascii="仿宋_GB2312" w:hAnsi="Times New Roman"/>
          <w:color w:val="000000" w:themeColor="text1"/>
          <w:szCs w:val="32"/>
          <w14:textFill>
            <w14:solidFill>
              <w14:schemeClr w14:val="tx1"/>
            </w14:solidFill>
          </w14:textFill>
        </w:rPr>
        <w:t>家（国家级1家、省级6家、市级1</w:t>
      </w:r>
      <w:r>
        <w:rPr>
          <w:rFonts w:ascii="仿宋_GB2312" w:hAnsi="Times New Roman"/>
          <w:color w:val="000000" w:themeColor="text1"/>
          <w:szCs w:val="32"/>
          <w14:textFill>
            <w14:solidFill>
              <w14:schemeClr w14:val="tx1"/>
            </w14:solidFill>
          </w14:textFill>
        </w:rPr>
        <w:t>0</w:t>
      </w:r>
      <w:r>
        <w:rPr>
          <w:rFonts w:hint="eastAsia" w:ascii="仿宋_GB2312" w:hAnsi="Times New Roman"/>
          <w:color w:val="000000" w:themeColor="text1"/>
          <w:szCs w:val="32"/>
          <w14:textFill>
            <w14:solidFill>
              <w14:schemeClr w14:val="tx1"/>
            </w14:solidFill>
          </w14:textFill>
        </w:rPr>
        <w:t>家）；二是</w:t>
      </w:r>
      <w:r>
        <w:rPr>
          <w:rFonts w:ascii="仿宋_GB2312" w:hAnsi="Times New Roman"/>
          <w:color w:val="000000" w:themeColor="text1"/>
          <w:szCs w:val="32"/>
          <w14:textFill>
            <w14:solidFill>
              <w14:schemeClr w14:val="tx1"/>
            </w14:solidFill>
          </w14:textFill>
        </w:rPr>
        <w:t>调动企业科技创新研发</w:t>
      </w:r>
      <w:r>
        <w:rPr>
          <w:rFonts w:hint="eastAsia" w:ascii="仿宋_GB2312" w:hAnsi="Times New Roman"/>
          <w:color w:val="000000" w:themeColor="text1"/>
          <w:szCs w:val="32"/>
          <w14:textFill>
            <w14:solidFill>
              <w14:schemeClr w14:val="tx1"/>
            </w14:solidFill>
          </w14:textFill>
        </w:rPr>
        <w:t>投入</w:t>
      </w:r>
      <w:r>
        <w:rPr>
          <w:rFonts w:ascii="仿宋_GB2312" w:hAnsi="Times New Roman"/>
          <w:color w:val="000000" w:themeColor="text1"/>
          <w:szCs w:val="32"/>
          <w14:textFill>
            <w14:solidFill>
              <w14:schemeClr w14:val="tx1"/>
            </w14:solidFill>
          </w14:textFill>
        </w:rPr>
        <w:t>的积极性</w:t>
      </w:r>
      <w:r>
        <w:rPr>
          <w:rFonts w:hint="eastAsia" w:ascii="仿宋_GB2312" w:hAnsi="Times New Roman"/>
          <w:color w:val="000000" w:themeColor="text1"/>
          <w:szCs w:val="32"/>
          <w14:textFill>
            <w14:solidFill>
              <w14:schemeClr w14:val="tx1"/>
            </w14:solidFill>
          </w14:textFill>
        </w:rPr>
        <w:t>，通过企业研发补助，使1</w:t>
      </w:r>
      <w:r>
        <w:rPr>
          <w:rFonts w:ascii="仿宋_GB2312" w:hAnsi="Times New Roman"/>
          <w:color w:val="000000" w:themeColor="text1"/>
          <w:szCs w:val="32"/>
          <w14:textFill>
            <w14:solidFill>
              <w14:schemeClr w14:val="tx1"/>
            </w14:solidFill>
          </w14:textFill>
        </w:rPr>
        <w:t>25</w:t>
      </w:r>
      <w:r>
        <w:rPr>
          <w:rFonts w:hint="eastAsia" w:ascii="仿宋_GB2312" w:hAnsi="Times New Roman"/>
          <w:color w:val="000000" w:themeColor="text1"/>
          <w:szCs w:val="32"/>
          <w14:textFill>
            <w14:solidFill>
              <w14:schemeClr w14:val="tx1"/>
            </w14:solidFill>
          </w14:textFill>
        </w:rPr>
        <w:t>家企业收益，降低了企业研发成本，企业研发支出由2</w:t>
      </w:r>
      <w:r>
        <w:rPr>
          <w:rFonts w:ascii="仿宋_GB2312" w:hAnsi="Times New Roman"/>
          <w:color w:val="000000" w:themeColor="text1"/>
          <w:szCs w:val="32"/>
          <w14:textFill>
            <w14:solidFill>
              <w14:schemeClr w14:val="tx1"/>
            </w14:solidFill>
          </w14:textFill>
        </w:rPr>
        <w:t>018</w:t>
      </w:r>
      <w:r>
        <w:rPr>
          <w:rFonts w:hint="eastAsia" w:ascii="仿宋_GB2312" w:hAnsi="Times New Roman"/>
          <w:color w:val="000000" w:themeColor="text1"/>
          <w:szCs w:val="32"/>
          <w14:textFill>
            <w14:solidFill>
              <w14:schemeClr w14:val="tx1"/>
            </w14:solidFill>
          </w14:textFill>
        </w:rPr>
        <w:t>年的1</w:t>
      </w:r>
      <w:r>
        <w:rPr>
          <w:rFonts w:ascii="仿宋_GB2312" w:hAnsi="Times New Roman"/>
          <w:color w:val="000000" w:themeColor="text1"/>
          <w:szCs w:val="32"/>
          <w14:textFill>
            <w14:solidFill>
              <w14:schemeClr w14:val="tx1"/>
            </w14:solidFill>
          </w14:textFill>
        </w:rPr>
        <w:t>4.54</w:t>
      </w:r>
      <w:r>
        <w:rPr>
          <w:rFonts w:hint="eastAsia" w:ascii="仿宋_GB2312" w:hAnsi="Times New Roman"/>
          <w:color w:val="000000" w:themeColor="text1"/>
          <w:szCs w:val="32"/>
          <w14:textFill>
            <w14:solidFill>
              <w14:schemeClr w14:val="tx1"/>
            </w14:solidFill>
          </w14:textFill>
        </w:rPr>
        <w:t>亿元增至2</w:t>
      </w:r>
      <w:r>
        <w:rPr>
          <w:rFonts w:ascii="仿宋_GB2312" w:hAnsi="Times New Roman"/>
          <w:color w:val="000000" w:themeColor="text1"/>
          <w:szCs w:val="32"/>
          <w14:textFill>
            <w14:solidFill>
              <w14:schemeClr w14:val="tx1"/>
            </w14:solidFill>
          </w14:textFill>
        </w:rPr>
        <w:t>019</w:t>
      </w:r>
      <w:r>
        <w:rPr>
          <w:rFonts w:hint="eastAsia" w:ascii="仿宋_GB2312" w:hAnsi="Times New Roman"/>
          <w:color w:val="000000" w:themeColor="text1"/>
          <w:szCs w:val="32"/>
          <w14:textFill>
            <w14:solidFill>
              <w14:schemeClr w14:val="tx1"/>
            </w14:solidFill>
          </w14:textFill>
        </w:rPr>
        <w:t>年的1</w:t>
      </w:r>
      <w:r>
        <w:rPr>
          <w:rFonts w:ascii="仿宋_GB2312" w:hAnsi="Times New Roman"/>
          <w:color w:val="000000" w:themeColor="text1"/>
          <w:szCs w:val="32"/>
          <w14:textFill>
            <w14:solidFill>
              <w14:schemeClr w14:val="tx1"/>
            </w14:solidFill>
          </w14:textFill>
        </w:rPr>
        <w:t>6.06</w:t>
      </w:r>
      <w:r>
        <w:rPr>
          <w:rFonts w:hint="eastAsia" w:ascii="仿宋_GB2312" w:hAnsi="Times New Roman"/>
          <w:color w:val="000000" w:themeColor="text1"/>
          <w:szCs w:val="32"/>
          <w14:textFill>
            <w14:solidFill>
              <w14:schemeClr w14:val="tx1"/>
            </w14:solidFill>
          </w14:textFill>
        </w:rPr>
        <w:t>亿元，研发占G</w:t>
      </w:r>
      <w:r>
        <w:rPr>
          <w:rFonts w:ascii="仿宋_GB2312" w:hAnsi="Times New Roman"/>
          <w:color w:val="000000" w:themeColor="text1"/>
          <w:szCs w:val="32"/>
          <w14:textFill>
            <w14:solidFill>
              <w14:schemeClr w14:val="tx1"/>
            </w14:solidFill>
          </w14:textFill>
        </w:rPr>
        <w:t>DP</w:t>
      </w:r>
      <w:r>
        <w:rPr>
          <w:rFonts w:hint="eastAsia" w:ascii="仿宋_GB2312" w:hAnsi="Times New Roman"/>
          <w:color w:val="000000" w:themeColor="text1"/>
          <w:szCs w:val="32"/>
          <w14:textFill>
            <w14:solidFill>
              <w14:schemeClr w14:val="tx1"/>
            </w14:solidFill>
          </w14:textFill>
        </w:rPr>
        <w:t>比重也从2</w:t>
      </w:r>
      <w:r>
        <w:rPr>
          <w:rFonts w:ascii="仿宋_GB2312" w:hAnsi="Times New Roman"/>
          <w:color w:val="000000" w:themeColor="text1"/>
          <w:szCs w:val="32"/>
          <w14:textFill>
            <w14:solidFill>
              <w14:schemeClr w14:val="tx1"/>
            </w14:solidFill>
          </w14:textFill>
        </w:rPr>
        <w:t>018</w:t>
      </w:r>
      <w:r>
        <w:rPr>
          <w:rFonts w:hint="eastAsia" w:ascii="仿宋_GB2312" w:hAnsi="Times New Roman"/>
          <w:color w:val="000000" w:themeColor="text1"/>
          <w:szCs w:val="32"/>
          <w14:textFill>
            <w14:solidFill>
              <w14:schemeClr w14:val="tx1"/>
            </w14:solidFill>
          </w14:textFill>
        </w:rPr>
        <w:t>年的1</w:t>
      </w:r>
      <w:r>
        <w:rPr>
          <w:rFonts w:ascii="仿宋_GB2312" w:hAnsi="Times New Roman"/>
          <w:color w:val="000000" w:themeColor="text1"/>
          <w:szCs w:val="32"/>
          <w14:textFill>
            <w14:solidFill>
              <w14:schemeClr w14:val="tx1"/>
            </w14:solidFill>
          </w14:textFill>
        </w:rPr>
        <w:t>.17</w:t>
      </w:r>
      <w:r>
        <w:rPr>
          <w:rFonts w:hint="eastAsia" w:ascii="仿宋_GB2312" w:hAnsi="Times New Roman"/>
          <w:color w:val="000000" w:themeColor="text1"/>
          <w:szCs w:val="32"/>
          <w14:textFill>
            <w14:solidFill>
              <w14:schemeClr w14:val="tx1"/>
            </w14:solidFill>
          </w14:textFill>
        </w:rPr>
        <w:t>%增至2</w:t>
      </w:r>
      <w:r>
        <w:rPr>
          <w:rFonts w:ascii="仿宋_GB2312" w:hAnsi="Times New Roman"/>
          <w:color w:val="000000" w:themeColor="text1"/>
          <w:szCs w:val="32"/>
          <w14:textFill>
            <w14:solidFill>
              <w14:schemeClr w14:val="tx1"/>
            </w14:solidFill>
          </w14:textFill>
        </w:rPr>
        <w:t>019</w:t>
      </w:r>
      <w:r>
        <w:rPr>
          <w:rFonts w:hint="eastAsia" w:ascii="仿宋_GB2312" w:hAnsi="Times New Roman"/>
          <w:color w:val="000000" w:themeColor="text1"/>
          <w:szCs w:val="32"/>
          <w14:textFill>
            <w14:solidFill>
              <w14:schemeClr w14:val="tx1"/>
            </w14:solidFill>
          </w14:textFill>
        </w:rPr>
        <w:t>年的</w:t>
      </w:r>
      <w:r>
        <w:rPr>
          <w:rFonts w:ascii="仿宋_GB2312" w:hAnsi="Times New Roman"/>
          <w:color w:val="000000" w:themeColor="text1"/>
          <w:szCs w:val="32"/>
          <w14:textFill>
            <w14:solidFill>
              <w14:schemeClr w14:val="tx1"/>
            </w14:solidFill>
          </w14:textFill>
        </w:rPr>
        <w:t>1.32</w:t>
      </w:r>
      <w:r>
        <w:rPr>
          <w:rFonts w:hint="eastAsia" w:ascii="仿宋_GB2312" w:hAnsi="Times New Roman"/>
          <w:color w:val="000000" w:themeColor="text1"/>
          <w:szCs w:val="32"/>
          <w14:textFill>
            <w14:solidFill>
              <w14:schemeClr w14:val="tx1"/>
            </w14:solidFill>
          </w14:textFill>
        </w:rPr>
        <w:t>%。项目</w:t>
      </w:r>
      <w:r>
        <w:rPr>
          <w:rFonts w:ascii="仿宋_GB2312" w:hAnsi="Times New Roman"/>
          <w:color w:val="000000" w:themeColor="text1"/>
          <w:szCs w:val="32"/>
          <w14:textFill>
            <w14:solidFill>
              <w14:schemeClr w14:val="tx1"/>
            </w14:solidFill>
          </w14:textFill>
        </w:rPr>
        <w:t>通过</w:t>
      </w:r>
      <w:r>
        <w:rPr>
          <w:rFonts w:hint="eastAsia" w:ascii="仿宋_GB2312" w:hAnsi="Times New Roman"/>
          <w:color w:val="000000" w:themeColor="text1"/>
          <w:szCs w:val="32"/>
          <w14:textFill>
            <w14:solidFill>
              <w14:schemeClr w14:val="tx1"/>
            </w14:solidFill>
          </w14:textFill>
        </w:rPr>
        <w:t>赛事</w:t>
      </w:r>
      <w:r>
        <w:rPr>
          <w:rFonts w:ascii="仿宋_GB2312" w:hAnsi="Times New Roman"/>
          <w:color w:val="000000" w:themeColor="text1"/>
          <w:szCs w:val="32"/>
          <w14:textFill>
            <w14:solidFill>
              <w14:schemeClr w14:val="tx1"/>
            </w14:solidFill>
          </w14:textFill>
        </w:rPr>
        <w:t>举办等方式宣传韶关</w:t>
      </w:r>
      <w:r>
        <w:rPr>
          <w:rFonts w:hint="eastAsia" w:ascii="仿宋_GB2312" w:hAnsi="Times New Roman"/>
          <w:color w:val="000000" w:themeColor="text1"/>
          <w:szCs w:val="32"/>
          <w14:textFill>
            <w14:solidFill>
              <w14:schemeClr w14:val="tx1"/>
            </w14:solidFill>
          </w14:textFill>
        </w:rPr>
        <w:t>市</w:t>
      </w:r>
      <w:r>
        <w:rPr>
          <w:rFonts w:ascii="仿宋_GB2312" w:hAnsi="Times New Roman"/>
          <w:color w:val="000000" w:themeColor="text1"/>
          <w:szCs w:val="32"/>
          <w14:textFill>
            <w14:solidFill>
              <w14:schemeClr w14:val="tx1"/>
            </w14:solidFill>
          </w14:textFill>
        </w:rPr>
        <w:t>科技政策</w:t>
      </w:r>
      <w:r>
        <w:rPr>
          <w:rFonts w:hint="eastAsia" w:ascii="仿宋_GB2312" w:hAnsi="Times New Roman"/>
          <w:color w:val="000000" w:themeColor="text1"/>
          <w:szCs w:val="32"/>
          <w14:textFill>
            <w14:solidFill>
              <w14:schemeClr w14:val="tx1"/>
            </w14:solidFill>
          </w14:textFill>
        </w:rPr>
        <w:t>和</w:t>
      </w:r>
      <w:r>
        <w:rPr>
          <w:rFonts w:ascii="仿宋_GB2312" w:hAnsi="Times New Roman"/>
          <w:color w:val="000000" w:themeColor="text1"/>
          <w:szCs w:val="32"/>
          <w14:textFill>
            <w14:solidFill>
              <w14:schemeClr w14:val="tx1"/>
            </w14:solidFill>
          </w14:textFill>
        </w:rPr>
        <w:t>营商环境</w:t>
      </w:r>
      <w:r>
        <w:rPr>
          <w:rFonts w:hint="eastAsia" w:ascii="仿宋_GB2312" w:hAnsi="Times New Roman"/>
          <w:color w:val="000000" w:themeColor="text1"/>
          <w:szCs w:val="32"/>
          <w14:textFill>
            <w14:solidFill>
              <w14:schemeClr w14:val="tx1"/>
            </w14:solidFill>
          </w14:textFill>
        </w:rPr>
        <w:t>，</w:t>
      </w:r>
      <w:r>
        <w:rPr>
          <w:rFonts w:ascii="仿宋_GB2312" w:hAnsi="Times New Roman"/>
          <w:color w:val="000000" w:themeColor="text1"/>
          <w:szCs w:val="32"/>
          <w14:textFill>
            <w14:solidFill>
              <w14:schemeClr w14:val="tx1"/>
            </w14:solidFill>
          </w14:textFill>
        </w:rPr>
        <w:t>提升</w:t>
      </w:r>
      <w:r>
        <w:rPr>
          <w:rFonts w:hint="eastAsia" w:ascii="仿宋_GB2312" w:hAnsi="Times New Roman"/>
          <w:color w:val="000000" w:themeColor="text1"/>
          <w:szCs w:val="32"/>
          <w14:textFill>
            <w14:solidFill>
              <w14:schemeClr w14:val="tx1"/>
            </w14:solidFill>
          </w14:textFill>
        </w:rPr>
        <w:t>韶关市的知名度，引进了1家优质</w:t>
      </w:r>
      <w:r>
        <w:rPr>
          <w:rFonts w:ascii="仿宋_GB2312" w:hAnsi="Times New Roman"/>
          <w:color w:val="000000" w:themeColor="text1"/>
          <w:szCs w:val="32"/>
          <w14:textFill>
            <w14:solidFill>
              <w14:schemeClr w14:val="tx1"/>
            </w14:solidFill>
          </w14:textFill>
        </w:rPr>
        <w:t>企业落地韶关</w:t>
      </w:r>
      <w:r>
        <w:rPr>
          <w:rFonts w:hint="eastAsia" w:ascii="仿宋_GB2312" w:hAnsi="Times New Roman"/>
          <w:color w:val="000000" w:themeColor="text1"/>
          <w:szCs w:val="32"/>
          <w14:textFill>
            <w14:solidFill>
              <w14:schemeClr w14:val="tx1"/>
            </w14:solidFill>
          </w14:textFill>
        </w:rPr>
        <w:t>。</w:t>
      </w:r>
    </w:p>
    <w:p>
      <w:pPr>
        <w:ind w:firstLine="643"/>
        <w:rPr>
          <w:rFonts w:ascii="仿宋_GB2312" w:hAnsi="Times New Roman"/>
          <w:b/>
          <w:color w:val="000000" w:themeColor="text1"/>
          <w:szCs w:val="32"/>
          <w14:textFill>
            <w14:solidFill>
              <w14:schemeClr w14:val="tx1"/>
            </w14:solidFill>
          </w14:textFill>
        </w:rPr>
      </w:pPr>
      <w:r>
        <w:rPr>
          <w:rFonts w:hint="eastAsia" w:ascii="仿宋_GB2312" w:hAnsi="Times New Roman"/>
          <w:b/>
          <w:color w:val="000000" w:themeColor="text1"/>
          <w:szCs w:val="32"/>
          <w14:textFill>
            <w14:solidFill>
              <w14:schemeClr w14:val="tx1"/>
            </w14:solidFill>
          </w14:textFill>
        </w:rPr>
        <w:t>3</w:t>
      </w:r>
      <w:r>
        <w:rPr>
          <w:rFonts w:ascii="仿宋_GB2312" w:hAnsi="Times New Roman"/>
          <w:b/>
          <w:color w:val="000000" w:themeColor="text1"/>
          <w:szCs w:val="32"/>
          <w14:textFill>
            <w14:solidFill>
              <w14:schemeClr w14:val="tx1"/>
            </w14:solidFill>
          </w14:textFill>
        </w:rPr>
        <w:t>.</w:t>
      </w:r>
      <w:r>
        <w:rPr>
          <w:rFonts w:hint="eastAsia" w:ascii="仿宋_GB2312" w:hAnsi="Times New Roman"/>
          <w:b/>
          <w:color w:val="000000" w:themeColor="text1"/>
          <w:szCs w:val="32"/>
          <w14:textFill>
            <w14:solidFill>
              <w14:schemeClr w14:val="tx1"/>
            </w14:solidFill>
          </w14:textFill>
        </w:rPr>
        <w:t>项目对企业发展和</w:t>
      </w:r>
      <w:r>
        <w:rPr>
          <w:rFonts w:ascii="仿宋_GB2312" w:hAnsi="Times New Roman"/>
          <w:b/>
          <w:color w:val="000000" w:themeColor="text1"/>
          <w:szCs w:val="32"/>
          <w14:textFill>
            <w14:solidFill>
              <w14:schemeClr w14:val="tx1"/>
            </w14:solidFill>
          </w14:textFill>
        </w:rPr>
        <w:t>韶关</w:t>
      </w:r>
      <w:r>
        <w:rPr>
          <w:rFonts w:hint="eastAsia" w:ascii="仿宋_GB2312" w:hAnsi="Times New Roman"/>
          <w:b/>
          <w:color w:val="000000" w:themeColor="text1"/>
          <w:szCs w:val="32"/>
          <w14:textFill>
            <w14:solidFill>
              <w14:schemeClr w14:val="tx1"/>
            </w14:solidFill>
          </w14:textFill>
        </w:rPr>
        <w:t>市经济增长有一定助推作用。</w:t>
      </w:r>
    </w:p>
    <w:p>
      <w:pPr>
        <w:ind w:firstLine="643"/>
        <w:rPr>
          <w:rFonts w:ascii="仿宋_GB2312" w:hAnsi="Times New Roman"/>
          <w:color w:val="000000" w:themeColor="text1"/>
          <w:szCs w:val="32"/>
          <w14:textFill>
            <w14:solidFill>
              <w14:schemeClr w14:val="tx1"/>
            </w14:solidFill>
          </w14:textFill>
        </w:rPr>
      </w:pPr>
      <w:r>
        <w:rPr>
          <w:rFonts w:hint="eastAsia" w:ascii="仿宋_GB2312" w:hAnsi="Times New Roman"/>
          <w:b/>
          <w:color w:val="000000" w:themeColor="text1"/>
          <w:szCs w:val="32"/>
          <w14:textFill>
            <w14:solidFill>
              <w14:schemeClr w14:val="tx1"/>
            </w14:solidFill>
          </w14:textFill>
        </w:rPr>
        <w:t>一是</w:t>
      </w:r>
      <w:r>
        <w:rPr>
          <w:rFonts w:hint="eastAsia" w:ascii="仿宋_GB2312" w:hAnsi="Times New Roman"/>
          <w:color w:val="000000" w:themeColor="text1"/>
          <w:szCs w:val="32"/>
          <w14:textFill>
            <w14:solidFill>
              <w14:schemeClr w14:val="tx1"/>
            </w14:solidFill>
          </w14:textFill>
        </w:rPr>
        <w:t>2</w:t>
      </w:r>
      <w:r>
        <w:rPr>
          <w:rFonts w:ascii="仿宋_GB2312" w:hAnsi="Times New Roman"/>
          <w:color w:val="000000" w:themeColor="text1"/>
          <w:szCs w:val="32"/>
          <w14:textFill>
            <w14:solidFill>
              <w14:schemeClr w14:val="tx1"/>
            </w14:solidFill>
          </w14:textFill>
        </w:rPr>
        <w:t>019</w:t>
      </w:r>
      <w:r>
        <w:rPr>
          <w:rFonts w:hint="eastAsia" w:ascii="仿宋_GB2312" w:hAnsi="Times New Roman"/>
          <w:color w:val="000000" w:themeColor="text1"/>
          <w:szCs w:val="32"/>
          <w14:textFill>
            <w14:solidFill>
              <w14:schemeClr w14:val="tx1"/>
            </w14:solidFill>
          </w14:textFill>
        </w:rPr>
        <w:t>年</w:t>
      </w:r>
      <w:r>
        <w:rPr>
          <w:rFonts w:ascii="仿宋_GB2312" w:hAnsi="Times New Roman"/>
          <w:color w:val="000000" w:themeColor="text1"/>
          <w:szCs w:val="32"/>
          <w14:textFill>
            <w14:solidFill>
              <w14:schemeClr w14:val="tx1"/>
            </w14:solidFill>
          </w14:textFill>
        </w:rPr>
        <w:t>韶关市</w:t>
      </w:r>
      <w:r>
        <w:rPr>
          <w:rFonts w:hint="eastAsia" w:ascii="仿宋_GB2312" w:hAnsi="Times New Roman"/>
          <w:color w:val="000000" w:themeColor="text1"/>
          <w:szCs w:val="32"/>
          <w14:textFill>
            <w14:solidFill>
              <w14:schemeClr w14:val="tx1"/>
            </w14:solidFill>
          </w14:textFill>
        </w:rPr>
        <w:t>高新技术企业营业收入为442.85亿元，较之2018年的322.81亿元增长了37.19%，高新</w:t>
      </w:r>
      <w:r>
        <w:rPr>
          <w:rFonts w:ascii="仿宋_GB2312" w:hAnsi="Times New Roman"/>
          <w:color w:val="000000" w:themeColor="text1"/>
          <w:szCs w:val="32"/>
          <w14:textFill>
            <w14:solidFill>
              <w14:schemeClr w14:val="tx1"/>
            </w14:solidFill>
          </w14:textFill>
        </w:rPr>
        <w:t>技术企业营业收入</w:t>
      </w:r>
      <w:r>
        <w:rPr>
          <w:rFonts w:hint="eastAsia" w:ascii="仿宋_GB2312" w:hAnsi="Times New Roman"/>
          <w:color w:val="000000" w:themeColor="text1"/>
          <w:szCs w:val="32"/>
          <w14:textFill>
            <w14:solidFill>
              <w14:schemeClr w14:val="tx1"/>
            </w14:solidFill>
          </w14:textFill>
        </w:rPr>
        <w:t>增加</w:t>
      </w:r>
      <w:r>
        <w:rPr>
          <w:rFonts w:ascii="仿宋_GB2312" w:hAnsi="Times New Roman"/>
          <w:color w:val="000000" w:themeColor="text1"/>
          <w:szCs w:val="32"/>
          <w14:textFill>
            <w14:solidFill>
              <w14:schemeClr w14:val="tx1"/>
            </w14:solidFill>
          </w14:textFill>
        </w:rPr>
        <w:t>有利于</w:t>
      </w:r>
      <w:r>
        <w:rPr>
          <w:rFonts w:hint="eastAsia" w:ascii="仿宋_GB2312" w:hAnsi="Times New Roman"/>
          <w:color w:val="000000" w:themeColor="text1"/>
          <w:szCs w:val="32"/>
          <w14:textFill>
            <w14:solidFill>
              <w14:schemeClr w14:val="tx1"/>
            </w14:solidFill>
          </w14:textFill>
        </w:rPr>
        <w:t>激发</w:t>
      </w:r>
      <w:r>
        <w:rPr>
          <w:rFonts w:ascii="仿宋_GB2312" w:hAnsi="Times New Roman"/>
          <w:color w:val="000000" w:themeColor="text1"/>
          <w:szCs w:val="32"/>
          <w14:textFill>
            <w14:solidFill>
              <w14:schemeClr w14:val="tx1"/>
            </w14:solidFill>
          </w14:textFill>
        </w:rPr>
        <w:t>高新技术企业</w:t>
      </w:r>
      <w:r>
        <w:rPr>
          <w:rFonts w:hint="eastAsia" w:ascii="仿宋_GB2312" w:hAnsi="Times New Roman"/>
          <w:color w:val="000000" w:themeColor="text1"/>
          <w:szCs w:val="32"/>
          <w14:textFill>
            <w14:solidFill>
              <w14:schemeClr w14:val="tx1"/>
            </w14:solidFill>
          </w14:textFill>
        </w:rPr>
        <w:t>创新</w:t>
      </w:r>
      <w:r>
        <w:rPr>
          <w:rFonts w:ascii="仿宋_GB2312" w:hAnsi="Times New Roman"/>
          <w:color w:val="000000" w:themeColor="text1"/>
          <w:szCs w:val="32"/>
          <w14:textFill>
            <w14:solidFill>
              <w14:schemeClr w14:val="tx1"/>
            </w14:solidFill>
          </w14:textFill>
        </w:rPr>
        <w:t>热情，</w:t>
      </w:r>
      <w:r>
        <w:rPr>
          <w:rFonts w:hint="eastAsia" w:ascii="仿宋_GB2312" w:hAnsi="Times New Roman"/>
          <w:color w:val="000000" w:themeColor="text1"/>
          <w:szCs w:val="32"/>
          <w14:textFill>
            <w14:solidFill>
              <w14:schemeClr w14:val="tx1"/>
            </w14:solidFill>
          </w14:textFill>
        </w:rPr>
        <w:t>助推</w:t>
      </w:r>
      <w:r>
        <w:rPr>
          <w:rFonts w:ascii="仿宋_GB2312" w:hAnsi="Times New Roman"/>
          <w:color w:val="000000" w:themeColor="text1"/>
          <w:szCs w:val="32"/>
          <w14:textFill>
            <w14:solidFill>
              <w14:schemeClr w14:val="tx1"/>
            </w14:solidFill>
          </w14:textFill>
        </w:rPr>
        <w:t>高新技术企业发展；二是</w:t>
      </w:r>
      <w:r>
        <w:rPr>
          <w:rFonts w:hint="eastAsia" w:ascii="仿宋_GB2312" w:hAnsi="Times New Roman"/>
          <w:color w:val="000000" w:themeColor="text1"/>
          <w:szCs w:val="32"/>
          <w14:textFill>
            <w14:solidFill>
              <w14:schemeClr w14:val="tx1"/>
            </w14:solidFill>
          </w14:textFill>
        </w:rPr>
        <w:t>韶关市2019年高新技术企业上缴税费共17.68亿元，一定程度上拉动了韶关市经济税收增长。</w:t>
      </w:r>
    </w:p>
    <w:p>
      <w:pPr>
        <w:pStyle w:val="2"/>
        <w:ind w:firstLine="640"/>
      </w:pPr>
      <w:bookmarkStart w:id="73" w:name="_Toc19623163"/>
      <w:bookmarkStart w:id="74" w:name="_Toc21995527"/>
      <w:bookmarkStart w:id="75" w:name="_Toc21995295"/>
      <w:bookmarkStart w:id="76" w:name="_Toc53500215"/>
      <w:r>
        <w:rPr>
          <w:rFonts w:hint="eastAsia"/>
        </w:rPr>
        <w:t>五、主要问题</w:t>
      </w:r>
      <w:bookmarkEnd w:id="73"/>
      <w:bookmarkEnd w:id="74"/>
      <w:bookmarkEnd w:id="75"/>
      <w:r>
        <w:rPr>
          <w:rFonts w:hint="eastAsia"/>
        </w:rPr>
        <w:t>及</w:t>
      </w:r>
      <w:r>
        <w:t>原因分析</w:t>
      </w:r>
      <w:bookmarkEnd w:id="76"/>
    </w:p>
    <w:p>
      <w:pPr>
        <w:pStyle w:val="3"/>
        <w:ind w:firstLine="640"/>
        <w:rPr>
          <w:rFonts w:hint="eastAsia" w:eastAsia="楷体_GB2312"/>
          <w:b w:val="0"/>
          <w:bCs w:val="0"/>
          <w:lang w:eastAsia="zh-CN"/>
        </w:rPr>
      </w:pPr>
      <w:bookmarkStart w:id="77" w:name="_Toc53500216"/>
      <w:bookmarkStart w:id="78" w:name="_Toc19623165"/>
      <w:bookmarkStart w:id="79" w:name="_Toc21995297"/>
      <w:bookmarkStart w:id="80" w:name="_Toc21995529"/>
      <w:bookmarkStart w:id="81" w:name="_Toc24326304"/>
      <w:r>
        <w:rPr>
          <w:rFonts w:hint="eastAsia"/>
          <w:b w:val="0"/>
          <w:bCs w:val="0"/>
        </w:rPr>
        <w:t>（一）</w:t>
      </w:r>
      <w:bookmarkStart w:id="82" w:name="_Hlk51755594"/>
      <w:r>
        <w:rPr>
          <w:rFonts w:hint="eastAsia"/>
        </w:rPr>
        <w:t>项目缺乏总体目标，政策</w:t>
      </w:r>
      <w:r>
        <w:t>意图</w:t>
      </w:r>
      <w:bookmarkEnd w:id="82"/>
      <w:r>
        <w:t>反映</w:t>
      </w:r>
      <w:r>
        <w:rPr>
          <w:rFonts w:hint="eastAsia"/>
        </w:rPr>
        <w:t>效果</w:t>
      </w:r>
      <w:r>
        <w:t>不佳</w:t>
      </w:r>
      <w:bookmarkEnd w:id="77"/>
      <w:r>
        <w:rPr>
          <w:rFonts w:hint="eastAsia"/>
          <w:lang w:eastAsia="zh-CN"/>
        </w:rPr>
        <w:t>。</w:t>
      </w:r>
    </w:p>
    <w:p>
      <w:pPr>
        <w:ind w:firstLine="640"/>
        <w:rPr>
          <w:rFonts w:ascii="仿宋_GB2312" w:hAnsi="Times New Roman"/>
        </w:rPr>
      </w:pPr>
      <w:r>
        <w:rPr>
          <w:rFonts w:hint="eastAsia" w:ascii="仿宋_GB2312" w:hAnsi="Times New Roman"/>
        </w:rPr>
        <w:t>项目未设置整体绩效目标，子项绩效指标设置也缺乏效益指标，不能较好的反映政策意图。项目未设置2</w:t>
      </w:r>
      <w:r>
        <w:rPr>
          <w:rFonts w:ascii="仿宋_GB2312" w:hAnsi="Times New Roman"/>
        </w:rPr>
        <w:t>019</w:t>
      </w:r>
      <w:r>
        <w:rPr>
          <w:rFonts w:hint="eastAsia" w:ascii="仿宋_GB2312" w:hAnsi="Times New Roman"/>
        </w:rPr>
        <w:t>年全市科技创新项目的整体绩效目标，根据项目绩效自评基础信息表，各子项绩效指标设置也比较单一，大多直接以拨付资金惠及的企业个数等为绩效指标，没有体现财政资金的社会效益和经济效益。以培育高新技术企业奖补资金子项为例，其绩效指标包括“高新技术产品数量”、“高新技术企业认定”、“高新技术企业贷款贴息”、“推动高新技术企业持续发展”等指标。绩效指标设置未体现该子项立项文件——《韶关市加快培育高新技术企业扶持办法》（韶科〔2017〕76号）中“增强科技创新企业核心竞争力，提升科技创新企业的质量和效益，推动全市高新技术企业的培育和发展”的政策目的。且 “推动高新技术企业持续发展”未设置指标值，绩效指标的科学性也有待加强。</w:t>
      </w:r>
    </w:p>
    <w:p>
      <w:pPr>
        <w:pStyle w:val="3"/>
        <w:rPr>
          <w:rFonts w:hint="eastAsia" w:eastAsia="楷体_GB2312"/>
          <w:lang w:eastAsia="zh-CN"/>
        </w:rPr>
      </w:pPr>
      <w:bookmarkStart w:id="83" w:name="_Toc53500217"/>
      <w:r>
        <w:rPr>
          <w:rFonts w:hint="eastAsia"/>
        </w:rPr>
        <w:t>（二）</w:t>
      </w:r>
      <w:bookmarkStart w:id="84" w:name="_Hlk49775208"/>
      <w:bookmarkStart w:id="85" w:name="_Hlk51755762"/>
      <w:r>
        <w:rPr>
          <w:rFonts w:hint="eastAsia"/>
        </w:rPr>
        <w:t>子项前期准备</w:t>
      </w:r>
      <w:bookmarkEnd w:id="84"/>
      <w:r>
        <w:rPr>
          <w:rFonts w:hint="eastAsia"/>
        </w:rPr>
        <w:t>不足，</w:t>
      </w:r>
      <w:r>
        <w:t>政策</w:t>
      </w:r>
      <w:r>
        <w:rPr>
          <w:rFonts w:hint="eastAsia"/>
        </w:rPr>
        <w:t>合力支撑作用较差</w:t>
      </w:r>
      <w:bookmarkEnd w:id="83"/>
      <w:r>
        <w:rPr>
          <w:rFonts w:hint="eastAsia"/>
          <w:lang w:eastAsia="zh-CN"/>
        </w:rPr>
        <w:t>。</w:t>
      </w:r>
    </w:p>
    <w:bookmarkEnd w:id="85"/>
    <w:p>
      <w:pPr>
        <w:ind w:firstLine="64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部分子项目前期准备工作不充分，个别子项实施合理性不足，不利于各子项对科技创新政策形成合力支撑。</w:t>
      </w:r>
    </w:p>
    <w:p>
      <w:pPr>
        <w:ind w:firstLine="640"/>
        <w:rPr>
          <w:rFonts w:ascii="仿宋_GB2312" w:hAnsi="Times New Roman" w:cs="Times New Roman"/>
          <w:bCs/>
          <w:color w:val="000000" w:themeColor="text1"/>
          <w:szCs w:val="28"/>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一是社会发展科技专项子项目预算申报时对后续工作预测不准，导致该子项资金</w:t>
      </w:r>
      <w:r>
        <w:rPr>
          <w:rFonts w:ascii="仿宋_GB2312" w:hAnsi="Times New Roman"/>
          <w:color w:val="000000" w:themeColor="text1"/>
          <w:szCs w:val="32"/>
          <w14:textFill>
            <w14:solidFill>
              <w14:schemeClr w14:val="tx1"/>
            </w14:solidFill>
          </w14:textFill>
        </w:rPr>
        <w:t>支出率较低。</w:t>
      </w:r>
      <w:r>
        <w:rPr>
          <w:rFonts w:hint="eastAsia" w:ascii="仿宋_GB2312" w:hAnsi="Times New Roman" w:cs="Times New Roman"/>
          <w:bCs/>
          <w:color w:val="000000" w:themeColor="text1"/>
          <w:szCs w:val="28"/>
          <w14:textFill>
            <w14:solidFill>
              <w14:schemeClr w14:val="tx1"/>
            </w14:solidFill>
          </w14:textFill>
        </w:rPr>
        <w:t>社会发展科技专项在</w:t>
      </w:r>
      <w:r>
        <w:rPr>
          <w:rFonts w:ascii="仿宋_GB2312" w:hAnsi="Times New Roman" w:cs="Times New Roman"/>
          <w:bCs/>
          <w:color w:val="000000" w:themeColor="text1"/>
          <w:szCs w:val="28"/>
          <w14:textFill>
            <w14:solidFill>
              <w14:schemeClr w14:val="tx1"/>
            </w14:solidFill>
          </w14:textFill>
        </w:rPr>
        <w:t>进行预算申请时包含了创新券的</w:t>
      </w:r>
      <w:r>
        <w:rPr>
          <w:rFonts w:hint="eastAsia" w:ascii="仿宋_GB2312" w:hAnsi="Times New Roman" w:cs="Times New Roman"/>
          <w:bCs/>
          <w:color w:val="000000" w:themeColor="text1"/>
          <w:szCs w:val="28"/>
          <w14:textFill>
            <w14:solidFill>
              <w14:schemeClr w14:val="tx1"/>
            </w14:solidFill>
          </w14:textFill>
        </w:rPr>
        <w:t>预算</w:t>
      </w:r>
      <w:r>
        <w:rPr>
          <w:rFonts w:ascii="仿宋_GB2312" w:hAnsi="Times New Roman" w:cs="Times New Roman"/>
          <w:bCs/>
          <w:color w:val="000000" w:themeColor="text1"/>
          <w:szCs w:val="28"/>
          <w14:textFill>
            <w14:solidFill>
              <w14:schemeClr w14:val="tx1"/>
            </w14:solidFill>
          </w14:textFill>
        </w:rPr>
        <w:t>资金，但由于广东省科技厅创新券制度改革，</w:t>
      </w:r>
      <w:r>
        <w:rPr>
          <w:rFonts w:hint="eastAsia" w:ascii="仿宋_GB2312" w:hAnsi="Times New Roman" w:cs="Times New Roman"/>
          <w:bCs/>
          <w:color w:val="000000" w:themeColor="text1"/>
          <w:szCs w:val="28"/>
          <w14:textFill>
            <w14:solidFill>
              <w14:schemeClr w14:val="tx1"/>
            </w14:solidFill>
          </w14:textFill>
        </w:rPr>
        <w:t>创新券的预算</w:t>
      </w:r>
      <w:r>
        <w:rPr>
          <w:rFonts w:ascii="仿宋_GB2312" w:hAnsi="Times New Roman" w:cs="Times New Roman"/>
          <w:bCs/>
          <w:color w:val="000000" w:themeColor="text1"/>
          <w:szCs w:val="28"/>
          <w14:textFill>
            <w14:solidFill>
              <w14:schemeClr w14:val="tx1"/>
            </w14:solidFill>
          </w14:textFill>
        </w:rPr>
        <w:t>资金</w:t>
      </w:r>
      <w:r>
        <w:rPr>
          <w:rFonts w:hint="eastAsia" w:ascii="仿宋_GB2312" w:hAnsi="Times New Roman" w:cs="Times New Roman"/>
          <w:bCs/>
          <w:color w:val="000000" w:themeColor="text1"/>
          <w:szCs w:val="28"/>
          <w14:textFill>
            <w14:solidFill>
              <w14:schemeClr w14:val="tx1"/>
            </w14:solidFill>
          </w14:textFill>
        </w:rPr>
        <w:t>无法支出</w:t>
      </w:r>
      <w:r>
        <w:rPr>
          <w:rFonts w:ascii="仿宋_GB2312" w:hAnsi="Times New Roman" w:cs="Times New Roman"/>
          <w:bCs/>
          <w:color w:val="000000" w:themeColor="text1"/>
          <w:szCs w:val="28"/>
          <w14:textFill>
            <w14:solidFill>
              <w14:schemeClr w14:val="tx1"/>
            </w14:solidFill>
          </w14:textFill>
        </w:rPr>
        <w:t>，因此，该子项</w:t>
      </w:r>
      <w:r>
        <w:rPr>
          <w:rFonts w:hint="eastAsia" w:ascii="仿宋_GB2312" w:hAnsi="Times New Roman" w:cs="Times New Roman"/>
          <w:bCs/>
          <w:color w:val="000000" w:themeColor="text1"/>
          <w:szCs w:val="28"/>
          <w14:textFill>
            <w14:solidFill>
              <w14:schemeClr w14:val="tx1"/>
            </w14:solidFill>
          </w14:textFill>
        </w:rPr>
        <w:t>预算资金500万元，实际支出金额仅为340万元，资金支出率仅68%。</w:t>
      </w:r>
    </w:p>
    <w:p>
      <w:pPr>
        <w:ind w:firstLine="640"/>
        <w:rPr>
          <w:rFonts w:ascii="仿宋_GB2312" w:hAnsi="Times New Roman"/>
        </w:rPr>
      </w:pPr>
      <w:r>
        <w:rPr>
          <w:rFonts w:hint="eastAsia" w:ascii="仿宋_GB2312" w:hAnsi="Times New Roman"/>
        </w:rPr>
        <w:t>二是</w:t>
      </w:r>
      <w:bookmarkStart w:id="86" w:name="_Hlk54944897"/>
      <w:r>
        <w:rPr>
          <w:rFonts w:hint="eastAsia" w:ascii="仿宋_GB2312" w:hAnsi="Times New Roman"/>
        </w:rPr>
        <w:t>资金分配金额悬殊，不利于充分调动企业投入研发积极性</w:t>
      </w:r>
      <w:bookmarkEnd w:id="86"/>
      <w:r>
        <w:rPr>
          <w:rFonts w:hint="eastAsia" w:ascii="仿宋_GB2312" w:hAnsi="Times New Roman"/>
        </w:rPr>
        <w:t>。该子项采用“基础补助+增长补助”的方式确定奖补额度，但受益对象中韶钢企业由于2019年研发投入增长及绝对值大（研发投入5.8亿，占所有申报企业研发资金总额的45%），因此获得了205万元的补助。相较而言，新型小企业的资助额度按此种方式计算，实际得到补助资金则非常微小，有8家企业获得的研发补助均低于1000元。受益对象间奖补资金的分配悬殊，不利于充分调动企业的投入研发积极性。</w:t>
      </w:r>
    </w:p>
    <w:p>
      <w:pPr>
        <w:ind w:firstLine="640"/>
      </w:pPr>
      <w:r>
        <w:rPr>
          <w:rFonts w:hint="eastAsia" w:ascii="仿宋_GB2312" w:hAnsi="Times New Roman"/>
        </w:rPr>
        <w:t>三是部分与其他部门合作的子项目，职责不够清晰，不利于项目的绩效管理。例如社会发展与企业科技特派员子项目工作重点不突出。该子项是与其他部门的合作项目，但市科技局在项目实施中的职责等均不明确；另外该子项虽然融合了大量工作内容，但奖补目的和项目选择标准不够明确，项目实施重点不突出。再如，农业农村科技方向资金子项目，由于未制定相关管理方案，市科技局在项目实施中的职责也不够明确。因此，该子项相关资</w:t>
      </w:r>
      <w:r>
        <w:t>料缺失</w:t>
      </w:r>
      <w:r>
        <w:rPr>
          <w:rFonts w:hint="eastAsia"/>
        </w:rPr>
        <w:t>，其</w:t>
      </w:r>
      <w:r>
        <w:t>资金支付的资料和相关绩效统计的佐证材料均不齐全</w:t>
      </w:r>
      <w:r>
        <w:rPr>
          <w:rFonts w:hint="eastAsia"/>
        </w:rPr>
        <w:t>。</w:t>
      </w:r>
    </w:p>
    <w:bookmarkEnd w:id="78"/>
    <w:bookmarkEnd w:id="79"/>
    <w:bookmarkEnd w:id="80"/>
    <w:bookmarkEnd w:id="81"/>
    <w:p>
      <w:pPr>
        <w:pStyle w:val="3"/>
        <w:rPr>
          <w:rFonts w:hint="eastAsia" w:eastAsia="楷体_GB2312"/>
          <w:lang w:eastAsia="zh-CN"/>
        </w:rPr>
      </w:pPr>
      <w:bookmarkStart w:id="87" w:name="_Toc53500218"/>
      <w:r>
        <w:rPr>
          <w:rFonts w:hint="eastAsia"/>
        </w:rPr>
        <w:t>（三）</w:t>
      </w:r>
      <w:bookmarkStart w:id="88" w:name="_Hlk49775256"/>
      <w:r>
        <w:t>子项</w:t>
      </w:r>
      <w:r>
        <w:rPr>
          <w:rFonts w:hint="eastAsia"/>
        </w:rPr>
        <w:t>管理不够规范</w:t>
      </w:r>
      <w:r>
        <w:t>，</w:t>
      </w:r>
      <w:r>
        <w:rPr>
          <w:rFonts w:hint="eastAsia"/>
        </w:rPr>
        <w:t>政策目的</w:t>
      </w:r>
      <w:r>
        <w:t>实现</w:t>
      </w:r>
      <w:r>
        <w:rPr>
          <w:rFonts w:hint="eastAsia"/>
        </w:rPr>
        <w:t>程度稍</w:t>
      </w:r>
      <w:r>
        <w:t>弱</w:t>
      </w:r>
      <w:bookmarkEnd w:id="87"/>
      <w:r>
        <w:rPr>
          <w:rFonts w:hint="eastAsia"/>
          <w:lang w:eastAsia="zh-CN"/>
        </w:rPr>
        <w:t>。</w:t>
      </w:r>
    </w:p>
    <w:bookmarkEnd w:id="88"/>
    <w:p>
      <w:pPr>
        <w:ind w:firstLine="640"/>
      </w:pPr>
      <w:r>
        <w:rPr>
          <w:rFonts w:hint="eastAsia"/>
        </w:rPr>
        <w:t>项目个别子项管理实施过程中的规范性、科学性稍有不足，不利于政策目的的有效实现。</w:t>
      </w:r>
    </w:p>
    <w:p>
      <w:pPr>
        <w:ind w:firstLine="640"/>
      </w:pPr>
      <w:r>
        <w:rPr>
          <w:rFonts w:hint="eastAsia"/>
        </w:rPr>
        <w:t>一是“先进智造-新材料”创新大赛承办单位未通过招投标、政府购买服务等方式进行，选择程序不够规范。关于市科技局通过科技计划项目方式选择承办单位和预算经费，该局发函征求市财政局意见，但逾期未收到书面回复。经市政府同意后，市科技局公开发布大赛承办单位申报通知并收到2 个单位的申报材料，随后按程序组织专家评审、局党组会议决定、公示、征求相关单位意见并报市政府批准，最终同意众投邦作为该大赛的承办单位。</w:t>
      </w:r>
    </w:p>
    <w:p>
      <w:pPr>
        <w:ind w:firstLine="640"/>
        <w:rPr>
          <w:rFonts w:ascii="仿宋_GB2312"/>
        </w:rPr>
      </w:pPr>
      <w:bookmarkStart w:id="89" w:name="_Toc21995532"/>
      <w:bookmarkStart w:id="90" w:name="_Toc21995300"/>
      <w:bookmarkStart w:id="91" w:name="_Toc19623168"/>
      <w:r>
        <w:rPr>
          <w:rFonts w:hint="eastAsia" w:ascii="仿宋_GB2312"/>
        </w:rPr>
        <w:t>二是项目跟踪管理科学性有待加强。项目单位对项目资金使用的监管没有具体的实施方案和记录材料，对项目产生绩效仅进行了材料收集，未进行分析统计，缺少系统的台账记录和归档。</w:t>
      </w:r>
    </w:p>
    <w:p>
      <w:pPr>
        <w:ind w:firstLine="640"/>
      </w:pPr>
      <w:r>
        <w:rPr>
          <w:rFonts w:hint="eastAsia"/>
        </w:rPr>
        <w:t>三是个别子</w:t>
      </w:r>
      <w:r>
        <w:t>项目监管不足</w:t>
      </w:r>
      <w:r>
        <w:rPr>
          <w:rFonts w:hint="eastAsia"/>
        </w:rPr>
        <w:t>，不利于</w:t>
      </w:r>
      <w:r>
        <w:t>提高财政资金的使用效率。</w:t>
      </w:r>
      <w:r>
        <w:rPr>
          <w:rFonts w:hint="eastAsia"/>
        </w:rPr>
        <w:t>重大</w:t>
      </w:r>
      <w:r>
        <w:t>科技专项</w:t>
      </w:r>
      <w:r>
        <w:rPr>
          <w:rFonts w:hint="eastAsia"/>
        </w:rPr>
        <w:t>补助</w:t>
      </w:r>
      <w:r>
        <w:t>金额较大，但</w:t>
      </w:r>
      <w:r>
        <w:rPr>
          <w:rFonts w:hint="eastAsia"/>
        </w:rPr>
        <w:t>资金</w:t>
      </w:r>
      <w:r>
        <w:t>一次性</w:t>
      </w:r>
      <w:r>
        <w:rPr>
          <w:rFonts w:hint="eastAsia"/>
        </w:rPr>
        <w:t>支付</w:t>
      </w:r>
      <w:r>
        <w:t>后未</w:t>
      </w:r>
      <w:r>
        <w:rPr>
          <w:rFonts w:hint="eastAsia"/>
        </w:rPr>
        <w:t>对</w:t>
      </w:r>
      <w:r>
        <w:t>资金使用情况</w:t>
      </w:r>
      <w:r>
        <w:rPr>
          <w:rFonts w:hint="eastAsia"/>
        </w:rPr>
        <w:t>和</w:t>
      </w:r>
      <w:r>
        <w:t>效果进行管理监控和绩效追踪，也未要求企业进行资金的配套和设立专户管理</w:t>
      </w:r>
      <w:r>
        <w:rPr>
          <w:rFonts w:hint="eastAsia"/>
        </w:rPr>
        <w:t>。</w:t>
      </w:r>
    </w:p>
    <w:p>
      <w:pPr>
        <w:pStyle w:val="2"/>
        <w:ind w:firstLine="640"/>
      </w:pPr>
      <w:bookmarkStart w:id="92" w:name="_Toc53500219"/>
      <w:r>
        <w:rPr>
          <w:rFonts w:hint="eastAsia"/>
        </w:rPr>
        <w:t>六、对策及建议</w:t>
      </w:r>
      <w:bookmarkEnd w:id="89"/>
      <w:bookmarkEnd w:id="90"/>
      <w:bookmarkEnd w:id="91"/>
      <w:bookmarkEnd w:id="92"/>
    </w:p>
    <w:p>
      <w:pPr>
        <w:pStyle w:val="3"/>
        <w:rPr>
          <w:rFonts w:hint="eastAsia" w:eastAsia="楷体_GB2312"/>
          <w:lang w:eastAsia="zh-CN"/>
        </w:rPr>
      </w:pPr>
      <w:bookmarkStart w:id="93" w:name="_Toc53500220"/>
      <w:r>
        <w:rPr>
          <w:rFonts w:hint="eastAsia"/>
        </w:rPr>
        <w:t>（一）</w:t>
      </w:r>
      <w:bookmarkStart w:id="94" w:name="_Hlk49775472"/>
      <w:r>
        <w:rPr>
          <w:rFonts w:hint="eastAsia"/>
        </w:rPr>
        <w:t>梳理政策文件，确保</w:t>
      </w:r>
      <w:r>
        <w:t>绩效目标</w:t>
      </w:r>
      <w:r>
        <w:rPr>
          <w:rFonts w:hint="eastAsia"/>
        </w:rPr>
        <w:t>合理性</w:t>
      </w:r>
      <w:bookmarkEnd w:id="93"/>
      <w:r>
        <w:rPr>
          <w:rFonts w:hint="eastAsia"/>
          <w:lang w:eastAsia="zh-CN"/>
        </w:rPr>
        <w:t>。</w:t>
      </w:r>
    </w:p>
    <w:p>
      <w:pPr>
        <w:ind w:firstLine="640"/>
      </w:pPr>
      <w:r>
        <w:rPr>
          <w:rFonts w:hint="eastAsia"/>
        </w:rPr>
        <w:t>建议项目单位梳理政策文件，制定中长期科技创新战略目标，并在此基础上设置每年科技创新整体目标；根据各子项项目目的，设置以各创新要素为主的绩效目标，作为支撑和诠释科技创新整体目标的绩效指标。</w:t>
      </w:r>
    </w:p>
    <w:bookmarkEnd w:id="94"/>
    <w:p>
      <w:pPr>
        <w:ind w:firstLine="640"/>
        <w:rPr>
          <w:rFonts w:ascii="仿宋_GB2312"/>
        </w:rPr>
      </w:pPr>
      <w:r>
        <w:rPr>
          <w:rFonts w:hint="eastAsia" w:ascii="仿宋_GB2312"/>
        </w:rPr>
        <w:t>一是要梳理国家、省、市级政策文件，结合韶关市科技创新发展现状，制定切合实际的中长期科技创新战略目标，以此来指导每年科技创新整体目标。《韶关市科技计划项目资金管理办法》（韶府规[2019]11号）中，仅提到总绩效目标为“建立并逐步完善科技服务体系，科技创新能力得到有效提搞。国家高新基础企业达到2</w:t>
      </w:r>
      <w:r>
        <w:rPr>
          <w:rFonts w:ascii="仿宋_GB2312"/>
        </w:rPr>
        <w:t>50</w:t>
      </w:r>
      <w:r>
        <w:rPr>
          <w:rFonts w:hint="eastAsia" w:ascii="仿宋_GB2312"/>
        </w:rPr>
        <w:t>家以上，建立各类研发机构2</w:t>
      </w:r>
      <w:r>
        <w:rPr>
          <w:rFonts w:ascii="仿宋_GB2312"/>
        </w:rPr>
        <w:t>60</w:t>
      </w:r>
      <w:r>
        <w:rPr>
          <w:rFonts w:hint="eastAsia" w:ascii="仿宋_GB2312"/>
        </w:rPr>
        <w:t>家以上”，对科技创新工作而言，所列不全。科技创新项目所含子项较多，应该且也有必要进行政策梳理，结合韶关市科技创新目前发展现状，制定中长期的战略目标。</w:t>
      </w:r>
    </w:p>
    <w:p>
      <w:pPr>
        <w:ind w:firstLine="640"/>
        <w:rPr>
          <w:rFonts w:ascii="仿宋_GB2312"/>
        </w:rPr>
      </w:pPr>
      <w:r>
        <w:rPr>
          <w:rFonts w:hint="eastAsia" w:ascii="仿宋_GB2312"/>
        </w:rPr>
        <w:t>例如，可将韶关市科技创新发展侧重分为以“增数量”、“提质量”两个不同阶段：①“增数量”阶段。兼顾质量的同时，可相对固定每年科技创新投入，并应重点关注如何增加各科技创新要素，如高新人才引进数量、专利数量、科技创新服务机构数量等等；②“提质量”阶段。当各创新要素达到一定基数，形成一定集聚效应时，应把有限的财政资金花在刀刃上，可考虑设立科技创新类政府投资基金的方式对科技创新进行引导，一方面可加大对存量创新企业的“市场筛选”，鉴别有价值的创新企业，另一方面也可形成资金杠杆，放大效果。</w:t>
      </w:r>
    </w:p>
    <w:p>
      <w:pPr>
        <w:ind w:firstLine="640"/>
        <w:rPr>
          <w:rFonts w:ascii="仿宋_GB2312"/>
        </w:rPr>
      </w:pPr>
      <w:r>
        <w:rPr>
          <w:rFonts w:hint="eastAsia" w:ascii="仿宋_GB2312"/>
        </w:rPr>
        <w:t>二是基于各子项</w:t>
      </w:r>
      <w:r>
        <w:rPr>
          <w:rFonts w:ascii="仿宋_GB2312"/>
        </w:rPr>
        <w:t>政策目的</w:t>
      </w:r>
      <w:r>
        <w:rPr>
          <w:rFonts w:hint="eastAsia" w:ascii="仿宋_GB2312"/>
        </w:rPr>
        <w:t>和</w:t>
      </w:r>
      <w:r>
        <w:rPr>
          <w:rFonts w:ascii="仿宋_GB2312"/>
        </w:rPr>
        <w:t>实施内容，</w:t>
      </w:r>
      <w:r>
        <w:rPr>
          <w:rFonts w:hint="eastAsia" w:ascii="仿宋_GB2312"/>
        </w:rPr>
        <w:t>设置以各创新要素为主的绩效目标，作为支撑和诠释科技创新整体目标的绩效指标。绩效指标的设置不能仅以资金奖补的事项统计，而是要充分反映资金奖补项目所产生的社会效益和经济效益，如：营商环境的优化( 吸引高企入户数量、培育高企提升数量，吸引科技人才和培养人才等），科研能力的提升（专利和新产品的数量增加），企业产能提升和利税增加额，带动区域就业人数的增加，企业在行业排名提升度，受益企业和人群的满意度等。</w:t>
      </w:r>
    </w:p>
    <w:p>
      <w:pPr>
        <w:pStyle w:val="3"/>
        <w:rPr>
          <w:rFonts w:hint="eastAsia" w:eastAsia="楷体_GB2312"/>
          <w:lang w:eastAsia="zh-CN"/>
        </w:rPr>
      </w:pPr>
      <w:bookmarkStart w:id="95" w:name="_Toc53500221"/>
      <w:r>
        <w:rPr>
          <w:rFonts w:hint="eastAsia"/>
        </w:rPr>
        <w:t>（二）</w:t>
      </w:r>
      <w:bookmarkStart w:id="96" w:name="_Hlk51759271"/>
      <w:r>
        <w:rPr>
          <w:rFonts w:hint="eastAsia"/>
        </w:rPr>
        <w:t>加强前期论证，提高项目决策科学性</w:t>
      </w:r>
      <w:bookmarkEnd w:id="95"/>
      <w:bookmarkEnd w:id="96"/>
      <w:r>
        <w:rPr>
          <w:rFonts w:hint="eastAsia"/>
          <w:lang w:eastAsia="zh-CN"/>
        </w:rPr>
        <w:t>。</w:t>
      </w:r>
      <w:bookmarkStart w:id="112" w:name="_GoBack"/>
      <w:bookmarkEnd w:id="112"/>
    </w:p>
    <w:p>
      <w:pPr>
        <w:ind w:firstLine="640"/>
        <w:rPr>
          <w:rFonts w:ascii="仿宋_GB2312"/>
        </w:rPr>
      </w:pPr>
      <w:r>
        <w:rPr>
          <w:rFonts w:hint="eastAsia" w:ascii="仿宋_GB2312"/>
        </w:rPr>
        <w:t>建议项目单位加强项目前期论证工作，对项目资金使用进行预测和测算，提高决策科学性。一是提高与省科技厅的沟通交流，及时发现相关政策改动，并对相关预算作调整，提高预算编制的准确性，提高资金支出率。二是对于企业研发市级财政补贴子项该类受益群体广的竞争性奖补项目，应提前测算，避免资金出现与政策目的有所偏离的“扶强不扶弱”现象。可通过设置</w:t>
      </w:r>
      <w:bookmarkStart w:id="97" w:name="_Hlk54944997"/>
      <w:r>
        <w:rPr>
          <w:rFonts w:hint="eastAsia" w:ascii="仿宋_GB2312"/>
        </w:rPr>
        <w:t>奖补最高额上限、基本奖补金额（下限）的方式，保证资金分配的相对公平</w:t>
      </w:r>
      <w:bookmarkEnd w:id="97"/>
      <w:r>
        <w:rPr>
          <w:rFonts w:hint="eastAsia" w:ascii="仿宋_GB2312"/>
        </w:rPr>
        <w:t>，以提高企业研发投入的积极性。三是与其他部门合作的项目，应提前确定好职责分工，明确韶关市</w:t>
      </w:r>
      <w:r>
        <w:rPr>
          <w:rFonts w:ascii="仿宋_GB2312"/>
        </w:rPr>
        <w:t>科技局在</w:t>
      </w:r>
      <w:r>
        <w:rPr>
          <w:rFonts w:hint="eastAsia" w:ascii="仿宋_GB2312"/>
        </w:rPr>
        <w:t>项目</w:t>
      </w:r>
      <w:r>
        <w:rPr>
          <w:rFonts w:ascii="仿宋_GB2312"/>
        </w:rPr>
        <w:t>实施中的职责，建立相应的管理制度及方案</w:t>
      </w:r>
      <w:r>
        <w:rPr>
          <w:rFonts w:hint="eastAsia" w:ascii="仿宋_GB2312"/>
        </w:rPr>
        <w:t>。</w:t>
      </w:r>
    </w:p>
    <w:p>
      <w:pPr>
        <w:pStyle w:val="3"/>
        <w:rPr>
          <w:rFonts w:hint="eastAsia" w:eastAsia="楷体_GB2312"/>
          <w:lang w:eastAsia="zh-CN"/>
        </w:rPr>
      </w:pPr>
      <w:bookmarkStart w:id="98" w:name="_Toc53500222"/>
      <w:r>
        <w:rPr>
          <w:rFonts w:hint="eastAsia"/>
        </w:rPr>
        <w:t>（三）优化项目管理，推动项目管理</w:t>
      </w:r>
      <w:r>
        <w:t>规范性</w:t>
      </w:r>
      <w:bookmarkEnd w:id="98"/>
      <w:r>
        <w:rPr>
          <w:rFonts w:hint="eastAsia"/>
          <w:lang w:eastAsia="zh-CN"/>
        </w:rPr>
        <w:t>。</w:t>
      </w:r>
    </w:p>
    <w:p>
      <w:pPr>
        <w:ind w:firstLine="640"/>
        <w:rPr>
          <w:rFonts w:ascii="仿宋_GB2312"/>
        </w:rPr>
      </w:pPr>
      <w:r>
        <w:rPr>
          <w:rFonts w:hint="eastAsia" w:ascii="仿宋_GB2312"/>
        </w:rPr>
        <w:t>一是建立</w:t>
      </w:r>
      <w:r>
        <w:rPr>
          <w:rFonts w:ascii="仿宋_GB2312"/>
        </w:rPr>
        <w:t>科技创新政策评估常态机制。</w:t>
      </w:r>
      <w:r>
        <w:rPr>
          <w:rFonts w:hint="eastAsia" w:ascii="仿宋_GB2312"/>
        </w:rPr>
        <w:t>科技创新政策评估是科技管理部门规范运行和有效服务的重要体现，因此，必须把政策评估作为科技主管部门重点工作之一，将科技评估工作摆在更为突出的位置，推动科技创新政策评估工作向常态化发展。</w:t>
      </w:r>
    </w:p>
    <w:p>
      <w:pPr>
        <w:ind w:firstLine="640"/>
        <w:rPr>
          <w:rFonts w:ascii="仿宋_GB2312"/>
        </w:rPr>
      </w:pPr>
      <w:r>
        <w:rPr>
          <w:rFonts w:hint="eastAsia" w:ascii="仿宋_GB2312"/>
        </w:rPr>
        <w:t>具体</w:t>
      </w:r>
      <w:r>
        <w:rPr>
          <w:rFonts w:ascii="仿宋_GB2312"/>
        </w:rPr>
        <w:t>方法为：</w:t>
      </w:r>
      <w:r>
        <w:rPr>
          <w:rFonts w:hint="eastAsia" w:ascii="仿宋_GB2312"/>
        </w:rPr>
        <w:t>①针对政策评估的关键环节、适用方法和评估内容形成规范，强化创新政策评估的关键技术支撑。对评估中发现的问题，责成各地级以上市落实责任、限期整改，使政策落实成为一场“接力赛”，确保“抵达终点”。②</w:t>
      </w:r>
      <w:bookmarkStart w:id="99" w:name="_Hlk49775802"/>
      <w:r>
        <w:rPr>
          <w:rFonts w:hint="eastAsia" w:ascii="仿宋_GB2312"/>
        </w:rPr>
        <w:t>鼓励通过委托第三方机构、实地调研、企业访谈等方式加强科技创新政策落实情况评估，及时总结政策实施过程中取得的成效和部分政策难以落地的症结所在，在不违反法律法规及相关政策基础上，修订完善本地落实相关创新政策及实施细则，建立科技政策评估动态调整机制，切实提高科技创新政策的成效。</w:t>
      </w:r>
    </w:p>
    <w:bookmarkEnd w:id="99"/>
    <w:p>
      <w:pPr>
        <w:ind w:firstLine="640"/>
        <w:rPr>
          <w:rFonts w:ascii="仿宋_GB2312" w:hAnsi="Times New Roman"/>
        </w:rPr>
      </w:pPr>
      <w:bookmarkStart w:id="100" w:name="_Hlk49775688"/>
      <w:bookmarkStart w:id="101" w:name="_Toc19623173"/>
      <w:bookmarkStart w:id="102" w:name="_Toc19623171"/>
      <w:r>
        <w:rPr>
          <w:rFonts w:hint="eastAsia" w:ascii="仿宋_GB2312"/>
        </w:rPr>
        <w:t>二是优化项目跟踪管理，提高资金使用效益。</w:t>
      </w:r>
      <w:bookmarkEnd w:id="100"/>
      <w:bookmarkStart w:id="103" w:name="_Hlk49775708"/>
      <w:r>
        <w:rPr>
          <w:rFonts w:hint="eastAsia" w:ascii="仿宋_GB2312"/>
        </w:rPr>
        <w:t>例如，①金额较大的项目可采用分段拨付的方式对企业创新进行跟踪管理。</w:t>
      </w:r>
      <w:bookmarkEnd w:id="103"/>
      <w:r>
        <w:rPr>
          <w:rFonts w:hint="eastAsia" w:ascii="仿宋_GB2312"/>
        </w:rPr>
        <w:t>一些重大的奖补项目，资金采用一次性拨付的方式进行奖励，建议一些奖补金额较大的项目，可根据项目进展和后续效益情况采取分段支付的方式，对企业创新进行跟踪管理。②分段支付的各支付前，可由县/区科技局对创新企业进行走访调研，了解项目情况及企业实际困难。目前作为与能够与企业直接沟通、走访的单位，县/区科技单位对项目过程的监管较弱，多以微信、电话等方式联系了解情况，建议可以到企业跟踪了解项目发展情况，收集相关绩效数据，汇总统计，分析各阶段科技创新要素发展情况；了解企业实际工作中的难处，除资金成本压力外，还有哪些问题需要解决，并把问题分为本单位可解决范畴、需联动其他部门解决范畴等不同类型，通过局内相关会议商讨解决或下一步工作措施。</w:t>
      </w:r>
    </w:p>
    <w:p>
      <w:pPr>
        <w:ind w:firstLine="640"/>
        <w:rPr>
          <w:rFonts w:ascii="仿宋_GB2312" w:hAnsi="Times New Roman"/>
        </w:rPr>
      </w:pPr>
    </w:p>
    <w:bookmarkEnd w:id="101"/>
    <w:bookmarkEnd w:id="102"/>
    <w:p>
      <w:pPr>
        <w:ind w:firstLine="640"/>
        <w:rPr>
          <w:rFonts w:ascii="仿宋_GB2312" w:hAnsi="Times New Roman"/>
          <w:color w:val="000000" w:themeColor="text1"/>
          <w:szCs w:val="32"/>
          <w14:textFill>
            <w14:solidFill>
              <w14:schemeClr w14:val="tx1"/>
            </w14:solidFill>
          </w14:textFill>
        </w:rPr>
      </w:pPr>
      <w:bookmarkStart w:id="104" w:name="_Toc242_WPSOffice_Level1"/>
      <w:r>
        <w:rPr>
          <w:rFonts w:hint="eastAsia"/>
        </w:rPr>
        <w:t>附件：</w:t>
      </w:r>
      <w:r>
        <w:rPr>
          <w:rFonts w:hint="eastAsia" w:ascii="仿宋_GB2312" w:hAnsi="Times New Roman"/>
          <w:color w:val="000000" w:themeColor="text1"/>
          <w:szCs w:val="32"/>
          <w14:textFill>
            <w14:solidFill>
              <w14:schemeClr w14:val="tx1"/>
            </w14:solidFill>
          </w14:textFill>
        </w:rPr>
        <w:t>1.</w:t>
      </w:r>
      <w:bookmarkEnd w:id="104"/>
      <w:bookmarkStart w:id="105" w:name="_Hlk44338731"/>
      <w:r>
        <w:rPr>
          <w:rFonts w:hint="eastAsia" w:ascii="仿宋_GB2312" w:hAnsi="Times New Roman"/>
          <w:color w:val="000000" w:themeColor="text1"/>
          <w:szCs w:val="32"/>
          <w14:textFill>
            <w14:solidFill>
              <w14:schemeClr w14:val="tx1"/>
            </w14:solidFill>
          </w14:textFill>
        </w:rPr>
        <w:t>韶关市2019年度全市科技创新</w:t>
      </w:r>
      <w:r>
        <w:rPr>
          <w:rFonts w:ascii="仿宋_GB2312" w:hAnsi="Times New Roman"/>
          <w:color w:val="000000" w:themeColor="text1"/>
          <w:szCs w:val="32"/>
          <w14:textFill>
            <w14:solidFill>
              <w14:schemeClr w14:val="tx1"/>
            </w14:solidFill>
          </w14:textFill>
        </w:rPr>
        <w:t>项目绩效</w:t>
      </w:r>
      <w:r>
        <w:rPr>
          <w:rFonts w:hint="eastAsia" w:ascii="仿宋_GB2312" w:hAnsi="Times New Roman"/>
          <w:color w:val="000000" w:themeColor="text1"/>
          <w:szCs w:val="32"/>
          <w14:textFill>
            <w14:solidFill>
              <w14:schemeClr w14:val="tx1"/>
            </w14:solidFill>
          </w14:textFill>
        </w:rPr>
        <w:t>评分表</w:t>
      </w:r>
      <w:bookmarkEnd w:id="105"/>
    </w:p>
    <w:p>
      <w:pPr>
        <w:ind w:firstLine="1600" w:firstLineChars="500"/>
        <w:rPr>
          <w:rFonts w:ascii="仿宋_GB2312" w:hAnsi="Times New Roman"/>
          <w:color w:val="000000" w:themeColor="text1"/>
          <w:szCs w:val="32"/>
          <w14:textFill>
            <w14:solidFill>
              <w14:schemeClr w14:val="tx1"/>
            </w14:solidFill>
          </w14:textFill>
        </w:rPr>
      </w:pPr>
      <w:r>
        <w:rPr>
          <w:rFonts w:hint="eastAsia" w:ascii="仿宋_GB2312" w:hAnsi="Times New Roman"/>
          <w:color w:val="000000" w:themeColor="text1"/>
          <w:szCs w:val="32"/>
          <w14:textFill>
            <w14:solidFill>
              <w14:schemeClr w14:val="tx1"/>
            </w14:solidFill>
          </w14:textFill>
        </w:rPr>
        <w:t>2.各</w:t>
      </w:r>
      <w:r>
        <w:rPr>
          <w:rFonts w:ascii="仿宋_GB2312" w:hAnsi="Times New Roman"/>
          <w:color w:val="000000" w:themeColor="text1"/>
          <w:szCs w:val="32"/>
          <w14:textFill>
            <w14:solidFill>
              <w14:schemeClr w14:val="tx1"/>
            </w14:solidFill>
          </w14:textFill>
        </w:rPr>
        <w:t>子项</w:t>
      </w:r>
      <w:r>
        <w:rPr>
          <w:rFonts w:hint="eastAsia" w:ascii="仿宋_GB2312" w:hAnsi="Times New Roman"/>
          <w:color w:val="000000" w:themeColor="text1"/>
          <w:szCs w:val="32"/>
          <w14:textFill>
            <w14:solidFill>
              <w14:schemeClr w14:val="tx1"/>
            </w14:solidFill>
          </w14:textFill>
        </w:rPr>
        <w:t>存在</w:t>
      </w:r>
      <w:r>
        <w:rPr>
          <w:rFonts w:ascii="仿宋_GB2312" w:hAnsi="Times New Roman"/>
          <w:color w:val="000000" w:themeColor="text1"/>
          <w:szCs w:val="32"/>
          <w14:textFill>
            <w14:solidFill>
              <w14:schemeClr w14:val="tx1"/>
            </w14:solidFill>
          </w14:textFill>
        </w:rPr>
        <w:t>问题及改进建议</w:t>
      </w:r>
    </w:p>
    <w:p>
      <w:pPr>
        <w:ind w:firstLine="1600" w:firstLineChars="500"/>
        <w:rPr>
          <w:rFonts w:ascii="仿宋_GB2312" w:hAnsi="Times New Roman"/>
          <w:color w:val="000000" w:themeColor="text1"/>
          <w:szCs w:val="32"/>
          <w14:textFill>
            <w14:solidFill>
              <w14:schemeClr w14:val="tx1"/>
            </w14:solidFill>
          </w14:textFill>
        </w:rPr>
        <w:sectPr>
          <w:footerReference r:id="rId12" w:type="default"/>
          <w:footnotePr>
            <w:numFmt w:val="decimalEnclosedCircleChinese"/>
            <w:numRestart w:val="eachPage"/>
          </w:footnotePr>
          <w:pgSz w:w="11906" w:h="16838"/>
          <w:pgMar w:top="2041" w:right="1418" w:bottom="1418" w:left="1531" w:header="851" w:footer="992" w:gutter="0"/>
          <w:pgNumType w:fmt="numberInDash" w:start="1"/>
          <w:cols w:space="425" w:num="1"/>
          <w:docGrid w:type="lines" w:linePitch="435" w:charSpace="0"/>
        </w:sectPr>
      </w:pPr>
      <w:bookmarkStart w:id="106" w:name="_Toc22671_WPSOffice_Level1"/>
      <w:r>
        <w:rPr>
          <w:rFonts w:ascii="仿宋_GB2312" w:hAnsi="Times New Roman"/>
          <w:color w:val="000000" w:themeColor="text1"/>
          <w:szCs w:val="32"/>
          <w14:textFill>
            <w14:solidFill>
              <w14:schemeClr w14:val="tx1"/>
            </w14:solidFill>
          </w14:textFill>
        </w:rPr>
        <w:t>3</w:t>
      </w:r>
      <w:r>
        <w:rPr>
          <w:rFonts w:hint="eastAsia" w:ascii="仿宋_GB2312" w:hAnsi="Times New Roman"/>
          <w:color w:val="000000" w:themeColor="text1"/>
          <w:szCs w:val="32"/>
          <w14:textFill>
            <w14:solidFill>
              <w14:schemeClr w14:val="tx1"/>
            </w14:solidFill>
          </w14:textFill>
        </w:rPr>
        <w:t>.评价组专家名单</w:t>
      </w:r>
      <w:bookmarkEnd w:id="106"/>
    </w:p>
    <w:p>
      <w:pPr>
        <w:pStyle w:val="3"/>
        <w:ind w:firstLine="0" w:firstLineChars="0"/>
        <w:rPr>
          <w:rFonts w:ascii="黑体" w:hAnsi="黑体" w:eastAsia="黑体" w:cs="黑体"/>
          <w:b w:val="0"/>
          <w:bCs w:val="0"/>
        </w:rPr>
      </w:pPr>
      <w:bookmarkStart w:id="107" w:name="_Toc53500223"/>
      <w:r>
        <w:rPr>
          <w:rFonts w:hint="eastAsia" w:ascii="黑体" w:hAnsi="黑体" w:eastAsia="黑体" w:cs="黑体"/>
          <w:b w:val="0"/>
          <w:bCs w:val="0"/>
        </w:rPr>
        <w:t>附件1</w:t>
      </w:r>
      <w:bookmarkEnd w:id="107"/>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sz w:val="44"/>
          <w:szCs w:val="44"/>
        </w:rPr>
      </w:pPr>
      <w:r>
        <w:rPr>
          <w:rFonts w:hint="eastAsia" w:ascii="宋体" w:hAnsi="宋体" w:eastAsia="宋体"/>
          <w:b/>
          <w:sz w:val="44"/>
          <w:szCs w:val="44"/>
        </w:rPr>
        <w:t>韶关市2019年度全市科技创新项目绩效评分表</w:t>
      </w:r>
    </w:p>
    <w:tbl>
      <w:tblPr>
        <w:tblStyle w:val="32"/>
        <w:tblpPr w:leftFromText="180" w:rightFromText="180" w:vertAnchor="text" w:tblpXSpec="center" w:tblpY="1"/>
        <w:tblOverlap w:val="never"/>
        <w:tblW w:w="15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0"/>
        <w:gridCol w:w="645"/>
        <w:gridCol w:w="675"/>
        <w:gridCol w:w="660"/>
        <w:gridCol w:w="645"/>
        <w:gridCol w:w="960"/>
        <w:gridCol w:w="690"/>
        <w:gridCol w:w="4442"/>
        <w:gridCol w:w="643"/>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5578" w:type="dxa"/>
            <w:gridSpan w:val="8"/>
            <w:shd w:val="clear" w:color="auto" w:fill="auto"/>
            <w:noWrap/>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评价指标</w:t>
            </w:r>
          </w:p>
        </w:tc>
        <w:tc>
          <w:tcPr>
            <w:tcW w:w="4442"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评分标准</w:t>
            </w:r>
          </w:p>
        </w:tc>
        <w:tc>
          <w:tcPr>
            <w:tcW w:w="643"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评审得分</w:t>
            </w:r>
          </w:p>
        </w:tc>
        <w:tc>
          <w:tcPr>
            <w:tcW w:w="4468"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303" w:type="dxa"/>
            <w:gridSpan w:val="2"/>
            <w:shd w:val="clear" w:color="auto" w:fill="auto"/>
            <w:noWrap/>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一级指标</w:t>
            </w:r>
          </w:p>
        </w:tc>
        <w:tc>
          <w:tcPr>
            <w:tcW w:w="1320" w:type="dxa"/>
            <w:gridSpan w:val="2"/>
            <w:shd w:val="clear" w:color="auto" w:fill="auto"/>
            <w:noWrap/>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二级指标</w:t>
            </w:r>
          </w:p>
        </w:tc>
        <w:tc>
          <w:tcPr>
            <w:tcW w:w="1305" w:type="dxa"/>
            <w:gridSpan w:val="2"/>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三级指标</w:t>
            </w:r>
          </w:p>
        </w:tc>
        <w:tc>
          <w:tcPr>
            <w:tcW w:w="1650" w:type="dxa"/>
            <w:gridSpan w:val="2"/>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四级指标</w:t>
            </w:r>
          </w:p>
        </w:tc>
        <w:tc>
          <w:tcPr>
            <w:tcW w:w="4442" w:type="dxa"/>
            <w:vMerge w:val="continue"/>
            <w:vAlign w:val="center"/>
          </w:tcPr>
          <w:p>
            <w:pPr>
              <w:widowControl/>
              <w:adjustRightInd/>
              <w:snapToGrid/>
              <w:spacing w:line="240" w:lineRule="auto"/>
              <w:ind w:firstLine="0" w:firstLineChars="0"/>
              <w:jc w:val="left"/>
              <w:rPr>
                <w:rFonts w:ascii="宋体" w:hAnsi="宋体" w:eastAsia="宋体" w:cs="宋体"/>
                <w:b/>
                <w:bCs/>
                <w:kern w:val="0"/>
                <w:sz w:val="20"/>
                <w:szCs w:val="20"/>
              </w:rPr>
            </w:pPr>
          </w:p>
        </w:tc>
        <w:tc>
          <w:tcPr>
            <w:tcW w:w="643" w:type="dxa"/>
            <w:vMerge w:val="continue"/>
            <w:vAlign w:val="center"/>
          </w:tcPr>
          <w:p>
            <w:pPr>
              <w:widowControl/>
              <w:adjustRightInd/>
              <w:snapToGrid/>
              <w:spacing w:line="240" w:lineRule="auto"/>
              <w:ind w:firstLine="0" w:firstLineChars="0"/>
              <w:jc w:val="center"/>
              <w:rPr>
                <w:rFonts w:ascii="宋体" w:hAnsi="宋体" w:eastAsia="宋体" w:cs="宋体"/>
                <w:b/>
                <w:bCs/>
                <w:kern w:val="0"/>
                <w:sz w:val="20"/>
                <w:szCs w:val="20"/>
              </w:rPr>
            </w:pPr>
          </w:p>
        </w:tc>
        <w:tc>
          <w:tcPr>
            <w:tcW w:w="4468" w:type="dxa"/>
            <w:vMerge w:val="continue"/>
            <w:vAlign w:val="center"/>
          </w:tcPr>
          <w:p>
            <w:pPr>
              <w:widowControl/>
              <w:adjustRightInd/>
              <w:snapToGrid/>
              <w:spacing w:line="240" w:lineRule="auto"/>
              <w:ind w:firstLine="0" w:firstLineChars="0"/>
              <w:rPr>
                <w:rFonts w:ascii="宋体" w:hAnsi="宋体" w:eastAsia="宋体" w:cs="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643"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权重（%）</w:t>
            </w:r>
          </w:p>
        </w:tc>
        <w:tc>
          <w:tcPr>
            <w:tcW w:w="645"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675"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权重（%）</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645"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权重（%）</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690"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0"/>
                <w:szCs w:val="20"/>
              </w:rPr>
            </w:pPr>
            <w:r>
              <w:rPr>
                <w:rFonts w:hint="eastAsia" w:ascii="宋体" w:hAnsi="宋体" w:eastAsia="宋体" w:cs="宋体"/>
                <w:b/>
                <w:bCs/>
                <w:kern w:val="0"/>
                <w:sz w:val="20"/>
                <w:szCs w:val="20"/>
              </w:rPr>
              <w:t>权重（%）</w:t>
            </w:r>
          </w:p>
        </w:tc>
        <w:tc>
          <w:tcPr>
            <w:tcW w:w="4442" w:type="dxa"/>
            <w:vMerge w:val="continue"/>
            <w:vAlign w:val="center"/>
          </w:tcPr>
          <w:p>
            <w:pPr>
              <w:widowControl/>
              <w:adjustRightInd/>
              <w:snapToGrid/>
              <w:spacing w:line="240" w:lineRule="auto"/>
              <w:ind w:firstLine="0" w:firstLineChars="0"/>
              <w:jc w:val="left"/>
              <w:rPr>
                <w:rFonts w:ascii="宋体" w:hAnsi="宋体" w:eastAsia="宋体" w:cs="宋体"/>
                <w:b/>
                <w:bCs/>
                <w:kern w:val="0"/>
                <w:sz w:val="20"/>
                <w:szCs w:val="20"/>
              </w:rPr>
            </w:pPr>
          </w:p>
        </w:tc>
        <w:tc>
          <w:tcPr>
            <w:tcW w:w="643" w:type="dxa"/>
            <w:vMerge w:val="continue"/>
            <w:vAlign w:val="center"/>
          </w:tcPr>
          <w:p>
            <w:pPr>
              <w:widowControl/>
              <w:adjustRightInd/>
              <w:snapToGrid/>
              <w:spacing w:line="240" w:lineRule="auto"/>
              <w:ind w:firstLine="0" w:firstLineChars="0"/>
              <w:jc w:val="center"/>
              <w:rPr>
                <w:rFonts w:ascii="宋体" w:hAnsi="宋体" w:eastAsia="宋体" w:cs="宋体"/>
                <w:b/>
                <w:bCs/>
                <w:kern w:val="0"/>
                <w:sz w:val="20"/>
                <w:szCs w:val="20"/>
              </w:rPr>
            </w:pPr>
          </w:p>
        </w:tc>
        <w:tc>
          <w:tcPr>
            <w:tcW w:w="4468" w:type="dxa"/>
            <w:vMerge w:val="continue"/>
            <w:vAlign w:val="center"/>
          </w:tcPr>
          <w:p>
            <w:pPr>
              <w:widowControl/>
              <w:adjustRightInd/>
              <w:snapToGrid/>
              <w:spacing w:line="240" w:lineRule="auto"/>
              <w:ind w:firstLine="0" w:firstLineChars="0"/>
              <w:rPr>
                <w:rFonts w:ascii="宋体" w:hAnsi="宋体" w:eastAsia="宋体" w:cs="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3"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投入</w:t>
            </w:r>
          </w:p>
        </w:tc>
        <w:tc>
          <w:tcPr>
            <w:tcW w:w="660"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项目立项</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论证决策</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论证充分性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具有前期可行性研究报告或摸底调查工作总结等材料的,或经过集体会议协商、并咨询相关专家意见、且有文字材料的得4分。如无，则根据实际情况核定分数。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各子项立项依据较为明确，提供了会议文件、可行性研究、摸底调查工作总结和测评材料。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目标设置</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完整性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依据相关基础信息和证据判断目标设置的完整性，即是否包含总目标和阶段性目标，是否包括预期提供的公共产品或服务的产出数量、质量、成本指标，预期达到的效果性指标，据此核定分数。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根据项目基础自评表，各子项总体目标比较清晰，但绩效指标设置比较单一，大多直接以拨付资金惠及的企业个数为绩效指标，没有体现财政资金的社会效益和经济效益。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合理性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依据相关基础信息和证据判断目标设置的相关性，即绩效目标是否与资金或项目属性特点、支出内容相关，体现决策意图，同时合乎客观实际，据此核定分数。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根据项目基础自评表，各子项总体目标比较清晰，但绩效指标设置比较单一，大多直接以拨付资金惠及的企业个数为绩效指标，没有体现财政资金的社会效益和经济效益。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可衡量性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依据相关基础信息和证据判断目标设置的可衡量性，即绩效经济效益目标设置是否有数据支撑、是否有可衡量性的产出和效果指标，据此核定分数。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各子项均设置了较为细化、量化的绩效指标，目标设置具有可衡量性。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保障措施</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制度完整性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依据相关基础信息和证据判断制度完整性和是否具备条件实施，根据实际情况核定分数。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制度较为完整。各子项均有相关的政策文件依据，同时，制定了《韶关市科技计划项目资金管理办法》（韶府规〔2019〕11号）等资金管理制度，具有《韶关市科技计划项目中期检查实施细则（试行）》（韶科〔2017〕85号）、《韶关市科技计划项目结题管理实施细则（试行）》（韶科〔2017〕86号）等监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计划安排合理性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依据工作进度计划等相关基础信息和证据判断，并根据实际情况核定分数。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计划安排较为合理。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资金落实</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资金到位</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资金到位率</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1.财政资金足额到位的，得3分；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2.财政资金未足额到位的，按实际到位金额/应到位金额*指标分值。</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财政资金足额到位。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资金到位及时性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1.财政资金及时到位的，得2分；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2.财政资金及时到位的，按实际及时到位的金额/应及时到位的金额*指标分值。</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财政资金及时到位。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资金分配</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资金分配合理性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依据相关信息和证据判断资金分配是否合理，是否有助于实现资金的绩效目标。</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企业研发市级财政资金补助企业主要集中在大型企业，新型小企业的资助额度非常微小，不能充分调动企业的投入研发积极性。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43"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过程</w:t>
            </w:r>
          </w:p>
        </w:tc>
        <w:tc>
          <w:tcPr>
            <w:tcW w:w="660"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资金管理</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资金支付</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资金支出率</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主要依据“支付额/预算额度*100*指标权重”计算核定得分，同时综合考虑工作进度，以及是否垫资或履行支付手续而影响支出率等因素适当调整最后得分。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1.总体而言，项目预算资金为9611.69万元，实际支出金额为9611.69万元，资金支出率为100%。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2.从各实施子项来看，社会发展科技专项融合了很多工作内容，撒胡椒面，重点不突出，没有事前调研不充分，资金支付率不到70%，没有突出财政绩效。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支出规范性</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预算执行规范性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按规定履行调整报批手续或未发生调整的，且按事项完成进度支付资金的得满分，否则酌情扣分。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未发生预算调整且事项按进度支付资金。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事项支出的合规性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资金管理、费用标准、支付符合有关制度规定的得满分，超范围、超标准支出，虚列支出，截留挤占、挪用资金的，以及其他不符合制度规定支出的，视情节严重情况扣分，直至扣到0分。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资金管理、费用管理、支付符合相关管理制度，未超范围、超标准支出。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会计核算规范性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规范执行会计核算制度得满分，未按规定设专账核算，或支出凭证不符合规定，或其他核算不规范的，视具体情况扣分。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经现场核查相关支出凭证，会计核算较为规范。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事项管理</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实施程序</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程序规范性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项目或方案按规定程序实施,包括项目或方案调整按规定履行报批手续，项目招投标、建设、验收等或方案实施严格执行相关制度规定的，得满分，否则酌情扣分。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项目实施程序较为规范。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管理情况</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监管机制有效性</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资金使用单位或基层资金管理单位建立有效管理机制，且执行情况良好得2分，具体根据所提供的信息证据作出判断并核定分数。</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1.缺少对项目资金使用的管理监控和绩效追踪记录；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2.部分事前竞争性项目，在实施后缺乏有效监管，对项目缺乏相关监督机制。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按监管机制实施管理</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各级业务主管部门按规定对项目建设或方案实施开展有效的检查、监控、督促整改的得2分，具体根据所提供的信息证据作出判断。</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项目采取市里立项，县里科技部门监管的模式不是很理想。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3"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产出</w:t>
            </w:r>
          </w:p>
        </w:tc>
        <w:tc>
          <w:tcPr>
            <w:tcW w:w="660"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经济性</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预算控制</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预算控制</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在预算执行进度与事项完成进度基本匹配的前提下，实际支出未超过预算计划的，得满分；实际支出超过预算的，或者支出未能保障事项相应完成进度的，酌情扣分。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实际支出未超预算，从项目实施的情况来看，基本能够如期完成项目。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成本控制</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960" w:type="dxa"/>
            <w:shd w:val="clear" w:color="auto" w:fill="auto"/>
            <w:vAlign w:val="center"/>
          </w:tcPr>
          <w:p>
            <w:pPr>
              <w:widowControl/>
              <w:adjustRightInd/>
              <w:snapToGrid/>
              <w:spacing w:line="240" w:lineRule="auto"/>
              <w:ind w:firstLine="0" w:firstLineChars="0"/>
              <w:jc w:val="center"/>
              <w:rPr>
                <w:rFonts w:hint="eastAsia" w:ascii="宋体" w:hAnsi="宋体" w:eastAsia="宋体" w:cs="宋体"/>
                <w:kern w:val="0"/>
                <w:sz w:val="20"/>
                <w:szCs w:val="20"/>
              </w:rPr>
            </w:pPr>
            <w:r>
              <w:rPr>
                <w:rFonts w:hint="eastAsia" w:ascii="宋体" w:hAnsi="宋体" w:eastAsia="宋体" w:cs="宋体"/>
                <w:kern w:val="0"/>
                <w:sz w:val="20"/>
                <w:szCs w:val="20"/>
              </w:rPr>
              <w:t>成本</w:t>
            </w:r>
          </w:p>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节约</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在项目按照预算完成的前提下，与同类项目或市场价格比较，项目实施的成本（包括工程造价、物品采购单价、人员经费等）属于合理范围的（如与同类项目或市场价格大致相符的）得满分；成本不合理的（如明显高于或低于同类项目或市场价格的）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项目实施成本较为合理。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效率性</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完成进度</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各个子项按规定均按时间完成的得满分，否则酌情扣分。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部分子项实施方把项目资金划拨给企业后就当做项目实施完成，此看法存疑。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高新技术企业数量</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高新技术企业数量达到相应标准的得满分，否则酌情扣分。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高新技术企业培育奖补子项高新技术企业认定83家，已完成30家的绩效目标。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创新创业载体数量</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创新创业载体如研发机构、孵化器等增加数量达到相应标准件的得满分，否则酌情扣分。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孵化器众创空间专项等已完成创新创业载体数量的绩效目标。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科研成果数量</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科研成果包括新技术、新工艺开发、推广及专利申请与使用数量达到相应标准或按时完成开发或申请的得满分，否则酌情扣分。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重大科技专项、企业科技特派员方向、社会发展科技计划项目、农业农村科技方向、产学研合作专项、企业研发机构奖补等子项均完成了相关新技术、新工艺开发、专利申请等科研成果数量要求。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人才引进与培养</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引进或培养人才达到相应标准的得满分，否则酌情扣分。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企业科技特派员方向、产学研合作专项、企业研发机构奖补等子项均完成了相关人才引进与培养的绩效目标。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宣传报道</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在各类媒体上发布宣传报道取得较好的宣传效果的得满分，否则酌情扣分。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第八届中国创新创业大赛、“先进智造-新材料”创新大赛等实施子项在各类媒体上发布了宣传报道并取得了较好的宣传效果。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完成质量</w:t>
            </w:r>
          </w:p>
        </w:tc>
        <w:tc>
          <w:tcPr>
            <w:tcW w:w="64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R&amp;D投入占GDP 比重</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统计年度内全社会实际用于基础研究、应用研究和试验发展的经费支出占生产总值的比重提升情况。</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根据2020年8月印发的《2019 韶关统计年鉴》，韶关市2018 年GDP 核准数为1217.5，因此计算得出R&amp;D 经费投入占GDP 比重实际为：16.06/1217.5=0.132，已完成1.3%的绩效目标。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高新技术产业收入增长情况</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高新技术产业营业收入较上一年度增长情况。</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韶关市2018年高新技术企业工业总产值为270.72亿元，2019年高新技术企业工业总产值412.49亿元，较上年增长了52.37%。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43"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效益</w:t>
            </w:r>
          </w:p>
        </w:tc>
        <w:tc>
          <w:tcPr>
            <w:tcW w:w="660"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645"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效果性</w:t>
            </w:r>
          </w:p>
        </w:tc>
        <w:tc>
          <w:tcPr>
            <w:tcW w:w="675" w:type="dxa"/>
            <w:vMerge w:val="restart"/>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经济效益</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拉动税收经济增长</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反映由于新工艺、新技术的研发或引进企业的落地带来的税收情况，促进作用良好的得满分，其他酌情给分。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韶关市2019年高新技术企业上缴税费共17.68亿元，韶关市2018年高新技术企业营业收入为322.81亿元，2019年高新技术企业营业收入为442.85亿元，较上年增长了37.19%。一定程序上拉动了税收经济增长。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restart"/>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社会效益</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科技服务体系的完善</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反映相关政策对完善科技服务体系的促进作用，如孵化器数量的增加、研发企业或机构的奖补制度等，促进作用良好的得满分，其他酌情给分。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韶关市2019年规上工业企业研发机构204家，入选引进紧缺适用人才61人，入选引进产业科技人才648人，一定程度上促进了科技服务体系的完善。但专利申请量、工业技术改造投资额等部分指标较2018年有所下降。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科技创新能力的提高</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反映相关政策对韶关市科技创新能力的促进作用，如关键技术的突破、新工艺的增加等，促进作用良好的得满分，其他酌情给分。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韶关市2019年高新技术企业共236家，专利申请量4818件，工业技术改造投资额56.70亿元，R&amp;D占GDP的比重为1.2%，一定程度上促进了科技创新能力的提高。但专利申请量指标较2018年有所下降。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生态效益</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营造科技创新氛围</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营造了良好的科技创新氛围，激发全社会创新创业活力的得满分，其他酌情给分。</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通过相关宣传和补贴，项目一定程度上营造了科技创新氛围。但企业研发市级财政资金子项由于补贴金额差距过大，不利于充分调动企业的投入研发积极性。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75"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可持续发展</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政策可持续</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反映专项资金的后续政策、资金、人员机构安排和管理措施等影响事项持续发展的因素。</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政策具有可持续性，但需完善部分</w:t>
            </w:r>
            <w:r>
              <w:rPr>
                <w:rFonts w:ascii="宋体" w:hAnsi="宋体" w:eastAsia="宋体" w:cs="宋体"/>
                <w:kern w:val="0"/>
                <w:sz w:val="20"/>
                <w:szCs w:val="20"/>
              </w:rPr>
              <w:t>子项的</w:t>
            </w:r>
            <w:r>
              <w:rPr>
                <w:rFonts w:hint="eastAsia" w:ascii="宋体" w:hAnsi="宋体" w:eastAsia="宋体" w:cs="宋体"/>
                <w:kern w:val="0"/>
                <w:sz w:val="20"/>
                <w:szCs w:val="20"/>
              </w:rPr>
              <w:t>实施</w:t>
            </w:r>
            <w:r>
              <w:rPr>
                <w:rFonts w:ascii="宋体" w:hAnsi="宋体" w:eastAsia="宋体" w:cs="宋体"/>
                <w:kern w:val="0"/>
                <w:sz w:val="20"/>
                <w:szCs w:val="20"/>
              </w:rPr>
              <w:t>政策及</w:t>
            </w:r>
            <w:r>
              <w:rPr>
                <w:rFonts w:hint="eastAsia" w:ascii="宋体" w:hAnsi="宋体" w:eastAsia="宋体" w:cs="宋体"/>
                <w:kern w:val="0"/>
                <w:sz w:val="20"/>
                <w:szCs w:val="20"/>
              </w:rPr>
              <w:t>监管机制。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3"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60" w:type="dxa"/>
            <w:vMerge w:val="continue"/>
            <w:vAlign w:val="center"/>
          </w:tcPr>
          <w:p>
            <w:pPr>
              <w:widowControl/>
              <w:adjustRightInd/>
              <w:snapToGrid/>
              <w:spacing w:line="240" w:lineRule="auto"/>
              <w:ind w:firstLine="0" w:firstLineChars="0"/>
              <w:jc w:val="center"/>
              <w:rPr>
                <w:rFonts w:ascii="宋体" w:hAnsi="宋体" w:eastAsia="宋体" w:cs="宋体"/>
                <w:kern w:val="0"/>
                <w:sz w:val="20"/>
                <w:szCs w:val="20"/>
              </w:rPr>
            </w:pPr>
          </w:p>
        </w:tc>
        <w:tc>
          <w:tcPr>
            <w:tcW w:w="645"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公平性</w:t>
            </w:r>
          </w:p>
        </w:tc>
        <w:tc>
          <w:tcPr>
            <w:tcW w:w="67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6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满意度</w:t>
            </w:r>
          </w:p>
        </w:tc>
        <w:tc>
          <w:tcPr>
            <w:tcW w:w="645"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960" w:type="dxa"/>
            <w:shd w:val="clear" w:color="auto" w:fill="auto"/>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442"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0"/>
                <w:szCs w:val="20"/>
              </w:rPr>
            </w:pPr>
            <w:r>
              <w:rPr>
                <w:rFonts w:hint="eastAsia" w:ascii="宋体" w:hAnsi="宋体" w:eastAsia="宋体" w:cs="宋体"/>
                <w:kern w:val="0"/>
                <w:sz w:val="20"/>
                <w:szCs w:val="20"/>
              </w:rPr>
              <w:t>表示满意的服务对象数/项目覆盖范围内接受调查的对象总数*指标分值。</w:t>
            </w: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468" w:type="dxa"/>
            <w:shd w:val="clear" w:color="auto" w:fill="auto"/>
            <w:vAlign w:val="center"/>
          </w:tcPr>
          <w:p>
            <w:pPr>
              <w:widowControl/>
              <w:adjustRightInd/>
              <w:snapToGrid/>
              <w:spacing w:line="240" w:lineRule="auto"/>
              <w:ind w:firstLine="0" w:firstLineChars="0"/>
              <w:rPr>
                <w:rFonts w:ascii="宋体" w:hAnsi="宋体" w:eastAsia="宋体" w:cs="宋体"/>
                <w:kern w:val="0"/>
                <w:sz w:val="20"/>
                <w:szCs w:val="20"/>
              </w:rPr>
            </w:pPr>
            <w:r>
              <w:rPr>
                <w:rFonts w:hint="eastAsia" w:ascii="宋体" w:hAnsi="宋体" w:eastAsia="宋体" w:cs="宋体"/>
                <w:kern w:val="0"/>
                <w:sz w:val="20"/>
                <w:szCs w:val="20"/>
              </w:rPr>
              <w:t>仅有“先进智造-新材料”创新大赛开展了满意度调查，满意度为100%。且根据现场调研，部分子项由于补贴金额差距过大，部分企业对补贴标准存疑。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888" w:type="dxa"/>
            <w:gridSpan w:val="7"/>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690"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4442" w:type="dxa"/>
            <w:shd w:val="clear" w:color="auto" w:fill="auto"/>
            <w:noWrap/>
            <w:vAlign w:val="center"/>
          </w:tcPr>
          <w:p>
            <w:pPr>
              <w:widowControl/>
              <w:adjustRightInd/>
              <w:snapToGrid/>
              <w:spacing w:line="240" w:lineRule="auto"/>
              <w:ind w:firstLine="0" w:firstLineChars="0"/>
              <w:jc w:val="left"/>
              <w:rPr>
                <w:rFonts w:ascii="宋体" w:hAnsi="宋体" w:eastAsia="宋体" w:cs="宋体"/>
                <w:kern w:val="0"/>
                <w:sz w:val="20"/>
                <w:szCs w:val="20"/>
              </w:rPr>
            </w:pPr>
          </w:p>
        </w:tc>
        <w:tc>
          <w:tcPr>
            <w:tcW w:w="643" w:type="dxa"/>
            <w:shd w:val="clear" w:color="auto" w:fill="auto"/>
            <w:noWrap/>
            <w:vAlign w:val="center"/>
          </w:tcPr>
          <w:p>
            <w:pPr>
              <w:widowControl/>
              <w:adjustRightInd/>
              <w:snapToGrid/>
              <w:spacing w:line="240" w:lineRule="auto"/>
              <w:ind w:firstLine="0" w:firstLineChars="0"/>
              <w:jc w:val="center"/>
              <w:rPr>
                <w:rFonts w:ascii="宋体" w:hAnsi="宋体" w:eastAsia="宋体" w:cs="宋体"/>
                <w:kern w:val="0"/>
                <w:sz w:val="20"/>
                <w:szCs w:val="20"/>
              </w:rPr>
            </w:pPr>
            <w:r>
              <w:rPr>
                <w:rFonts w:ascii="宋体" w:hAnsi="宋体" w:eastAsia="宋体" w:cs="宋体"/>
                <w:kern w:val="0"/>
                <w:sz w:val="20"/>
                <w:szCs w:val="20"/>
              </w:rPr>
              <w:fldChar w:fldCharType="begin"/>
            </w:r>
            <w:r>
              <w:rPr>
                <w:rFonts w:ascii="宋体" w:hAnsi="宋体" w:eastAsia="宋体" w:cs="宋体"/>
                <w:kern w:val="0"/>
                <w:sz w:val="20"/>
                <w:szCs w:val="20"/>
              </w:rPr>
              <w:instrText xml:space="preserve"> =SUM(ABOVE) </w:instrText>
            </w:r>
            <w:r>
              <w:rPr>
                <w:rFonts w:ascii="宋体" w:hAnsi="宋体" w:eastAsia="宋体" w:cs="宋体"/>
                <w:kern w:val="0"/>
                <w:sz w:val="20"/>
                <w:szCs w:val="20"/>
              </w:rPr>
              <w:fldChar w:fldCharType="separate"/>
            </w:r>
            <w:r>
              <w:rPr>
                <w:rFonts w:ascii="宋体" w:hAnsi="宋体" w:eastAsia="宋体" w:cs="宋体"/>
                <w:kern w:val="0"/>
                <w:sz w:val="20"/>
                <w:szCs w:val="20"/>
              </w:rPr>
              <w:t>87</w:t>
            </w:r>
            <w:r>
              <w:rPr>
                <w:rFonts w:ascii="宋体" w:hAnsi="宋体" w:eastAsia="宋体" w:cs="宋体"/>
                <w:kern w:val="0"/>
                <w:sz w:val="20"/>
                <w:szCs w:val="20"/>
              </w:rPr>
              <w:fldChar w:fldCharType="end"/>
            </w:r>
          </w:p>
        </w:tc>
        <w:tc>
          <w:tcPr>
            <w:tcW w:w="4468" w:type="dxa"/>
            <w:shd w:val="clear" w:color="auto" w:fill="auto"/>
            <w:noWrap/>
            <w:vAlign w:val="center"/>
          </w:tcPr>
          <w:p>
            <w:pPr>
              <w:widowControl/>
              <w:adjustRightInd/>
              <w:snapToGrid/>
              <w:spacing w:line="240" w:lineRule="auto"/>
              <w:ind w:firstLine="0" w:firstLineChars="0"/>
              <w:rPr>
                <w:rFonts w:ascii="宋体" w:hAnsi="宋体" w:eastAsia="宋体" w:cs="宋体"/>
                <w:kern w:val="0"/>
                <w:sz w:val="20"/>
                <w:szCs w:val="20"/>
              </w:rPr>
            </w:pPr>
          </w:p>
        </w:tc>
      </w:tr>
    </w:tbl>
    <w:p>
      <w:pPr>
        <w:ind w:firstLine="0" w:firstLineChars="0"/>
        <w:rPr>
          <w:sz w:val="21"/>
          <w:szCs w:val="21"/>
          <w:u w:val="single"/>
        </w:rPr>
        <w:sectPr>
          <w:footnotePr>
            <w:numRestart w:val="eachPage"/>
          </w:footnotePr>
          <w:pgSz w:w="16838" w:h="11906" w:orient="landscape"/>
          <w:pgMar w:top="1457" w:right="1440" w:bottom="1174" w:left="1440" w:header="851" w:footer="595" w:gutter="0"/>
          <w:pgNumType w:fmt="numberInDash"/>
          <w:cols w:space="0" w:num="1"/>
          <w:docGrid w:linePitch="312" w:charSpace="0"/>
        </w:sectPr>
      </w:pPr>
    </w:p>
    <w:p>
      <w:pPr>
        <w:pStyle w:val="3"/>
        <w:ind w:firstLine="0" w:firstLineChars="0"/>
        <w:rPr>
          <w:rFonts w:ascii="黑体" w:hAnsi="黑体" w:eastAsia="黑体" w:cs="黑体"/>
          <w:b w:val="0"/>
          <w:bCs w:val="0"/>
        </w:rPr>
      </w:pPr>
      <w:bookmarkStart w:id="108" w:name="_Toc53500224"/>
      <w:r>
        <w:rPr>
          <w:rFonts w:hint="eastAsia" w:ascii="黑体" w:hAnsi="黑体" w:eastAsia="黑体" w:cs="黑体"/>
          <w:b w:val="0"/>
          <w:bCs w:val="0"/>
        </w:rPr>
        <w:t>附件2</w:t>
      </w:r>
      <w:bookmarkEnd w:id="108"/>
    </w:p>
    <w:p>
      <w:pPr>
        <w:ind w:firstLine="0" w:firstLineChars="0"/>
        <w:jc w:val="center"/>
        <w:rPr>
          <w:rFonts w:ascii="宋体" w:hAnsi="宋体" w:eastAsia="宋体"/>
          <w:b/>
          <w:szCs w:val="32"/>
        </w:rPr>
      </w:pPr>
      <w:r>
        <w:rPr>
          <w:rFonts w:hint="eastAsia" w:ascii="宋体" w:hAnsi="宋体" w:eastAsia="宋体"/>
          <w:b/>
          <w:szCs w:val="32"/>
        </w:rPr>
        <w:t>各子项存在问题及改进建议</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5385"/>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5385"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项目申请、过程管理中存在问题</w:t>
            </w:r>
          </w:p>
        </w:tc>
        <w:tc>
          <w:tcPr>
            <w:tcW w:w="7149" w:type="dxa"/>
            <w:shd w:val="clear" w:color="auto" w:fill="auto"/>
            <w:vAlign w:val="center"/>
          </w:tcPr>
          <w:p>
            <w:pPr>
              <w:widowControl/>
              <w:adjustRightInd/>
              <w:snapToGrid/>
              <w:spacing w:line="240" w:lineRule="auto"/>
              <w:ind w:firstLine="0" w:firstLineChars="0"/>
              <w:jc w:val="center"/>
              <w:rPr>
                <w:rFonts w:ascii="宋体" w:hAnsi="宋体" w:eastAsia="宋体" w:cs="宋体"/>
                <w:b/>
                <w:bCs/>
                <w:kern w:val="0"/>
                <w:sz w:val="21"/>
                <w:szCs w:val="21"/>
              </w:rPr>
            </w:pPr>
            <w:r>
              <w:rPr>
                <w:rFonts w:hint="eastAsia" w:ascii="宋体" w:hAnsi="宋体" w:eastAsia="宋体" w:cs="宋体"/>
                <w:b/>
                <w:bCs/>
                <w:kern w:val="0"/>
                <w:sz w:val="21"/>
                <w:szCs w:val="21"/>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高新技术企业培育奖补</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1.项目贴补金额计算过程管理有待加强。口头说明直接从人行高企贷款数据的衔接取数的依据，但未见计算复核和评审过程及专家认证记录材料；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2.项目绩效指标设置比较单一，未充分反映产出和效果。</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加强项目筛选，人行系统数据统计和专家复核评定的过程管理，以及绩效指标的设置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孵化器众创空间专项</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绩效指标的设置不清晰。</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建议科学设置绩效指标，如众创空间入驻企业数量和产生的利税，带动就业人数的增加。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第八届中国创新创业大赛</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项目经费支出明细不清晰，绩效指标的设置不合理，仅以报名参赛企业和获奖企业数量，不足以评价财政资金的绩效。</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议加强经费支出的审核和监督，项目实施后需要进行经费开支和绩效目标的审核评价；优化绩效指标设置，如提升区域企业创新创业能力，吸引企业落户本区，大赛对区域科技政策和项目的认知度和满意度的提升，需要设计科学的调查问卷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“先进智造-新材料”创新大赛</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实施方的选择程序不够规范</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建议采用招投标方式选择实施方。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企业研发市级财政补助资金</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企业研发市级财政资金补助企业主要集中在大型企业，</w:t>
            </w:r>
            <w:bookmarkStart w:id="109" w:name="_Hlk44877371"/>
            <w:r>
              <w:rPr>
                <w:rFonts w:hint="eastAsia" w:ascii="宋体" w:hAnsi="宋体" w:eastAsia="宋体" w:cs="宋体"/>
                <w:kern w:val="0"/>
                <w:sz w:val="21"/>
                <w:szCs w:val="21"/>
              </w:rPr>
              <w:t>新型小企业的资助额度非常微小</w:t>
            </w:r>
            <w:bookmarkEnd w:id="109"/>
            <w:r>
              <w:rPr>
                <w:rFonts w:hint="eastAsia" w:ascii="宋体" w:hAnsi="宋体" w:eastAsia="宋体" w:cs="宋体"/>
                <w:kern w:val="0"/>
                <w:sz w:val="21"/>
                <w:szCs w:val="21"/>
              </w:rPr>
              <w:t>，不能充分调动企业的投入研发积极性。</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1.建设合理规划资金补助的研发方向和研发规模，不仅保持与省文件的一致性，更应充分调研市区企业的特点和市里战略规划协调，尽快梳理科创12条的具体内容，充分调动企业研发积极；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2.建议改进奖补制度，设定最低奖补金额和最高奖补金额。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重大科技专项</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1.资金一次性支付且缺少对项目资金使用的管理监控和绩效追踪记录；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2.绩效指标的设置不合理，未充分体现财政资金的经济效益和初值效益。</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1.建议将项目的管理监控形成规范性文件，并做好台账管理，可以“资金分期拨付，实现中期检查”等方式来实施资金管理；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2.绩效指标可以设置“调动企业科研投入的积极性、重大专项落地产业化的数据统计、制订合理的可实现经济指标”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社会发展与企业科技特派员</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ascii="宋体" w:hAnsi="宋体" w:eastAsia="宋体" w:cs="宋体"/>
                <w:kern w:val="0"/>
                <w:sz w:val="21"/>
                <w:szCs w:val="21"/>
              </w:rPr>
              <w:t>1.</w:t>
            </w:r>
            <w:r>
              <w:rPr>
                <w:rFonts w:hint="eastAsia" w:ascii="宋体" w:hAnsi="宋体" w:eastAsia="宋体" w:cs="宋体"/>
                <w:kern w:val="0"/>
                <w:sz w:val="21"/>
                <w:szCs w:val="21"/>
              </w:rPr>
              <w:t>社会发展科技专项融合了很多工作内容，撒胡椒面，重点不突出，事前调研不充分，资金支付率不到70%，没有突出财政绩效。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2.企业科技特别员项目属于事后奖补，但是奖补目的不清楚，选择的标准不清晰。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3.社会发展科技专项缺乏相关的管理制度，该项目是与其他部门的合作项目，要明确市科技局在项目实施中的职责，以及管理方案。</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1.建议按照新科创12条，分年度分类别重点资助项目，立项前充分调研，准确做好资金预算，加强资金使用管理措施，做好资金管理过程的台账记录和绩效佐证材料收集。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2.企业科技特派员方向建议明确项目目的，选择评价标准要与项目建设目的相吻合。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3.社会发展科技方向建立相应的管理制度和方案。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农业农村科技方向</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1.资金支付资料的整理不齐全。相关绩效统计的佐证材料缺失。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2.缺乏相关的管理制度，</w:t>
            </w:r>
            <w:bookmarkStart w:id="110" w:name="_Hlk44877913"/>
            <w:r>
              <w:rPr>
                <w:rFonts w:hint="eastAsia" w:ascii="宋体" w:hAnsi="宋体" w:eastAsia="宋体" w:cs="宋体"/>
                <w:kern w:val="0"/>
                <w:sz w:val="21"/>
                <w:szCs w:val="21"/>
              </w:rPr>
              <w:t>该项目是与其他部门的合作项目，要明确市科技局在项目实施中的职责，制定管理方案。</w:t>
            </w:r>
            <w:bookmarkEnd w:id="110"/>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1.加强项目资金使用过程的管理监控，做好台账，项目管理过程注意绩效佐证材料的收集归档。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2.建立相应的管理制度和方案。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0" w:type="auto"/>
            <w:shd w:val="clear" w:color="auto" w:fill="auto"/>
            <w:vAlign w:val="center"/>
          </w:tcPr>
          <w:p>
            <w:pPr>
              <w:widowControl/>
              <w:adjustRightInd/>
              <w:snapToGrid/>
              <w:spacing w:line="240" w:lineRule="auto"/>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产学研合作专项</w:t>
            </w:r>
          </w:p>
        </w:tc>
        <w:tc>
          <w:tcPr>
            <w:tcW w:w="5385"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项目资金使用过程的监控管理较弱。</w:t>
            </w:r>
          </w:p>
        </w:tc>
        <w:tc>
          <w:tcPr>
            <w:tcW w:w="7149" w:type="dxa"/>
            <w:shd w:val="clear" w:color="auto" w:fill="auto"/>
            <w:vAlign w:val="center"/>
          </w:tcPr>
          <w:p>
            <w:pPr>
              <w:widowControl/>
              <w:adjustRightInd/>
              <w:snapToGrid/>
              <w:spacing w:line="24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加强项目资金使用过程的管理监控，做好台账，项目管理过程注意绩效佐证材料的收集归档。</w:t>
            </w:r>
          </w:p>
        </w:tc>
      </w:tr>
    </w:tbl>
    <w:p>
      <w:pPr>
        <w:ind w:firstLine="640"/>
      </w:pPr>
    </w:p>
    <w:p>
      <w:pPr>
        <w:pStyle w:val="3"/>
        <w:sectPr>
          <w:footnotePr>
            <w:numRestart w:val="eachPage"/>
          </w:footnotePr>
          <w:pgSz w:w="16838" w:h="11906" w:orient="landscape"/>
          <w:pgMar w:top="1457" w:right="1440" w:bottom="1457" w:left="1440" w:header="851" w:footer="992" w:gutter="0"/>
          <w:pgNumType w:fmt="numberInDash"/>
          <w:cols w:space="425" w:num="1"/>
          <w:docGrid w:linePitch="312" w:charSpace="0"/>
        </w:sectPr>
      </w:pPr>
    </w:p>
    <w:p>
      <w:pPr>
        <w:pStyle w:val="3"/>
        <w:ind w:firstLine="0" w:firstLineChars="0"/>
        <w:rPr>
          <w:rFonts w:ascii="黑体" w:hAnsi="黑体" w:eastAsia="黑体" w:cs="黑体"/>
          <w:b w:val="0"/>
          <w:bCs w:val="0"/>
        </w:rPr>
      </w:pPr>
      <w:bookmarkStart w:id="111" w:name="_Toc53500225"/>
      <w:r>
        <w:rPr>
          <w:rFonts w:hint="eastAsia" w:ascii="黑体" w:hAnsi="黑体" w:eastAsia="黑体" w:cs="黑体"/>
          <w:b w:val="0"/>
          <w:bCs w:val="0"/>
        </w:rPr>
        <w:t>附件3</w:t>
      </w:r>
      <w:bookmarkEnd w:id="111"/>
    </w:p>
    <w:p>
      <w:pPr>
        <w:ind w:firstLine="0" w:firstLineChars="0"/>
        <w:jc w:val="center"/>
        <w:rPr>
          <w:rFonts w:ascii="宋体" w:hAnsi="宋体" w:eastAsia="宋体"/>
          <w:b/>
          <w:szCs w:val="32"/>
        </w:rPr>
      </w:pPr>
      <w:r>
        <w:rPr>
          <w:rFonts w:hint="eastAsia" w:ascii="宋体" w:hAnsi="宋体" w:eastAsia="宋体"/>
          <w:b/>
          <w:szCs w:val="32"/>
        </w:rPr>
        <w:t>评价会议专家名单</w:t>
      </w:r>
    </w:p>
    <w:tbl>
      <w:tblPr>
        <w:tblStyle w:val="32"/>
        <w:tblW w:w="8302" w:type="dxa"/>
        <w:tblInd w:w="0" w:type="dxa"/>
        <w:tblLayout w:type="fixed"/>
        <w:tblCellMar>
          <w:top w:w="0" w:type="dxa"/>
          <w:left w:w="108" w:type="dxa"/>
          <w:bottom w:w="0" w:type="dxa"/>
          <w:right w:w="108" w:type="dxa"/>
        </w:tblCellMar>
      </w:tblPr>
      <w:tblGrid>
        <w:gridCol w:w="2185"/>
        <w:gridCol w:w="2512"/>
        <w:gridCol w:w="3605"/>
      </w:tblGrid>
      <w:tr>
        <w:tblPrEx>
          <w:tblCellMar>
            <w:top w:w="0" w:type="dxa"/>
            <w:left w:w="108" w:type="dxa"/>
            <w:bottom w:w="0" w:type="dxa"/>
            <w:right w:w="108" w:type="dxa"/>
          </w:tblCellMar>
        </w:tblPrEx>
        <w:trPr>
          <w:trHeight w:val="567" w:hRule="atLeast"/>
        </w:trPr>
        <w:tc>
          <w:tcPr>
            <w:tcW w:w="2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姓名</w:t>
            </w:r>
          </w:p>
        </w:tc>
        <w:tc>
          <w:tcPr>
            <w:tcW w:w="25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单位</w:t>
            </w:r>
          </w:p>
        </w:tc>
        <w:tc>
          <w:tcPr>
            <w:tcW w:w="36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项目角色</w:t>
            </w:r>
          </w:p>
        </w:tc>
      </w:tr>
      <w:tr>
        <w:tblPrEx>
          <w:tblCellMar>
            <w:top w:w="0" w:type="dxa"/>
            <w:left w:w="108" w:type="dxa"/>
            <w:bottom w:w="0" w:type="dxa"/>
            <w:right w:w="108" w:type="dxa"/>
          </w:tblCellMar>
        </w:tblPrEx>
        <w:trPr>
          <w:trHeight w:val="567" w:hRule="atLeast"/>
        </w:trPr>
        <w:tc>
          <w:tcPr>
            <w:tcW w:w="21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彭飞</w:t>
            </w:r>
          </w:p>
        </w:tc>
        <w:tc>
          <w:tcPr>
            <w:tcW w:w="25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中大咨询专家库</w:t>
            </w:r>
          </w:p>
        </w:tc>
        <w:tc>
          <w:tcPr>
            <w:tcW w:w="360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科技创新专家</w:t>
            </w:r>
          </w:p>
        </w:tc>
      </w:tr>
      <w:tr>
        <w:tblPrEx>
          <w:tblCellMar>
            <w:top w:w="0" w:type="dxa"/>
            <w:left w:w="108" w:type="dxa"/>
            <w:bottom w:w="0" w:type="dxa"/>
            <w:right w:w="108" w:type="dxa"/>
          </w:tblCellMar>
        </w:tblPrEx>
        <w:trPr>
          <w:trHeight w:val="567" w:hRule="atLeast"/>
        </w:trPr>
        <w:tc>
          <w:tcPr>
            <w:tcW w:w="21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罗隆</w:t>
            </w:r>
          </w:p>
        </w:tc>
        <w:tc>
          <w:tcPr>
            <w:tcW w:w="25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中大咨询专家库</w:t>
            </w:r>
          </w:p>
        </w:tc>
        <w:tc>
          <w:tcPr>
            <w:tcW w:w="360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科技政策专家</w:t>
            </w:r>
          </w:p>
        </w:tc>
      </w:tr>
      <w:tr>
        <w:tblPrEx>
          <w:tblCellMar>
            <w:top w:w="0" w:type="dxa"/>
            <w:left w:w="108" w:type="dxa"/>
            <w:bottom w:w="0" w:type="dxa"/>
            <w:right w:w="108" w:type="dxa"/>
          </w:tblCellMar>
        </w:tblPrEx>
        <w:trPr>
          <w:trHeight w:val="567" w:hRule="atLeast"/>
        </w:trPr>
        <w:tc>
          <w:tcPr>
            <w:tcW w:w="21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胡英</w:t>
            </w:r>
          </w:p>
        </w:tc>
        <w:tc>
          <w:tcPr>
            <w:tcW w:w="25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中大咨询专家库</w:t>
            </w:r>
          </w:p>
        </w:tc>
        <w:tc>
          <w:tcPr>
            <w:tcW w:w="360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财务专家</w:t>
            </w:r>
          </w:p>
        </w:tc>
      </w:tr>
      <w:tr>
        <w:tblPrEx>
          <w:tblCellMar>
            <w:top w:w="0" w:type="dxa"/>
            <w:left w:w="108" w:type="dxa"/>
            <w:bottom w:w="0" w:type="dxa"/>
            <w:right w:w="108" w:type="dxa"/>
          </w:tblCellMar>
        </w:tblPrEx>
        <w:trPr>
          <w:trHeight w:val="567" w:hRule="atLeast"/>
        </w:trPr>
        <w:tc>
          <w:tcPr>
            <w:tcW w:w="218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颜文静</w:t>
            </w:r>
          </w:p>
        </w:tc>
        <w:tc>
          <w:tcPr>
            <w:tcW w:w="25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w:t>
            </w:r>
          </w:p>
        </w:tc>
        <w:tc>
          <w:tcPr>
            <w:tcW w:w="360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业务四部总监/项目实施总监</w:t>
            </w:r>
          </w:p>
        </w:tc>
      </w:tr>
      <w:tr>
        <w:tblPrEx>
          <w:tblCellMar>
            <w:top w:w="0" w:type="dxa"/>
            <w:left w:w="108" w:type="dxa"/>
            <w:bottom w:w="0" w:type="dxa"/>
            <w:right w:w="108" w:type="dxa"/>
          </w:tblCellMar>
        </w:tblPrEx>
        <w:trPr>
          <w:trHeight w:val="567" w:hRule="atLeast"/>
        </w:trPr>
        <w:tc>
          <w:tcPr>
            <w:tcW w:w="2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梁榕蓉</w:t>
            </w:r>
          </w:p>
        </w:tc>
        <w:tc>
          <w:tcPr>
            <w:tcW w:w="25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w:t>
            </w:r>
          </w:p>
        </w:tc>
        <w:tc>
          <w:tcPr>
            <w:tcW w:w="36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助理评审顾问/项目经理</w:t>
            </w:r>
          </w:p>
        </w:tc>
      </w:tr>
      <w:tr>
        <w:tblPrEx>
          <w:tblCellMar>
            <w:top w:w="0" w:type="dxa"/>
            <w:left w:w="108" w:type="dxa"/>
            <w:bottom w:w="0" w:type="dxa"/>
            <w:right w:w="108" w:type="dxa"/>
          </w:tblCellMar>
        </w:tblPrEx>
        <w:trPr>
          <w:trHeight w:val="567" w:hRule="atLeast"/>
        </w:trPr>
        <w:tc>
          <w:tcPr>
            <w:tcW w:w="2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许颖</w:t>
            </w:r>
          </w:p>
        </w:tc>
        <w:tc>
          <w:tcPr>
            <w:tcW w:w="25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中大咨询</w:t>
            </w:r>
          </w:p>
        </w:tc>
        <w:tc>
          <w:tcPr>
            <w:tcW w:w="360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助理评审顾问/项目成员</w:t>
            </w:r>
          </w:p>
        </w:tc>
      </w:tr>
    </w:tbl>
    <w:p>
      <w:pPr>
        <w:ind w:firstLineChars="0"/>
        <w:rPr>
          <w:rFonts w:ascii="Times New Roman" w:hAnsi="Times New Roman"/>
          <w:color w:val="000000" w:themeColor="text1"/>
          <w:szCs w:val="32"/>
          <w14:textFill>
            <w14:solidFill>
              <w14:schemeClr w14:val="tx1"/>
            </w14:solidFill>
          </w14:textFill>
        </w:rPr>
      </w:pPr>
    </w:p>
    <w:sectPr>
      <w:footnotePr>
        <w:numRestart w:val="eachPage"/>
      </w:footnotePr>
      <w:pgSz w:w="11906" w:h="16838"/>
      <w:pgMar w:top="1440" w:right="1797" w:bottom="1440" w:left="1797" w:header="851" w:footer="992" w:gutter="0"/>
      <w:pgNumType w:fmt="numberInDash"/>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Palatino Linotype"/>
    <w:panose1 w:val="02040503050406030204"/>
    <w:charset w:val="00"/>
    <w:family w:val="roman"/>
    <w:pitch w:val="default"/>
    <w:sig w:usb0="00000000" w:usb1="00000000" w:usb2="02000000" w:usb3="00000000" w:csb0="0000019F" w:csb1="00000000"/>
  </w:font>
  <w:font w:name="Calibri Light">
    <w:altName w:val="NumberOnly"/>
    <w:panose1 w:val="020F0302020204030204"/>
    <w:charset w:val="00"/>
    <w:family w:val="swiss"/>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仿宋">
    <w:altName w:val="微软雅黑"/>
    <w:panose1 w:val="02010609060101010101"/>
    <w:charset w:val="86"/>
    <w:family w:val="modern"/>
    <w:pitch w:val="default"/>
    <w:sig w:usb0="00000000" w:usb1="00000000"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360"/>
                            <w:rPr>
                              <w:rFonts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0"/>
                      <w:ind w:firstLine="360"/>
                      <w:rPr>
                        <w:rFonts w:eastAsia="仿宋_GB231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560"/>
      <w:jc w:val="right"/>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03067246"/>
                          </w:sdtPr>
                          <w:sdtEndPr>
                            <w:rPr>
                              <w:rFonts w:ascii="宋体" w:hAnsi="宋体" w:eastAsia="宋体"/>
                              <w:sz w:val="28"/>
                              <w:szCs w:val="28"/>
                            </w:rPr>
                          </w:sdtEndPr>
                          <w:sdtContent>
                            <w:p>
                              <w:pPr>
                                <w:pStyle w:val="20"/>
                                <w:ind w:firstLine="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L0O3bcsAgAAV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PQa5aFrd5Z&#10;HqGjeN6ujgECtrpGUToleq3QbW1l+smI7fznvo16+hssH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e9J/0wAAAAcBAAAPAAAAAAAAAAEAIAAAACIAAABkcnMvZG93bnJldi54bWxQSwECFAAUAAAA&#10;CACHTuJAvQ7dtywCAABVBAAADgAAAAAAAAABACAAAAAiAQAAZHJzL2Uyb0RvYy54bWxQSwUGAAAA&#10;AAYABgBZAQAAwAUAAAAA&#10;">
              <v:fill on="f" focussize="0,0"/>
              <v:stroke on="f" weight="0.5pt"/>
              <v:imagedata o:title=""/>
              <o:lock v:ext="edit" aspectratio="f"/>
              <v:textbox inset="0mm,0mm,0mm,0mm" style="mso-fit-shape-to-text:t;">
                <w:txbxContent>
                  <w:sdt>
                    <w:sdtPr>
                      <w:id w:val="-1803067246"/>
                    </w:sdtPr>
                    <w:sdtEndPr>
                      <w:rPr>
                        <w:rFonts w:ascii="宋体" w:hAnsi="宋体" w:eastAsia="宋体"/>
                        <w:sz w:val="28"/>
                        <w:szCs w:val="28"/>
                      </w:rPr>
                    </w:sdtEndPr>
                    <w:sdtContent>
                      <w:p>
                        <w:pPr>
                          <w:pStyle w:val="20"/>
                          <w:ind w:firstLine="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0"/>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560"/>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5623618"/>
                          </w:sdtPr>
                          <w:sdtEndPr>
                            <w:rPr>
                              <w:rFonts w:asciiTheme="minorEastAsia" w:hAnsiTheme="minorEastAsia"/>
                              <w:sz w:val="28"/>
                              <w:szCs w:val="28"/>
                            </w:rPr>
                          </w:sdtEndPr>
                          <w:sdtContent>
                            <w:p>
                              <w:pPr>
                                <w:pStyle w:val="20"/>
                                <w:ind w:firstLine="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2005623618"/>
                    </w:sdtPr>
                    <w:sdtEndPr>
                      <w:rPr>
                        <w:rFonts w:asciiTheme="minorEastAsia" w:hAnsiTheme="minorEastAsia"/>
                        <w:sz w:val="28"/>
                        <w:szCs w:val="28"/>
                      </w:rPr>
                    </w:sdtEndPr>
                    <w:sdtContent>
                      <w:p>
                        <w:pPr>
                          <w:pStyle w:val="20"/>
                          <w:ind w:firstLine="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4"/>
        <w:ind w:firstLine="400"/>
      </w:pPr>
      <w:r>
        <w:rPr>
          <w:sz w:val="20"/>
        </w:rPr>
        <w:footnoteRef/>
      </w:r>
      <w:r>
        <w:rPr>
          <w:sz w:val="20"/>
        </w:rPr>
        <w:t xml:space="preserve"> </w:t>
      </w:r>
      <w:r>
        <w:rPr>
          <w:rFonts w:hint="eastAsia"/>
          <w:sz w:val="20"/>
        </w:rPr>
        <w:t>得分率</w:t>
      </w:r>
      <w:r>
        <w:rPr>
          <w:sz w:val="20"/>
        </w:rPr>
        <w:t>=</w:t>
      </w:r>
      <w:r>
        <w:rPr>
          <w:rFonts w:hint="eastAsia"/>
          <w:sz w:val="20"/>
        </w:rPr>
        <w:t>实际</w:t>
      </w:r>
      <w:r>
        <w:rPr>
          <w:sz w:val="20"/>
        </w:rPr>
        <w:t>得分</w:t>
      </w:r>
      <w:r>
        <w:rPr>
          <w:rFonts w:hint="eastAsia"/>
          <w:sz w:val="20"/>
        </w:rPr>
        <w:t>/指标</w:t>
      </w:r>
      <w:r>
        <w:rPr>
          <w:sz w:val="20"/>
        </w:rPr>
        <w:t>分值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8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46"/>
    <w:rsid w:val="00000A13"/>
    <w:rsid w:val="000019FB"/>
    <w:rsid w:val="00001CB3"/>
    <w:rsid w:val="00003D2F"/>
    <w:rsid w:val="00004AD6"/>
    <w:rsid w:val="000054BB"/>
    <w:rsid w:val="00005569"/>
    <w:rsid w:val="00006F49"/>
    <w:rsid w:val="0000766E"/>
    <w:rsid w:val="00007C7A"/>
    <w:rsid w:val="00010EE2"/>
    <w:rsid w:val="00012FA1"/>
    <w:rsid w:val="00014657"/>
    <w:rsid w:val="00014E87"/>
    <w:rsid w:val="00014EF3"/>
    <w:rsid w:val="00015276"/>
    <w:rsid w:val="0001750E"/>
    <w:rsid w:val="000176E3"/>
    <w:rsid w:val="0002160B"/>
    <w:rsid w:val="00021967"/>
    <w:rsid w:val="0002283E"/>
    <w:rsid w:val="000231D0"/>
    <w:rsid w:val="000235E3"/>
    <w:rsid w:val="0002391D"/>
    <w:rsid w:val="0002435B"/>
    <w:rsid w:val="00024532"/>
    <w:rsid w:val="000246EC"/>
    <w:rsid w:val="00025D3D"/>
    <w:rsid w:val="0002639E"/>
    <w:rsid w:val="00026C7E"/>
    <w:rsid w:val="000272F8"/>
    <w:rsid w:val="00027A18"/>
    <w:rsid w:val="00030044"/>
    <w:rsid w:val="00031193"/>
    <w:rsid w:val="00031714"/>
    <w:rsid w:val="00032EC5"/>
    <w:rsid w:val="000336EC"/>
    <w:rsid w:val="00035A19"/>
    <w:rsid w:val="00036519"/>
    <w:rsid w:val="000370C3"/>
    <w:rsid w:val="00037996"/>
    <w:rsid w:val="00037A15"/>
    <w:rsid w:val="00037CEC"/>
    <w:rsid w:val="0004102E"/>
    <w:rsid w:val="000413BD"/>
    <w:rsid w:val="00041417"/>
    <w:rsid w:val="0004223A"/>
    <w:rsid w:val="00044660"/>
    <w:rsid w:val="00044BA3"/>
    <w:rsid w:val="00044CB1"/>
    <w:rsid w:val="00044E91"/>
    <w:rsid w:val="00045888"/>
    <w:rsid w:val="00045901"/>
    <w:rsid w:val="00045AC8"/>
    <w:rsid w:val="00045C00"/>
    <w:rsid w:val="00045DCC"/>
    <w:rsid w:val="00046651"/>
    <w:rsid w:val="000468BF"/>
    <w:rsid w:val="00046FD3"/>
    <w:rsid w:val="0004769D"/>
    <w:rsid w:val="00047BF4"/>
    <w:rsid w:val="00047EB5"/>
    <w:rsid w:val="00047ED1"/>
    <w:rsid w:val="00047F52"/>
    <w:rsid w:val="00050CED"/>
    <w:rsid w:val="00051714"/>
    <w:rsid w:val="00051F98"/>
    <w:rsid w:val="00052004"/>
    <w:rsid w:val="00052921"/>
    <w:rsid w:val="00052B07"/>
    <w:rsid w:val="000535D4"/>
    <w:rsid w:val="0005448D"/>
    <w:rsid w:val="000547E8"/>
    <w:rsid w:val="00054C7F"/>
    <w:rsid w:val="00054C9F"/>
    <w:rsid w:val="00055E47"/>
    <w:rsid w:val="00055EA4"/>
    <w:rsid w:val="000567CB"/>
    <w:rsid w:val="000601CE"/>
    <w:rsid w:val="0006044F"/>
    <w:rsid w:val="00060920"/>
    <w:rsid w:val="00060965"/>
    <w:rsid w:val="0006165D"/>
    <w:rsid w:val="00061A98"/>
    <w:rsid w:val="000629C3"/>
    <w:rsid w:val="00062F62"/>
    <w:rsid w:val="000641F3"/>
    <w:rsid w:val="000648F6"/>
    <w:rsid w:val="00065DA7"/>
    <w:rsid w:val="00066FBD"/>
    <w:rsid w:val="0006737B"/>
    <w:rsid w:val="00067D14"/>
    <w:rsid w:val="000701AC"/>
    <w:rsid w:val="00071005"/>
    <w:rsid w:val="00071C3C"/>
    <w:rsid w:val="00072461"/>
    <w:rsid w:val="00072630"/>
    <w:rsid w:val="00072961"/>
    <w:rsid w:val="00072A66"/>
    <w:rsid w:val="000735FB"/>
    <w:rsid w:val="00073BA2"/>
    <w:rsid w:val="00073D38"/>
    <w:rsid w:val="0007535B"/>
    <w:rsid w:val="00076200"/>
    <w:rsid w:val="0008005B"/>
    <w:rsid w:val="00080218"/>
    <w:rsid w:val="0008110F"/>
    <w:rsid w:val="0008139F"/>
    <w:rsid w:val="000817B1"/>
    <w:rsid w:val="000825C0"/>
    <w:rsid w:val="00082C08"/>
    <w:rsid w:val="00084618"/>
    <w:rsid w:val="00084B35"/>
    <w:rsid w:val="00084CBB"/>
    <w:rsid w:val="00084F02"/>
    <w:rsid w:val="00087BE7"/>
    <w:rsid w:val="00091A01"/>
    <w:rsid w:val="00091D3D"/>
    <w:rsid w:val="00091D58"/>
    <w:rsid w:val="000943F6"/>
    <w:rsid w:val="000949B9"/>
    <w:rsid w:val="00095CB8"/>
    <w:rsid w:val="0009685B"/>
    <w:rsid w:val="0009699B"/>
    <w:rsid w:val="00096F67"/>
    <w:rsid w:val="00096F94"/>
    <w:rsid w:val="000979CE"/>
    <w:rsid w:val="00097A12"/>
    <w:rsid w:val="00097A96"/>
    <w:rsid w:val="000A035B"/>
    <w:rsid w:val="000A051C"/>
    <w:rsid w:val="000A0540"/>
    <w:rsid w:val="000A0AA9"/>
    <w:rsid w:val="000A22D0"/>
    <w:rsid w:val="000A3BC3"/>
    <w:rsid w:val="000A3C70"/>
    <w:rsid w:val="000A4173"/>
    <w:rsid w:val="000A4741"/>
    <w:rsid w:val="000A4E81"/>
    <w:rsid w:val="000A5AA2"/>
    <w:rsid w:val="000A5FC2"/>
    <w:rsid w:val="000A6119"/>
    <w:rsid w:val="000A646F"/>
    <w:rsid w:val="000A6479"/>
    <w:rsid w:val="000A662C"/>
    <w:rsid w:val="000A6CA5"/>
    <w:rsid w:val="000A7762"/>
    <w:rsid w:val="000B0710"/>
    <w:rsid w:val="000B1BD5"/>
    <w:rsid w:val="000B1C20"/>
    <w:rsid w:val="000B255C"/>
    <w:rsid w:val="000B32F2"/>
    <w:rsid w:val="000B34CC"/>
    <w:rsid w:val="000B4AF0"/>
    <w:rsid w:val="000B4E6C"/>
    <w:rsid w:val="000B51AD"/>
    <w:rsid w:val="000B53D1"/>
    <w:rsid w:val="000B5F3E"/>
    <w:rsid w:val="000B6213"/>
    <w:rsid w:val="000B6245"/>
    <w:rsid w:val="000B7E71"/>
    <w:rsid w:val="000C077A"/>
    <w:rsid w:val="000C0A66"/>
    <w:rsid w:val="000C0BB4"/>
    <w:rsid w:val="000C26A6"/>
    <w:rsid w:val="000C3A41"/>
    <w:rsid w:val="000C5B47"/>
    <w:rsid w:val="000C6CE6"/>
    <w:rsid w:val="000C6F8A"/>
    <w:rsid w:val="000C7D09"/>
    <w:rsid w:val="000D07C1"/>
    <w:rsid w:val="000D0DC0"/>
    <w:rsid w:val="000D1859"/>
    <w:rsid w:val="000D27BE"/>
    <w:rsid w:val="000D2F37"/>
    <w:rsid w:val="000D3525"/>
    <w:rsid w:val="000D3CEC"/>
    <w:rsid w:val="000D47DC"/>
    <w:rsid w:val="000D4EAE"/>
    <w:rsid w:val="000D6439"/>
    <w:rsid w:val="000D67ED"/>
    <w:rsid w:val="000D68D3"/>
    <w:rsid w:val="000D6DF7"/>
    <w:rsid w:val="000D7927"/>
    <w:rsid w:val="000E072A"/>
    <w:rsid w:val="000E2288"/>
    <w:rsid w:val="000E31A2"/>
    <w:rsid w:val="000E4746"/>
    <w:rsid w:val="000E58EB"/>
    <w:rsid w:val="000E5AD9"/>
    <w:rsid w:val="000E69E6"/>
    <w:rsid w:val="000E6A30"/>
    <w:rsid w:val="000E75BC"/>
    <w:rsid w:val="000F02CC"/>
    <w:rsid w:val="000F0379"/>
    <w:rsid w:val="000F15EA"/>
    <w:rsid w:val="000F23D0"/>
    <w:rsid w:val="000F2415"/>
    <w:rsid w:val="000F2F80"/>
    <w:rsid w:val="000F352B"/>
    <w:rsid w:val="000F3AFB"/>
    <w:rsid w:val="000F3BDF"/>
    <w:rsid w:val="000F3EC4"/>
    <w:rsid w:val="000F4B6E"/>
    <w:rsid w:val="000F649E"/>
    <w:rsid w:val="000F6AC7"/>
    <w:rsid w:val="000F7A30"/>
    <w:rsid w:val="000F7D79"/>
    <w:rsid w:val="000F7F66"/>
    <w:rsid w:val="00101AAE"/>
    <w:rsid w:val="00102B2E"/>
    <w:rsid w:val="00104A2F"/>
    <w:rsid w:val="00104CE8"/>
    <w:rsid w:val="00105957"/>
    <w:rsid w:val="00105F2B"/>
    <w:rsid w:val="00106381"/>
    <w:rsid w:val="00106385"/>
    <w:rsid w:val="00106995"/>
    <w:rsid w:val="00106A48"/>
    <w:rsid w:val="0010721D"/>
    <w:rsid w:val="001074ED"/>
    <w:rsid w:val="00107C0B"/>
    <w:rsid w:val="001106D1"/>
    <w:rsid w:val="00112C28"/>
    <w:rsid w:val="0011347E"/>
    <w:rsid w:val="0011401E"/>
    <w:rsid w:val="00114249"/>
    <w:rsid w:val="00120A1F"/>
    <w:rsid w:val="00122F18"/>
    <w:rsid w:val="0012659C"/>
    <w:rsid w:val="001267D8"/>
    <w:rsid w:val="00126DD2"/>
    <w:rsid w:val="001303B1"/>
    <w:rsid w:val="00130775"/>
    <w:rsid w:val="001312B6"/>
    <w:rsid w:val="00131327"/>
    <w:rsid w:val="0013157E"/>
    <w:rsid w:val="001316A3"/>
    <w:rsid w:val="00132D50"/>
    <w:rsid w:val="001346DA"/>
    <w:rsid w:val="00134A15"/>
    <w:rsid w:val="00134F76"/>
    <w:rsid w:val="00135286"/>
    <w:rsid w:val="001353A1"/>
    <w:rsid w:val="0013578A"/>
    <w:rsid w:val="00135D33"/>
    <w:rsid w:val="00136397"/>
    <w:rsid w:val="001405BC"/>
    <w:rsid w:val="00140AEB"/>
    <w:rsid w:val="00140C57"/>
    <w:rsid w:val="001414B1"/>
    <w:rsid w:val="0014188F"/>
    <w:rsid w:val="00142DB9"/>
    <w:rsid w:val="00144010"/>
    <w:rsid w:val="001443E4"/>
    <w:rsid w:val="00145227"/>
    <w:rsid w:val="00145719"/>
    <w:rsid w:val="00145C19"/>
    <w:rsid w:val="0014678A"/>
    <w:rsid w:val="00146A19"/>
    <w:rsid w:val="00146A78"/>
    <w:rsid w:val="00146E93"/>
    <w:rsid w:val="001471E1"/>
    <w:rsid w:val="00147261"/>
    <w:rsid w:val="00147D60"/>
    <w:rsid w:val="00147EC7"/>
    <w:rsid w:val="00150FBF"/>
    <w:rsid w:val="00151141"/>
    <w:rsid w:val="0015251C"/>
    <w:rsid w:val="00153014"/>
    <w:rsid w:val="00153833"/>
    <w:rsid w:val="00154D47"/>
    <w:rsid w:val="00154DF1"/>
    <w:rsid w:val="00156F94"/>
    <w:rsid w:val="00160376"/>
    <w:rsid w:val="00160454"/>
    <w:rsid w:val="00161337"/>
    <w:rsid w:val="00161845"/>
    <w:rsid w:val="00161A18"/>
    <w:rsid w:val="0016293D"/>
    <w:rsid w:val="00162A41"/>
    <w:rsid w:val="00162C0F"/>
    <w:rsid w:val="001633A4"/>
    <w:rsid w:val="00163BD7"/>
    <w:rsid w:val="00163D25"/>
    <w:rsid w:val="00163D7E"/>
    <w:rsid w:val="00166007"/>
    <w:rsid w:val="001666F0"/>
    <w:rsid w:val="00167F1E"/>
    <w:rsid w:val="00167F7D"/>
    <w:rsid w:val="00170222"/>
    <w:rsid w:val="00170874"/>
    <w:rsid w:val="0017214B"/>
    <w:rsid w:val="00173AA9"/>
    <w:rsid w:val="00175436"/>
    <w:rsid w:val="00175F72"/>
    <w:rsid w:val="001761D6"/>
    <w:rsid w:val="001769CE"/>
    <w:rsid w:val="00176EBE"/>
    <w:rsid w:val="0017795C"/>
    <w:rsid w:val="00177EA8"/>
    <w:rsid w:val="00180091"/>
    <w:rsid w:val="0018020E"/>
    <w:rsid w:val="0018035C"/>
    <w:rsid w:val="001808E2"/>
    <w:rsid w:val="001808E8"/>
    <w:rsid w:val="00181291"/>
    <w:rsid w:val="00181D94"/>
    <w:rsid w:val="00181EE1"/>
    <w:rsid w:val="00184587"/>
    <w:rsid w:val="001845BF"/>
    <w:rsid w:val="001847BE"/>
    <w:rsid w:val="001857FC"/>
    <w:rsid w:val="00185DE0"/>
    <w:rsid w:val="001860B4"/>
    <w:rsid w:val="00186646"/>
    <w:rsid w:val="00187CEB"/>
    <w:rsid w:val="00191748"/>
    <w:rsid w:val="00191E00"/>
    <w:rsid w:val="00191E3F"/>
    <w:rsid w:val="00192568"/>
    <w:rsid w:val="00193889"/>
    <w:rsid w:val="001943EA"/>
    <w:rsid w:val="00194EFF"/>
    <w:rsid w:val="00194F72"/>
    <w:rsid w:val="001951B0"/>
    <w:rsid w:val="00195D57"/>
    <w:rsid w:val="001967B1"/>
    <w:rsid w:val="00196A00"/>
    <w:rsid w:val="00197579"/>
    <w:rsid w:val="001A0BA8"/>
    <w:rsid w:val="001A24C2"/>
    <w:rsid w:val="001A2575"/>
    <w:rsid w:val="001A2CEE"/>
    <w:rsid w:val="001A30F7"/>
    <w:rsid w:val="001A3FCD"/>
    <w:rsid w:val="001A4F40"/>
    <w:rsid w:val="001A517D"/>
    <w:rsid w:val="001A5DC0"/>
    <w:rsid w:val="001A620B"/>
    <w:rsid w:val="001A635B"/>
    <w:rsid w:val="001A6875"/>
    <w:rsid w:val="001A6A62"/>
    <w:rsid w:val="001A6C1A"/>
    <w:rsid w:val="001A6E97"/>
    <w:rsid w:val="001B0920"/>
    <w:rsid w:val="001B17D7"/>
    <w:rsid w:val="001B17DD"/>
    <w:rsid w:val="001B206A"/>
    <w:rsid w:val="001B2131"/>
    <w:rsid w:val="001B23C5"/>
    <w:rsid w:val="001B3A73"/>
    <w:rsid w:val="001B3B84"/>
    <w:rsid w:val="001B47B7"/>
    <w:rsid w:val="001B4982"/>
    <w:rsid w:val="001B4A98"/>
    <w:rsid w:val="001B4E60"/>
    <w:rsid w:val="001B53A0"/>
    <w:rsid w:val="001B5922"/>
    <w:rsid w:val="001B5F96"/>
    <w:rsid w:val="001B67C3"/>
    <w:rsid w:val="001B70CF"/>
    <w:rsid w:val="001B74D4"/>
    <w:rsid w:val="001B7550"/>
    <w:rsid w:val="001B7DB9"/>
    <w:rsid w:val="001C0341"/>
    <w:rsid w:val="001C1577"/>
    <w:rsid w:val="001C1A87"/>
    <w:rsid w:val="001C20B5"/>
    <w:rsid w:val="001C21D6"/>
    <w:rsid w:val="001C2FCB"/>
    <w:rsid w:val="001C36E5"/>
    <w:rsid w:val="001C3D05"/>
    <w:rsid w:val="001C3E72"/>
    <w:rsid w:val="001C4CD1"/>
    <w:rsid w:val="001C6B68"/>
    <w:rsid w:val="001C75E8"/>
    <w:rsid w:val="001C76D5"/>
    <w:rsid w:val="001D0D38"/>
    <w:rsid w:val="001D2C35"/>
    <w:rsid w:val="001D4107"/>
    <w:rsid w:val="001D4CF8"/>
    <w:rsid w:val="001D4D0C"/>
    <w:rsid w:val="001D5C58"/>
    <w:rsid w:val="001D5E4E"/>
    <w:rsid w:val="001D644B"/>
    <w:rsid w:val="001D6B87"/>
    <w:rsid w:val="001D7438"/>
    <w:rsid w:val="001D76F5"/>
    <w:rsid w:val="001D7AC9"/>
    <w:rsid w:val="001D7E07"/>
    <w:rsid w:val="001D7E6D"/>
    <w:rsid w:val="001D7EA1"/>
    <w:rsid w:val="001E052C"/>
    <w:rsid w:val="001E0AB0"/>
    <w:rsid w:val="001E3FCF"/>
    <w:rsid w:val="001E4955"/>
    <w:rsid w:val="001E49E5"/>
    <w:rsid w:val="001E4D16"/>
    <w:rsid w:val="001E55E3"/>
    <w:rsid w:val="001E5711"/>
    <w:rsid w:val="001E5E8B"/>
    <w:rsid w:val="001E69CD"/>
    <w:rsid w:val="001E6D08"/>
    <w:rsid w:val="001E6DC6"/>
    <w:rsid w:val="001E7253"/>
    <w:rsid w:val="001E77F3"/>
    <w:rsid w:val="001F00B1"/>
    <w:rsid w:val="001F02A7"/>
    <w:rsid w:val="001F0B9A"/>
    <w:rsid w:val="001F0F7E"/>
    <w:rsid w:val="001F2930"/>
    <w:rsid w:val="001F314F"/>
    <w:rsid w:val="001F319B"/>
    <w:rsid w:val="001F50E9"/>
    <w:rsid w:val="001F638C"/>
    <w:rsid w:val="001F7373"/>
    <w:rsid w:val="001F7D4F"/>
    <w:rsid w:val="0020018F"/>
    <w:rsid w:val="0020033D"/>
    <w:rsid w:val="00201180"/>
    <w:rsid w:val="00202180"/>
    <w:rsid w:val="00202D83"/>
    <w:rsid w:val="00203AC7"/>
    <w:rsid w:val="00203CC3"/>
    <w:rsid w:val="0020401D"/>
    <w:rsid w:val="00204024"/>
    <w:rsid w:val="00204532"/>
    <w:rsid w:val="00204586"/>
    <w:rsid w:val="00204659"/>
    <w:rsid w:val="002049DB"/>
    <w:rsid w:val="00205102"/>
    <w:rsid w:val="00205458"/>
    <w:rsid w:val="00205886"/>
    <w:rsid w:val="00206860"/>
    <w:rsid w:val="00206BE0"/>
    <w:rsid w:val="00206D80"/>
    <w:rsid w:val="00207185"/>
    <w:rsid w:val="00207C90"/>
    <w:rsid w:val="00210FFB"/>
    <w:rsid w:val="00212484"/>
    <w:rsid w:val="00212F53"/>
    <w:rsid w:val="00213CDB"/>
    <w:rsid w:val="0021469B"/>
    <w:rsid w:val="00214E4F"/>
    <w:rsid w:val="0021571A"/>
    <w:rsid w:val="00217481"/>
    <w:rsid w:val="002178B6"/>
    <w:rsid w:val="00217982"/>
    <w:rsid w:val="00217D59"/>
    <w:rsid w:val="00221960"/>
    <w:rsid w:val="00222562"/>
    <w:rsid w:val="0022339D"/>
    <w:rsid w:val="00223472"/>
    <w:rsid w:val="00223964"/>
    <w:rsid w:val="00223C59"/>
    <w:rsid w:val="00230F66"/>
    <w:rsid w:val="002310C3"/>
    <w:rsid w:val="00233887"/>
    <w:rsid w:val="002338F2"/>
    <w:rsid w:val="00233C2D"/>
    <w:rsid w:val="00234515"/>
    <w:rsid w:val="00236A4C"/>
    <w:rsid w:val="00237869"/>
    <w:rsid w:val="002404E2"/>
    <w:rsid w:val="002405EC"/>
    <w:rsid w:val="002417AD"/>
    <w:rsid w:val="00241B26"/>
    <w:rsid w:val="00241C3A"/>
    <w:rsid w:val="00241FDC"/>
    <w:rsid w:val="00242D4A"/>
    <w:rsid w:val="00243F14"/>
    <w:rsid w:val="00244507"/>
    <w:rsid w:val="002447E8"/>
    <w:rsid w:val="00244AE5"/>
    <w:rsid w:val="00244E67"/>
    <w:rsid w:val="0024566B"/>
    <w:rsid w:val="00245F99"/>
    <w:rsid w:val="00246011"/>
    <w:rsid w:val="0024617D"/>
    <w:rsid w:val="0024648D"/>
    <w:rsid w:val="002469B3"/>
    <w:rsid w:val="00246D77"/>
    <w:rsid w:val="00247039"/>
    <w:rsid w:val="002477DD"/>
    <w:rsid w:val="0025042B"/>
    <w:rsid w:val="00250460"/>
    <w:rsid w:val="00251F17"/>
    <w:rsid w:val="00252987"/>
    <w:rsid w:val="00253E06"/>
    <w:rsid w:val="00253E2E"/>
    <w:rsid w:val="00256566"/>
    <w:rsid w:val="00256A2B"/>
    <w:rsid w:val="002570F1"/>
    <w:rsid w:val="002573CC"/>
    <w:rsid w:val="002575BE"/>
    <w:rsid w:val="00257667"/>
    <w:rsid w:val="00260857"/>
    <w:rsid w:val="00260D96"/>
    <w:rsid w:val="0026171C"/>
    <w:rsid w:val="00261B82"/>
    <w:rsid w:val="00261CA3"/>
    <w:rsid w:val="00261EA4"/>
    <w:rsid w:val="00262A91"/>
    <w:rsid w:val="00262DFE"/>
    <w:rsid w:val="002635BB"/>
    <w:rsid w:val="00263983"/>
    <w:rsid w:val="00263CA7"/>
    <w:rsid w:val="0026437B"/>
    <w:rsid w:val="00264E54"/>
    <w:rsid w:val="00264E61"/>
    <w:rsid w:val="00265099"/>
    <w:rsid w:val="00265391"/>
    <w:rsid w:val="0026547B"/>
    <w:rsid w:val="002658EB"/>
    <w:rsid w:val="00265A85"/>
    <w:rsid w:val="00265FFD"/>
    <w:rsid w:val="002665C7"/>
    <w:rsid w:val="0026757C"/>
    <w:rsid w:val="00270149"/>
    <w:rsid w:val="002704D3"/>
    <w:rsid w:val="0027084A"/>
    <w:rsid w:val="00270BB2"/>
    <w:rsid w:val="00270ED0"/>
    <w:rsid w:val="002724AE"/>
    <w:rsid w:val="0027360F"/>
    <w:rsid w:val="00273A38"/>
    <w:rsid w:val="00273C4E"/>
    <w:rsid w:val="0027534E"/>
    <w:rsid w:val="00275BDD"/>
    <w:rsid w:val="00275C60"/>
    <w:rsid w:val="00276597"/>
    <w:rsid w:val="00276667"/>
    <w:rsid w:val="0027688B"/>
    <w:rsid w:val="00276B0F"/>
    <w:rsid w:val="00277FDA"/>
    <w:rsid w:val="002802DC"/>
    <w:rsid w:val="00280404"/>
    <w:rsid w:val="00280EB8"/>
    <w:rsid w:val="0028176A"/>
    <w:rsid w:val="00282431"/>
    <w:rsid w:val="0028395B"/>
    <w:rsid w:val="00283990"/>
    <w:rsid w:val="00283D3E"/>
    <w:rsid w:val="00284FCA"/>
    <w:rsid w:val="00285985"/>
    <w:rsid w:val="002901A2"/>
    <w:rsid w:val="00291E73"/>
    <w:rsid w:val="0029264D"/>
    <w:rsid w:val="00292799"/>
    <w:rsid w:val="00292B6B"/>
    <w:rsid w:val="00292B87"/>
    <w:rsid w:val="00292C89"/>
    <w:rsid w:val="00293862"/>
    <w:rsid w:val="00293F95"/>
    <w:rsid w:val="002959F5"/>
    <w:rsid w:val="00297D3B"/>
    <w:rsid w:val="002A014F"/>
    <w:rsid w:val="002A0747"/>
    <w:rsid w:val="002A107B"/>
    <w:rsid w:val="002A2554"/>
    <w:rsid w:val="002A26F0"/>
    <w:rsid w:val="002A27C6"/>
    <w:rsid w:val="002A2912"/>
    <w:rsid w:val="002A347C"/>
    <w:rsid w:val="002A4432"/>
    <w:rsid w:val="002A4477"/>
    <w:rsid w:val="002A4899"/>
    <w:rsid w:val="002A5AA4"/>
    <w:rsid w:val="002A5C4F"/>
    <w:rsid w:val="002A654E"/>
    <w:rsid w:val="002A743D"/>
    <w:rsid w:val="002A7628"/>
    <w:rsid w:val="002A76F0"/>
    <w:rsid w:val="002B0317"/>
    <w:rsid w:val="002B04F6"/>
    <w:rsid w:val="002B0771"/>
    <w:rsid w:val="002B0929"/>
    <w:rsid w:val="002B1E45"/>
    <w:rsid w:val="002B3543"/>
    <w:rsid w:val="002B3768"/>
    <w:rsid w:val="002B3F4B"/>
    <w:rsid w:val="002B4F91"/>
    <w:rsid w:val="002B4FF6"/>
    <w:rsid w:val="002B500B"/>
    <w:rsid w:val="002B5093"/>
    <w:rsid w:val="002B51D4"/>
    <w:rsid w:val="002B5DAA"/>
    <w:rsid w:val="002B65E0"/>
    <w:rsid w:val="002B7388"/>
    <w:rsid w:val="002B7755"/>
    <w:rsid w:val="002C0251"/>
    <w:rsid w:val="002C0611"/>
    <w:rsid w:val="002C110D"/>
    <w:rsid w:val="002C17A9"/>
    <w:rsid w:val="002C1EDB"/>
    <w:rsid w:val="002C231E"/>
    <w:rsid w:val="002C2D16"/>
    <w:rsid w:val="002C3367"/>
    <w:rsid w:val="002C3954"/>
    <w:rsid w:val="002C44B2"/>
    <w:rsid w:val="002D075D"/>
    <w:rsid w:val="002D130A"/>
    <w:rsid w:val="002D1898"/>
    <w:rsid w:val="002D2C56"/>
    <w:rsid w:val="002D3F2E"/>
    <w:rsid w:val="002D413F"/>
    <w:rsid w:val="002D49DD"/>
    <w:rsid w:val="002D579A"/>
    <w:rsid w:val="002D6294"/>
    <w:rsid w:val="002D6EF1"/>
    <w:rsid w:val="002D71C3"/>
    <w:rsid w:val="002D7CDE"/>
    <w:rsid w:val="002D7E32"/>
    <w:rsid w:val="002E01CE"/>
    <w:rsid w:val="002E4E2E"/>
    <w:rsid w:val="002E62F3"/>
    <w:rsid w:val="002E641F"/>
    <w:rsid w:val="002E645A"/>
    <w:rsid w:val="002E687F"/>
    <w:rsid w:val="002E7235"/>
    <w:rsid w:val="002E7853"/>
    <w:rsid w:val="002F1381"/>
    <w:rsid w:val="002F17A8"/>
    <w:rsid w:val="002F195F"/>
    <w:rsid w:val="002F1B62"/>
    <w:rsid w:val="002F30FF"/>
    <w:rsid w:val="002F35F3"/>
    <w:rsid w:val="002F3920"/>
    <w:rsid w:val="002F4964"/>
    <w:rsid w:val="002F4AE7"/>
    <w:rsid w:val="002F50C2"/>
    <w:rsid w:val="002F5E1B"/>
    <w:rsid w:val="002F73E8"/>
    <w:rsid w:val="002F746B"/>
    <w:rsid w:val="002F7B64"/>
    <w:rsid w:val="00302983"/>
    <w:rsid w:val="00302F43"/>
    <w:rsid w:val="00304128"/>
    <w:rsid w:val="00304FD8"/>
    <w:rsid w:val="00306253"/>
    <w:rsid w:val="003068D5"/>
    <w:rsid w:val="00306D4A"/>
    <w:rsid w:val="003077A1"/>
    <w:rsid w:val="003106FC"/>
    <w:rsid w:val="0031148E"/>
    <w:rsid w:val="0031162F"/>
    <w:rsid w:val="00311710"/>
    <w:rsid w:val="003119DA"/>
    <w:rsid w:val="00311BAD"/>
    <w:rsid w:val="00312AF4"/>
    <w:rsid w:val="0031312B"/>
    <w:rsid w:val="003135F5"/>
    <w:rsid w:val="00313D66"/>
    <w:rsid w:val="00313DD2"/>
    <w:rsid w:val="00314F97"/>
    <w:rsid w:val="0031517B"/>
    <w:rsid w:val="003156F3"/>
    <w:rsid w:val="00315AEA"/>
    <w:rsid w:val="00316304"/>
    <w:rsid w:val="003175F7"/>
    <w:rsid w:val="00320289"/>
    <w:rsid w:val="00320C43"/>
    <w:rsid w:val="00320DEF"/>
    <w:rsid w:val="003214D8"/>
    <w:rsid w:val="00321937"/>
    <w:rsid w:val="00321D3A"/>
    <w:rsid w:val="00322F07"/>
    <w:rsid w:val="00323C24"/>
    <w:rsid w:val="00323E47"/>
    <w:rsid w:val="003244FB"/>
    <w:rsid w:val="00324DCB"/>
    <w:rsid w:val="00325B75"/>
    <w:rsid w:val="00325C6C"/>
    <w:rsid w:val="00326A11"/>
    <w:rsid w:val="00326AFD"/>
    <w:rsid w:val="00327183"/>
    <w:rsid w:val="003308C2"/>
    <w:rsid w:val="00331063"/>
    <w:rsid w:val="0033156D"/>
    <w:rsid w:val="003317E2"/>
    <w:rsid w:val="00331D28"/>
    <w:rsid w:val="00331DBB"/>
    <w:rsid w:val="003331A0"/>
    <w:rsid w:val="00335F28"/>
    <w:rsid w:val="0033676C"/>
    <w:rsid w:val="00337024"/>
    <w:rsid w:val="003404E9"/>
    <w:rsid w:val="0034121E"/>
    <w:rsid w:val="003412B8"/>
    <w:rsid w:val="00341696"/>
    <w:rsid w:val="00342C40"/>
    <w:rsid w:val="0034366E"/>
    <w:rsid w:val="003455FC"/>
    <w:rsid w:val="0034582F"/>
    <w:rsid w:val="00347E4A"/>
    <w:rsid w:val="00350369"/>
    <w:rsid w:val="00350796"/>
    <w:rsid w:val="0035214A"/>
    <w:rsid w:val="003532CD"/>
    <w:rsid w:val="00353637"/>
    <w:rsid w:val="00353B8A"/>
    <w:rsid w:val="00353C7F"/>
    <w:rsid w:val="00353D84"/>
    <w:rsid w:val="0035464F"/>
    <w:rsid w:val="00354DA2"/>
    <w:rsid w:val="00354DE1"/>
    <w:rsid w:val="00357DB7"/>
    <w:rsid w:val="00357EB2"/>
    <w:rsid w:val="00360696"/>
    <w:rsid w:val="00360C98"/>
    <w:rsid w:val="00360EC6"/>
    <w:rsid w:val="00361FA3"/>
    <w:rsid w:val="003641F2"/>
    <w:rsid w:val="003646EF"/>
    <w:rsid w:val="00364ADF"/>
    <w:rsid w:val="00366866"/>
    <w:rsid w:val="00370B25"/>
    <w:rsid w:val="00371DFD"/>
    <w:rsid w:val="0037208D"/>
    <w:rsid w:val="0037376E"/>
    <w:rsid w:val="00373EFB"/>
    <w:rsid w:val="0037503F"/>
    <w:rsid w:val="00375328"/>
    <w:rsid w:val="0037578C"/>
    <w:rsid w:val="00375AB7"/>
    <w:rsid w:val="003760EF"/>
    <w:rsid w:val="00376971"/>
    <w:rsid w:val="0038050B"/>
    <w:rsid w:val="00380F2A"/>
    <w:rsid w:val="00382D4D"/>
    <w:rsid w:val="00384976"/>
    <w:rsid w:val="003856B8"/>
    <w:rsid w:val="00387F6D"/>
    <w:rsid w:val="00390EB8"/>
    <w:rsid w:val="0039176A"/>
    <w:rsid w:val="00391A55"/>
    <w:rsid w:val="003928B5"/>
    <w:rsid w:val="00392901"/>
    <w:rsid w:val="003929C7"/>
    <w:rsid w:val="00392B8B"/>
    <w:rsid w:val="00393306"/>
    <w:rsid w:val="00393F85"/>
    <w:rsid w:val="00394708"/>
    <w:rsid w:val="003948C3"/>
    <w:rsid w:val="00394DE3"/>
    <w:rsid w:val="00395BFD"/>
    <w:rsid w:val="00396769"/>
    <w:rsid w:val="003A033A"/>
    <w:rsid w:val="003A0A91"/>
    <w:rsid w:val="003A1447"/>
    <w:rsid w:val="003A1B71"/>
    <w:rsid w:val="003A259A"/>
    <w:rsid w:val="003A27AB"/>
    <w:rsid w:val="003A357F"/>
    <w:rsid w:val="003A3820"/>
    <w:rsid w:val="003A4215"/>
    <w:rsid w:val="003A439C"/>
    <w:rsid w:val="003A4A64"/>
    <w:rsid w:val="003A4B33"/>
    <w:rsid w:val="003A4E9F"/>
    <w:rsid w:val="003A6249"/>
    <w:rsid w:val="003B15AE"/>
    <w:rsid w:val="003B1864"/>
    <w:rsid w:val="003B2505"/>
    <w:rsid w:val="003B30D9"/>
    <w:rsid w:val="003B3371"/>
    <w:rsid w:val="003B433D"/>
    <w:rsid w:val="003B4385"/>
    <w:rsid w:val="003B48E8"/>
    <w:rsid w:val="003C0322"/>
    <w:rsid w:val="003C035E"/>
    <w:rsid w:val="003C2054"/>
    <w:rsid w:val="003C21F4"/>
    <w:rsid w:val="003C258F"/>
    <w:rsid w:val="003C265E"/>
    <w:rsid w:val="003C317A"/>
    <w:rsid w:val="003C38E9"/>
    <w:rsid w:val="003C41DF"/>
    <w:rsid w:val="003C47DE"/>
    <w:rsid w:val="003C4F40"/>
    <w:rsid w:val="003C60B3"/>
    <w:rsid w:val="003C6B11"/>
    <w:rsid w:val="003C7C20"/>
    <w:rsid w:val="003C7CD4"/>
    <w:rsid w:val="003C7EF1"/>
    <w:rsid w:val="003D01FB"/>
    <w:rsid w:val="003D2026"/>
    <w:rsid w:val="003D205D"/>
    <w:rsid w:val="003D2BFE"/>
    <w:rsid w:val="003D31B9"/>
    <w:rsid w:val="003D35BD"/>
    <w:rsid w:val="003D4DFE"/>
    <w:rsid w:val="003D5E6B"/>
    <w:rsid w:val="003D7091"/>
    <w:rsid w:val="003E01F0"/>
    <w:rsid w:val="003E0795"/>
    <w:rsid w:val="003E160F"/>
    <w:rsid w:val="003E28F4"/>
    <w:rsid w:val="003E2CA7"/>
    <w:rsid w:val="003E4868"/>
    <w:rsid w:val="003E4DB8"/>
    <w:rsid w:val="003E50CE"/>
    <w:rsid w:val="003E5AEA"/>
    <w:rsid w:val="003E5E02"/>
    <w:rsid w:val="003E75FE"/>
    <w:rsid w:val="003E7A90"/>
    <w:rsid w:val="003E7B59"/>
    <w:rsid w:val="003F033B"/>
    <w:rsid w:val="003F0628"/>
    <w:rsid w:val="003F16C1"/>
    <w:rsid w:val="003F19D2"/>
    <w:rsid w:val="003F305C"/>
    <w:rsid w:val="003F3590"/>
    <w:rsid w:val="003F572A"/>
    <w:rsid w:val="003F6470"/>
    <w:rsid w:val="003F7E52"/>
    <w:rsid w:val="004000C9"/>
    <w:rsid w:val="004008C1"/>
    <w:rsid w:val="00401014"/>
    <w:rsid w:val="00402C0C"/>
    <w:rsid w:val="00403004"/>
    <w:rsid w:val="0040303A"/>
    <w:rsid w:val="0040313F"/>
    <w:rsid w:val="004044AA"/>
    <w:rsid w:val="00404FFA"/>
    <w:rsid w:val="00407F01"/>
    <w:rsid w:val="004101A4"/>
    <w:rsid w:val="00410C28"/>
    <w:rsid w:val="0041189E"/>
    <w:rsid w:val="004118A7"/>
    <w:rsid w:val="00411974"/>
    <w:rsid w:val="004127EC"/>
    <w:rsid w:val="0041472C"/>
    <w:rsid w:val="00414862"/>
    <w:rsid w:val="004157F6"/>
    <w:rsid w:val="00415C0C"/>
    <w:rsid w:val="00415F7E"/>
    <w:rsid w:val="00416997"/>
    <w:rsid w:val="00417344"/>
    <w:rsid w:val="00420036"/>
    <w:rsid w:val="00420598"/>
    <w:rsid w:val="004205C3"/>
    <w:rsid w:val="0042114B"/>
    <w:rsid w:val="004226EF"/>
    <w:rsid w:val="00422D4C"/>
    <w:rsid w:val="0042377C"/>
    <w:rsid w:val="004242FC"/>
    <w:rsid w:val="00424746"/>
    <w:rsid w:val="00425635"/>
    <w:rsid w:val="00425D44"/>
    <w:rsid w:val="00426784"/>
    <w:rsid w:val="00426A2F"/>
    <w:rsid w:val="00426DE8"/>
    <w:rsid w:val="00427469"/>
    <w:rsid w:val="00427707"/>
    <w:rsid w:val="00430BB2"/>
    <w:rsid w:val="00431804"/>
    <w:rsid w:val="00433C22"/>
    <w:rsid w:val="004357D2"/>
    <w:rsid w:val="00435C17"/>
    <w:rsid w:val="00435F74"/>
    <w:rsid w:val="0043660E"/>
    <w:rsid w:val="00437385"/>
    <w:rsid w:val="0043777F"/>
    <w:rsid w:val="0043795C"/>
    <w:rsid w:val="0044000F"/>
    <w:rsid w:val="00443622"/>
    <w:rsid w:val="00444088"/>
    <w:rsid w:val="00444EAB"/>
    <w:rsid w:val="00445956"/>
    <w:rsid w:val="00445B00"/>
    <w:rsid w:val="00446FF6"/>
    <w:rsid w:val="0044751A"/>
    <w:rsid w:val="00447529"/>
    <w:rsid w:val="00447828"/>
    <w:rsid w:val="0045010F"/>
    <w:rsid w:val="00450FB6"/>
    <w:rsid w:val="00451AE7"/>
    <w:rsid w:val="00452078"/>
    <w:rsid w:val="00454A96"/>
    <w:rsid w:val="00454DC1"/>
    <w:rsid w:val="00454E93"/>
    <w:rsid w:val="004559EA"/>
    <w:rsid w:val="004562DB"/>
    <w:rsid w:val="00456649"/>
    <w:rsid w:val="00457135"/>
    <w:rsid w:val="004572F9"/>
    <w:rsid w:val="0045779A"/>
    <w:rsid w:val="00460E76"/>
    <w:rsid w:val="0046149A"/>
    <w:rsid w:val="00463236"/>
    <w:rsid w:val="00463715"/>
    <w:rsid w:val="00463863"/>
    <w:rsid w:val="00463AE2"/>
    <w:rsid w:val="00464BC9"/>
    <w:rsid w:val="00466D6A"/>
    <w:rsid w:val="00467C8E"/>
    <w:rsid w:val="00467F26"/>
    <w:rsid w:val="0047026D"/>
    <w:rsid w:val="00470BC8"/>
    <w:rsid w:val="00470F39"/>
    <w:rsid w:val="00470F81"/>
    <w:rsid w:val="004718DC"/>
    <w:rsid w:val="004720A7"/>
    <w:rsid w:val="00472709"/>
    <w:rsid w:val="004728F1"/>
    <w:rsid w:val="00472CA3"/>
    <w:rsid w:val="00472E2C"/>
    <w:rsid w:val="00474D87"/>
    <w:rsid w:val="004757CC"/>
    <w:rsid w:val="00475E65"/>
    <w:rsid w:val="004765D5"/>
    <w:rsid w:val="004765D6"/>
    <w:rsid w:val="00476DD4"/>
    <w:rsid w:val="00476E65"/>
    <w:rsid w:val="00477A4B"/>
    <w:rsid w:val="00480A16"/>
    <w:rsid w:val="00480C7E"/>
    <w:rsid w:val="00480D8B"/>
    <w:rsid w:val="0048196A"/>
    <w:rsid w:val="00481F8F"/>
    <w:rsid w:val="004823DC"/>
    <w:rsid w:val="004823ED"/>
    <w:rsid w:val="00482636"/>
    <w:rsid w:val="00482F8B"/>
    <w:rsid w:val="0048493C"/>
    <w:rsid w:val="00484FFB"/>
    <w:rsid w:val="00485343"/>
    <w:rsid w:val="0048559C"/>
    <w:rsid w:val="00485D63"/>
    <w:rsid w:val="00486772"/>
    <w:rsid w:val="00486875"/>
    <w:rsid w:val="0048709F"/>
    <w:rsid w:val="00487D12"/>
    <w:rsid w:val="00490286"/>
    <w:rsid w:val="00490EF1"/>
    <w:rsid w:val="00490EFD"/>
    <w:rsid w:val="004920D0"/>
    <w:rsid w:val="0049237D"/>
    <w:rsid w:val="004934CB"/>
    <w:rsid w:val="00494195"/>
    <w:rsid w:val="00494503"/>
    <w:rsid w:val="00495E3C"/>
    <w:rsid w:val="00496442"/>
    <w:rsid w:val="004964AE"/>
    <w:rsid w:val="00496893"/>
    <w:rsid w:val="0049691E"/>
    <w:rsid w:val="00496AE4"/>
    <w:rsid w:val="00496BC8"/>
    <w:rsid w:val="00496D53"/>
    <w:rsid w:val="00497199"/>
    <w:rsid w:val="004A12EE"/>
    <w:rsid w:val="004A13CC"/>
    <w:rsid w:val="004A1CC4"/>
    <w:rsid w:val="004A1DB3"/>
    <w:rsid w:val="004A25E1"/>
    <w:rsid w:val="004A2742"/>
    <w:rsid w:val="004A2C8A"/>
    <w:rsid w:val="004A2F9F"/>
    <w:rsid w:val="004A3A2E"/>
    <w:rsid w:val="004A53F5"/>
    <w:rsid w:val="004A5BF3"/>
    <w:rsid w:val="004A5F3D"/>
    <w:rsid w:val="004A6758"/>
    <w:rsid w:val="004A7F3E"/>
    <w:rsid w:val="004B00DF"/>
    <w:rsid w:val="004B1F21"/>
    <w:rsid w:val="004B2143"/>
    <w:rsid w:val="004B21A0"/>
    <w:rsid w:val="004B23F0"/>
    <w:rsid w:val="004B29B0"/>
    <w:rsid w:val="004B3C56"/>
    <w:rsid w:val="004B5038"/>
    <w:rsid w:val="004B636A"/>
    <w:rsid w:val="004B6B42"/>
    <w:rsid w:val="004B77FF"/>
    <w:rsid w:val="004C1280"/>
    <w:rsid w:val="004C1A1E"/>
    <w:rsid w:val="004C1BD7"/>
    <w:rsid w:val="004C387B"/>
    <w:rsid w:val="004C3AFA"/>
    <w:rsid w:val="004C41E2"/>
    <w:rsid w:val="004C490B"/>
    <w:rsid w:val="004C5C32"/>
    <w:rsid w:val="004C6223"/>
    <w:rsid w:val="004C68A7"/>
    <w:rsid w:val="004C7A9A"/>
    <w:rsid w:val="004D0EC1"/>
    <w:rsid w:val="004D13F5"/>
    <w:rsid w:val="004D29F4"/>
    <w:rsid w:val="004D30B7"/>
    <w:rsid w:val="004D35A8"/>
    <w:rsid w:val="004D3781"/>
    <w:rsid w:val="004D3D4E"/>
    <w:rsid w:val="004D3D7B"/>
    <w:rsid w:val="004D424C"/>
    <w:rsid w:val="004D4ECF"/>
    <w:rsid w:val="004D4F5E"/>
    <w:rsid w:val="004D61C3"/>
    <w:rsid w:val="004D61EA"/>
    <w:rsid w:val="004D7065"/>
    <w:rsid w:val="004D7A99"/>
    <w:rsid w:val="004E146D"/>
    <w:rsid w:val="004E16CD"/>
    <w:rsid w:val="004E1DAB"/>
    <w:rsid w:val="004E2D55"/>
    <w:rsid w:val="004E3771"/>
    <w:rsid w:val="004E38EE"/>
    <w:rsid w:val="004E4F1C"/>
    <w:rsid w:val="004E5016"/>
    <w:rsid w:val="004E5A2D"/>
    <w:rsid w:val="004E5B40"/>
    <w:rsid w:val="004E5B4A"/>
    <w:rsid w:val="004E5C46"/>
    <w:rsid w:val="004E6983"/>
    <w:rsid w:val="004E69D2"/>
    <w:rsid w:val="004E7C6F"/>
    <w:rsid w:val="004F0E0F"/>
    <w:rsid w:val="004F1F10"/>
    <w:rsid w:val="004F1F5A"/>
    <w:rsid w:val="004F26DC"/>
    <w:rsid w:val="004F3230"/>
    <w:rsid w:val="004F34AD"/>
    <w:rsid w:val="004F35AE"/>
    <w:rsid w:val="004F4677"/>
    <w:rsid w:val="004F48E6"/>
    <w:rsid w:val="004F52BC"/>
    <w:rsid w:val="004F55CB"/>
    <w:rsid w:val="004F65E3"/>
    <w:rsid w:val="004F7FEF"/>
    <w:rsid w:val="00500314"/>
    <w:rsid w:val="0050231B"/>
    <w:rsid w:val="005029FD"/>
    <w:rsid w:val="00502BD8"/>
    <w:rsid w:val="00503350"/>
    <w:rsid w:val="005044DB"/>
    <w:rsid w:val="00504EFD"/>
    <w:rsid w:val="0050552B"/>
    <w:rsid w:val="00505708"/>
    <w:rsid w:val="00505A53"/>
    <w:rsid w:val="00506A40"/>
    <w:rsid w:val="00507632"/>
    <w:rsid w:val="005111F2"/>
    <w:rsid w:val="00511617"/>
    <w:rsid w:val="005117C6"/>
    <w:rsid w:val="005117F1"/>
    <w:rsid w:val="00511E11"/>
    <w:rsid w:val="005130AC"/>
    <w:rsid w:val="00514243"/>
    <w:rsid w:val="00515811"/>
    <w:rsid w:val="005159DA"/>
    <w:rsid w:val="00515A07"/>
    <w:rsid w:val="00515C1D"/>
    <w:rsid w:val="005168F9"/>
    <w:rsid w:val="005200D8"/>
    <w:rsid w:val="00520C0A"/>
    <w:rsid w:val="005215DC"/>
    <w:rsid w:val="00521BA1"/>
    <w:rsid w:val="0052204F"/>
    <w:rsid w:val="0052473A"/>
    <w:rsid w:val="005249B3"/>
    <w:rsid w:val="0052545A"/>
    <w:rsid w:val="00525855"/>
    <w:rsid w:val="0052610D"/>
    <w:rsid w:val="00526406"/>
    <w:rsid w:val="00527EEA"/>
    <w:rsid w:val="005314B8"/>
    <w:rsid w:val="005324DD"/>
    <w:rsid w:val="00532E55"/>
    <w:rsid w:val="00532E62"/>
    <w:rsid w:val="005340B9"/>
    <w:rsid w:val="00535F1B"/>
    <w:rsid w:val="0053754C"/>
    <w:rsid w:val="00537A82"/>
    <w:rsid w:val="0054014A"/>
    <w:rsid w:val="00540C3E"/>
    <w:rsid w:val="005414A6"/>
    <w:rsid w:val="005426EC"/>
    <w:rsid w:val="0054292E"/>
    <w:rsid w:val="00544CC9"/>
    <w:rsid w:val="00544E81"/>
    <w:rsid w:val="00544F1F"/>
    <w:rsid w:val="0054527A"/>
    <w:rsid w:val="00545445"/>
    <w:rsid w:val="0054568D"/>
    <w:rsid w:val="0054571C"/>
    <w:rsid w:val="00547E7F"/>
    <w:rsid w:val="00547F7D"/>
    <w:rsid w:val="00550350"/>
    <w:rsid w:val="00550459"/>
    <w:rsid w:val="005509E4"/>
    <w:rsid w:val="005520A2"/>
    <w:rsid w:val="00552163"/>
    <w:rsid w:val="005523C8"/>
    <w:rsid w:val="0055297E"/>
    <w:rsid w:val="00554C2C"/>
    <w:rsid w:val="00554DB1"/>
    <w:rsid w:val="00555554"/>
    <w:rsid w:val="005556D9"/>
    <w:rsid w:val="00555FF7"/>
    <w:rsid w:val="005603A6"/>
    <w:rsid w:val="0056091D"/>
    <w:rsid w:val="00560AF1"/>
    <w:rsid w:val="00560C55"/>
    <w:rsid w:val="00562198"/>
    <w:rsid w:val="00562895"/>
    <w:rsid w:val="00562DB4"/>
    <w:rsid w:val="00564CBB"/>
    <w:rsid w:val="00565D4A"/>
    <w:rsid w:val="00566B8B"/>
    <w:rsid w:val="00566E20"/>
    <w:rsid w:val="00567E1F"/>
    <w:rsid w:val="005703A3"/>
    <w:rsid w:val="00570D0E"/>
    <w:rsid w:val="0057128A"/>
    <w:rsid w:val="00571A97"/>
    <w:rsid w:val="00572B62"/>
    <w:rsid w:val="00572E94"/>
    <w:rsid w:val="0057326A"/>
    <w:rsid w:val="00573302"/>
    <w:rsid w:val="0057384F"/>
    <w:rsid w:val="005754AF"/>
    <w:rsid w:val="00576875"/>
    <w:rsid w:val="00577537"/>
    <w:rsid w:val="00577608"/>
    <w:rsid w:val="00580879"/>
    <w:rsid w:val="00580F27"/>
    <w:rsid w:val="005819F3"/>
    <w:rsid w:val="00581ED8"/>
    <w:rsid w:val="0058484F"/>
    <w:rsid w:val="00584EC7"/>
    <w:rsid w:val="00585395"/>
    <w:rsid w:val="005856D8"/>
    <w:rsid w:val="00585CC3"/>
    <w:rsid w:val="00586350"/>
    <w:rsid w:val="00586515"/>
    <w:rsid w:val="005866F4"/>
    <w:rsid w:val="00587725"/>
    <w:rsid w:val="005877F0"/>
    <w:rsid w:val="0058782B"/>
    <w:rsid w:val="0059097D"/>
    <w:rsid w:val="00590BA4"/>
    <w:rsid w:val="005913E5"/>
    <w:rsid w:val="00593710"/>
    <w:rsid w:val="005949B5"/>
    <w:rsid w:val="00594DE3"/>
    <w:rsid w:val="00595B55"/>
    <w:rsid w:val="005977BB"/>
    <w:rsid w:val="00597EA1"/>
    <w:rsid w:val="005A0520"/>
    <w:rsid w:val="005A1C8A"/>
    <w:rsid w:val="005A1CFD"/>
    <w:rsid w:val="005A245F"/>
    <w:rsid w:val="005A2AB3"/>
    <w:rsid w:val="005A2FE7"/>
    <w:rsid w:val="005A3D1A"/>
    <w:rsid w:val="005A3FB9"/>
    <w:rsid w:val="005A4A15"/>
    <w:rsid w:val="005A4C7C"/>
    <w:rsid w:val="005A5429"/>
    <w:rsid w:val="005A5518"/>
    <w:rsid w:val="005A646F"/>
    <w:rsid w:val="005A77E9"/>
    <w:rsid w:val="005A7C24"/>
    <w:rsid w:val="005A7ECD"/>
    <w:rsid w:val="005B016A"/>
    <w:rsid w:val="005B0563"/>
    <w:rsid w:val="005B112C"/>
    <w:rsid w:val="005B140F"/>
    <w:rsid w:val="005B268B"/>
    <w:rsid w:val="005B3020"/>
    <w:rsid w:val="005B33C5"/>
    <w:rsid w:val="005B3FCD"/>
    <w:rsid w:val="005B46BF"/>
    <w:rsid w:val="005B4C4A"/>
    <w:rsid w:val="005B4D56"/>
    <w:rsid w:val="005B5FA6"/>
    <w:rsid w:val="005B668E"/>
    <w:rsid w:val="005B70F1"/>
    <w:rsid w:val="005B7C27"/>
    <w:rsid w:val="005C0C8B"/>
    <w:rsid w:val="005C0C96"/>
    <w:rsid w:val="005C2E5B"/>
    <w:rsid w:val="005C3A73"/>
    <w:rsid w:val="005C3A9C"/>
    <w:rsid w:val="005C4609"/>
    <w:rsid w:val="005C5654"/>
    <w:rsid w:val="005C5DF3"/>
    <w:rsid w:val="005C673D"/>
    <w:rsid w:val="005C6F72"/>
    <w:rsid w:val="005C749F"/>
    <w:rsid w:val="005D01B1"/>
    <w:rsid w:val="005D0CED"/>
    <w:rsid w:val="005D2F7B"/>
    <w:rsid w:val="005D3382"/>
    <w:rsid w:val="005D3566"/>
    <w:rsid w:val="005D358C"/>
    <w:rsid w:val="005D35A4"/>
    <w:rsid w:val="005D39A8"/>
    <w:rsid w:val="005D49DC"/>
    <w:rsid w:val="005D52B0"/>
    <w:rsid w:val="005D574D"/>
    <w:rsid w:val="005D6B26"/>
    <w:rsid w:val="005D70F6"/>
    <w:rsid w:val="005D7156"/>
    <w:rsid w:val="005E3090"/>
    <w:rsid w:val="005E3742"/>
    <w:rsid w:val="005E38FA"/>
    <w:rsid w:val="005E50C2"/>
    <w:rsid w:val="005E526E"/>
    <w:rsid w:val="005E7909"/>
    <w:rsid w:val="005F0FD8"/>
    <w:rsid w:val="005F16C1"/>
    <w:rsid w:val="005F2253"/>
    <w:rsid w:val="005F268B"/>
    <w:rsid w:val="005F3092"/>
    <w:rsid w:val="005F3D34"/>
    <w:rsid w:val="005F5353"/>
    <w:rsid w:val="005F5485"/>
    <w:rsid w:val="005F6CC3"/>
    <w:rsid w:val="005F7089"/>
    <w:rsid w:val="005F7E18"/>
    <w:rsid w:val="00600413"/>
    <w:rsid w:val="00600979"/>
    <w:rsid w:val="00600E2D"/>
    <w:rsid w:val="00601C82"/>
    <w:rsid w:val="00602FE1"/>
    <w:rsid w:val="00603165"/>
    <w:rsid w:val="00604E84"/>
    <w:rsid w:val="00605E8B"/>
    <w:rsid w:val="00606502"/>
    <w:rsid w:val="0060658E"/>
    <w:rsid w:val="0060664B"/>
    <w:rsid w:val="00607087"/>
    <w:rsid w:val="00607ACC"/>
    <w:rsid w:val="00607C2B"/>
    <w:rsid w:val="006102D6"/>
    <w:rsid w:val="00610789"/>
    <w:rsid w:val="00611377"/>
    <w:rsid w:val="00611B92"/>
    <w:rsid w:val="00612687"/>
    <w:rsid w:val="00612757"/>
    <w:rsid w:val="00612A9B"/>
    <w:rsid w:val="00612D7E"/>
    <w:rsid w:val="0061320C"/>
    <w:rsid w:val="00613930"/>
    <w:rsid w:val="00613B05"/>
    <w:rsid w:val="006154E4"/>
    <w:rsid w:val="00616F97"/>
    <w:rsid w:val="006176D2"/>
    <w:rsid w:val="0061782D"/>
    <w:rsid w:val="006178C1"/>
    <w:rsid w:val="00617D7A"/>
    <w:rsid w:val="00617F74"/>
    <w:rsid w:val="00620657"/>
    <w:rsid w:val="00620660"/>
    <w:rsid w:val="006218FA"/>
    <w:rsid w:val="00621E64"/>
    <w:rsid w:val="00622788"/>
    <w:rsid w:val="006228AC"/>
    <w:rsid w:val="00624F64"/>
    <w:rsid w:val="006251E9"/>
    <w:rsid w:val="00625ACE"/>
    <w:rsid w:val="00625C34"/>
    <w:rsid w:val="00625D65"/>
    <w:rsid w:val="006267BD"/>
    <w:rsid w:val="00626965"/>
    <w:rsid w:val="006273D4"/>
    <w:rsid w:val="006276F0"/>
    <w:rsid w:val="006318D9"/>
    <w:rsid w:val="00632EFF"/>
    <w:rsid w:val="006332E3"/>
    <w:rsid w:val="00633313"/>
    <w:rsid w:val="00633C86"/>
    <w:rsid w:val="006340E0"/>
    <w:rsid w:val="006340E1"/>
    <w:rsid w:val="00634EAB"/>
    <w:rsid w:val="006354CC"/>
    <w:rsid w:val="0063565E"/>
    <w:rsid w:val="0063578D"/>
    <w:rsid w:val="006360E0"/>
    <w:rsid w:val="0063672D"/>
    <w:rsid w:val="00636B6C"/>
    <w:rsid w:val="006376E9"/>
    <w:rsid w:val="00637BE8"/>
    <w:rsid w:val="00637F7D"/>
    <w:rsid w:val="006401AD"/>
    <w:rsid w:val="00640342"/>
    <w:rsid w:val="00640FBE"/>
    <w:rsid w:val="00642733"/>
    <w:rsid w:val="00643B2F"/>
    <w:rsid w:val="00644278"/>
    <w:rsid w:val="00644626"/>
    <w:rsid w:val="00645074"/>
    <w:rsid w:val="006450A4"/>
    <w:rsid w:val="00645FF1"/>
    <w:rsid w:val="00646974"/>
    <w:rsid w:val="00646A59"/>
    <w:rsid w:val="00646D6D"/>
    <w:rsid w:val="006475C1"/>
    <w:rsid w:val="006476E0"/>
    <w:rsid w:val="006504E4"/>
    <w:rsid w:val="006520ED"/>
    <w:rsid w:val="00652217"/>
    <w:rsid w:val="00652628"/>
    <w:rsid w:val="006529C5"/>
    <w:rsid w:val="00652FAC"/>
    <w:rsid w:val="006530A0"/>
    <w:rsid w:val="00653E90"/>
    <w:rsid w:val="00654724"/>
    <w:rsid w:val="00655902"/>
    <w:rsid w:val="00655EE0"/>
    <w:rsid w:val="006564FE"/>
    <w:rsid w:val="006568CC"/>
    <w:rsid w:val="00657D2D"/>
    <w:rsid w:val="0066034D"/>
    <w:rsid w:val="00660506"/>
    <w:rsid w:val="00660592"/>
    <w:rsid w:val="00660642"/>
    <w:rsid w:val="00660713"/>
    <w:rsid w:val="0066087A"/>
    <w:rsid w:val="00661788"/>
    <w:rsid w:val="00661FF6"/>
    <w:rsid w:val="00663850"/>
    <w:rsid w:val="00664645"/>
    <w:rsid w:val="00664D37"/>
    <w:rsid w:val="00665AEF"/>
    <w:rsid w:val="00665E99"/>
    <w:rsid w:val="00666A95"/>
    <w:rsid w:val="006678B4"/>
    <w:rsid w:val="006704CF"/>
    <w:rsid w:val="0067098A"/>
    <w:rsid w:val="00670A27"/>
    <w:rsid w:val="00670FBC"/>
    <w:rsid w:val="00671904"/>
    <w:rsid w:val="0067214E"/>
    <w:rsid w:val="0067234F"/>
    <w:rsid w:val="00672865"/>
    <w:rsid w:val="00673926"/>
    <w:rsid w:val="00674715"/>
    <w:rsid w:val="00675D18"/>
    <w:rsid w:val="00675F08"/>
    <w:rsid w:val="00676686"/>
    <w:rsid w:val="00676B87"/>
    <w:rsid w:val="0067766A"/>
    <w:rsid w:val="00677CB3"/>
    <w:rsid w:val="00680209"/>
    <w:rsid w:val="00680D3F"/>
    <w:rsid w:val="0068178D"/>
    <w:rsid w:val="0068186D"/>
    <w:rsid w:val="00681E46"/>
    <w:rsid w:val="00681EFA"/>
    <w:rsid w:val="00682873"/>
    <w:rsid w:val="0068387B"/>
    <w:rsid w:val="0068447D"/>
    <w:rsid w:val="00684F9F"/>
    <w:rsid w:val="0068531E"/>
    <w:rsid w:val="00685C10"/>
    <w:rsid w:val="00687B50"/>
    <w:rsid w:val="00690046"/>
    <w:rsid w:val="00690358"/>
    <w:rsid w:val="00690516"/>
    <w:rsid w:val="00690D5B"/>
    <w:rsid w:val="00690D85"/>
    <w:rsid w:val="00690FDA"/>
    <w:rsid w:val="00691B45"/>
    <w:rsid w:val="00691BFB"/>
    <w:rsid w:val="00693059"/>
    <w:rsid w:val="00693AB3"/>
    <w:rsid w:val="00694B40"/>
    <w:rsid w:val="00694BFC"/>
    <w:rsid w:val="00694F31"/>
    <w:rsid w:val="006955CF"/>
    <w:rsid w:val="00697F99"/>
    <w:rsid w:val="00697FF7"/>
    <w:rsid w:val="006A009D"/>
    <w:rsid w:val="006A08A0"/>
    <w:rsid w:val="006A0F85"/>
    <w:rsid w:val="006A23E1"/>
    <w:rsid w:val="006A26FD"/>
    <w:rsid w:val="006A27F6"/>
    <w:rsid w:val="006A29FA"/>
    <w:rsid w:val="006A2DB1"/>
    <w:rsid w:val="006A4275"/>
    <w:rsid w:val="006A4423"/>
    <w:rsid w:val="006A5415"/>
    <w:rsid w:val="006A6BA7"/>
    <w:rsid w:val="006A6D84"/>
    <w:rsid w:val="006A7509"/>
    <w:rsid w:val="006A7A36"/>
    <w:rsid w:val="006A7B82"/>
    <w:rsid w:val="006B0C6D"/>
    <w:rsid w:val="006B1305"/>
    <w:rsid w:val="006B1B98"/>
    <w:rsid w:val="006B1D68"/>
    <w:rsid w:val="006B22F0"/>
    <w:rsid w:val="006B3428"/>
    <w:rsid w:val="006B355C"/>
    <w:rsid w:val="006B52D1"/>
    <w:rsid w:val="006B5A50"/>
    <w:rsid w:val="006B7150"/>
    <w:rsid w:val="006B7452"/>
    <w:rsid w:val="006C0698"/>
    <w:rsid w:val="006C0A42"/>
    <w:rsid w:val="006C2766"/>
    <w:rsid w:val="006C2A7E"/>
    <w:rsid w:val="006C35D1"/>
    <w:rsid w:val="006C445E"/>
    <w:rsid w:val="006C579A"/>
    <w:rsid w:val="006C5EBC"/>
    <w:rsid w:val="006C65A5"/>
    <w:rsid w:val="006C689C"/>
    <w:rsid w:val="006C6BCB"/>
    <w:rsid w:val="006C7386"/>
    <w:rsid w:val="006C7522"/>
    <w:rsid w:val="006C7D35"/>
    <w:rsid w:val="006D05DC"/>
    <w:rsid w:val="006D0680"/>
    <w:rsid w:val="006D08C8"/>
    <w:rsid w:val="006D11B4"/>
    <w:rsid w:val="006D16AC"/>
    <w:rsid w:val="006D1E1B"/>
    <w:rsid w:val="006D1F00"/>
    <w:rsid w:val="006D35DD"/>
    <w:rsid w:val="006D3DA4"/>
    <w:rsid w:val="006D4ED9"/>
    <w:rsid w:val="006D5B3E"/>
    <w:rsid w:val="006D7114"/>
    <w:rsid w:val="006D7206"/>
    <w:rsid w:val="006D7664"/>
    <w:rsid w:val="006D7DC9"/>
    <w:rsid w:val="006E1551"/>
    <w:rsid w:val="006E165B"/>
    <w:rsid w:val="006E1C18"/>
    <w:rsid w:val="006E1E2D"/>
    <w:rsid w:val="006E1E66"/>
    <w:rsid w:val="006E1F2F"/>
    <w:rsid w:val="006E3A90"/>
    <w:rsid w:val="006E3C7E"/>
    <w:rsid w:val="006E6972"/>
    <w:rsid w:val="006F03BF"/>
    <w:rsid w:val="006F0D0F"/>
    <w:rsid w:val="006F0D16"/>
    <w:rsid w:val="006F0D44"/>
    <w:rsid w:val="006F0FE4"/>
    <w:rsid w:val="006F2287"/>
    <w:rsid w:val="006F2B4B"/>
    <w:rsid w:val="006F2C89"/>
    <w:rsid w:val="006F2FC0"/>
    <w:rsid w:val="006F3695"/>
    <w:rsid w:val="006F3CC5"/>
    <w:rsid w:val="006F4256"/>
    <w:rsid w:val="006F46CF"/>
    <w:rsid w:val="006F6E43"/>
    <w:rsid w:val="006F7968"/>
    <w:rsid w:val="006F7E11"/>
    <w:rsid w:val="006F7E3A"/>
    <w:rsid w:val="006F7E81"/>
    <w:rsid w:val="00700138"/>
    <w:rsid w:val="007003A2"/>
    <w:rsid w:val="00701307"/>
    <w:rsid w:val="007016EC"/>
    <w:rsid w:val="0070193E"/>
    <w:rsid w:val="00701CC2"/>
    <w:rsid w:val="007022E3"/>
    <w:rsid w:val="00703239"/>
    <w:rsid w:val="00703A25"/>
    <w:rsid w:val="007051BB"/>
    <w:rsid w:val="0070646A"/>
    <w:rsid w:val="0070649B"/>
    <w:rsid w:val="00706D9C"/>
    <w:rsid w:val="00706E33"/>
    <w:rsid w:val="00707253"/>
    <w:rsid w:val="00707E8E"/>
    <w:rsid w:val="00707EF4"/>
    <w:rsid w:val="00710999"/>
    <w:rsid w:val="00711323"/>
    <w:rsid w:val="00712224"/>
    <w:rsid w:val="007124EF"/>
    <w:rsid w:val="0071484D"/>
    <w:rsid w:val="00715F5A"/>
    <w:rsid w:val="00716127"/>
    <w:rsid w:val="00716569"/>
    <w:rsid w:val="0072121D"/>
    <w:rsid w:val="00721452"/>
    <w:rsid w:val="0072269B"/>
    <w:rsid w:val="00723BA5"/>
    <w:rsid w:val="00723D88"/>
    <w:rsid w:val="00723FF0"/>
    <w:rsid w:val="0072450E"/>
    <w:rsid w:val="00725506"/>
    <w:rsid w:val="00725CE8"/>
    <w:rsid w:val="00726F64"/>
    <w:rsid w:val="00727DBB"/>
    <w:rsid w:val="00727E11"/>
    <w:rsid w:val="007304ED"/>
    <w:rsid w:val="00730923"/>
    <w:rsid w:val="00731966"/>
    <w:rsid w:val="00731EEC"/>
    <w:rsid w:val="0073214C"/>
    <w:rsid w:val="00732B9A"/>
    <w:rsid w:val="00732BC8"/>
    <w:rsid w:val="00732D80"/>
    <w:rsid w:val="007340BC"/>
    <w:rsid w:val="00734822"/>
    <w:rsid w:val="00734EA7"/>
    <w:rsid w:val="0073573E"/>
    <w:rsid w:val="007359E4"/>
    <w:rsid w:val="007365F3"/>
    <w:rsid w:val="00736628"/>
    <w:rsid w:val="00736F17"/>
    <w:rsid w:val="00737239"/>
    <w:rsid w:val="007377C6"/>
    <w:rsid w:val="00737879"/>
    <w:rsid w:val="007419E8"/>
    <w:rsid w:val="00741DCC"/>
    <w:rsid w:val="00742671"/>
    <w:rsid w:val="007452EE"/>
    <w:rsid w:val="00747296"/>
    <w:rsid w:val="00747428"/>
    <w:rsid w:val="0074767C"/>
    <w:rsid w:val="0075006A"/>
    <w:rsid w:val="007510B6"/>
    <w:rsid w:val="0075152D"/>
    <w:rsid w:val="007520D4"/>
    <w:rsid w:val="007520E7"/>
    <w:rsid w:val="00753842"/>
    <w:rsid w:val="007539D9"/>
    <w:rsid w:val="00753CFE"/>
    <w:rsid w:val="007554C6"/>
    <w:rsid w:val="007558BE"/>
    <w:rsid w:val="00755B69"/>
    <w:rsid w:val="007567EF"/>
    <w:rsid w:val="0075682E"/>
    <w:rsid w:val="00757861"/>
    <w:rsid w:val="00757BBF"/>
    <w:rsid w:val="00757C41"/>
    <w:rsid w:val="00760301"/>
    <w:rsid w:val="007603C3"/>
    <w:rsid w:val="00761311"/>
    <w:rsid w:val="00761A2E"/>
    <w:rsid w:val="00762178"/>
    <w:rsid w:val="00762858"/>
    <w:rsid w:val="007642E0"/>
    <w:rsid w:val="007666EA"/>
    <w:rsid w:val="0076679B"/>
    <w:rsid w:val="007670E1"/>
    <w:rsid w:val="007712F0"/>
    <w:rsid w:val="007716E4"/>
    <w:rsid w:val="00772364"/>
    <w:rsid w:val="007725E6"/>
    <w:rsid w:val="00772D2C"/>
    <w:rsid w:val="00772D95"/>
    <w:rsid w:val="0077318E"/>
    <w:rsid w:val="0077373A"/>
    <w:rsid w:val="00774301"/>
    <w:rsid w:val="00774C1F"/>
    <w:rsid w:val="0077581E"/>
    <w:rsid w:val="00775AB3"/>
    <w:rsid w:val="00776D67"/>
    <w:rsid w:val="00776DB7"/>
    <w:rsid w:val="0077797F"/>
    <w:rsid w:val="00777CFC"/>
    <w:rsid w:val="00780DA2"/>
    <w:rsid w:val="00782436"/>
    <w:rsid w:val="007826A2"/>
    <w:rsid w:val="00782F7D"/>
    <w:rsid w:val="00783028"/>
    <w:rsid w:val="00783464"/>
    <w:rsid w:val="00783B4A"/>
    <w:rsid w:val="00784160"/>
    <w:rsid w:val="0078462D"/>
    <w:rsid w:val="00784665"/>
    <w:rsid w:val="00784CE4"/>
    <w:rsid w:val="00785305"/>
    <w:rsid w:val="007853F2"/>
    <w:rsid w:val="0078563E"/>
    <w:rsid w:val="007861E7"/>
    <w:rsid w:val="00786F1E"/>
    <w:rsid w:val="007870C1"/>
    <w:rsid w:val="007875AE"/>
    <w:rsid w:val="00787A60"/>
    <w:rsid w:val="007907F6"/>
    <w:rsid w:val="00792115"/>
    <w:rsid w:val="00792EA3"/>
    <w:rsid w:val="0079349D"/>
    <w:rsid w:val="0079396C"/>
    <w:rsid w:val="00793C2E"/>
    <w:rsid w:val="00794211"/>
    <w:rsid w:val="00794E0A"/>
    <w:rsid w:val="007953F1"/>
    <w:rsid w:val="00796488"/>
    <w:rsid w:val="00796B38"/>
    <w:rsid w:val="007973BB"/>
    <w:rsid w:val="007A02BF"/>
    <w:rsid w:val="007A045B"/>
    <w:rsid w:val="007A0CF3"/>
    <w:rsid w:val="007A1A1A"/>
    <w:rsid w:val="007A2440"/>
    <w:rsid w:val="007A2483"/>
    <w:rsid w:val="007A25E2"/>
    <w:rsid w:val="007A3D3F"/>
    <w:rsid w:val="007A3D58"/>
    <w:rsid w:val="007A4811"/>
    <w:rsid w:val="007A4F6C"/>
    <w:rsid w:val="007A5F55"/>
    <w:rsid w:val="007A72A3"/>
    <w:rsid w:val="007B0630"/>
    <w:rsid w:val="007B0CF8"/>
    <w:rsid w:val="007B0D2A"/>
    <w:rsid w:val="007B13A0"/>
    <w:rsid w:val="007B1D17"/>
    <w:rsid w:val="007B2AB0"/>
    <w:rsid w:val="007B32AC"/>
    <w:rsid w:val="007B490F"/>
    <w:rsid w:val="007B50AE"/>
    <w:rsid w:val="007B5F7B"/>
    <w:rsid w:val="007B60F8"/>
    <w:rsid w:val="007B61EC"/>
    <w:rsid w:val="007B6EAF"/>
    <w:rsid w:val="007B7D7B"/>
    <w:rsid w:val="007C08F8"/>
    <w:rsid w:val="007C1449"/>
    <w:rsid w:val="007C2131"/>
    <w:rsid w:val="007C232A"/>
    <w:rsid w:val="007C435C"/>
    <w:rsid w:val="007C4EA5"/>
    <w:rsid w:val="007C6381"/>
    <w:rsid w:val="007C7837"/>
    <w:rsid w:val="007C7D6B"/>
    <w:rsid w:val="007C7E4F"/>
    <w:rsid w:val="007D2A7F"/>
    <w:rsid w:val="007D333C"/>
    <w:rsid w:val="007D371F"/>
    <w:rsid w:val="007D4543"/>
    <w:rsid w:val="007D45AC"/>
    <w:rsid w:val="007D5297"/>
    <w:rsid w:val="007D52D1"/>
    <w:rsid w:val="007D541E"/>
    <w:rsid w:val="007D5581"/>
    <w:rsid w:val="007D59A1"/>
    <w:rsid w:val="007D5AA4"/>
    <w:rsid w:val="007D6EFA"/>
    <w:rsid w:val="007D719D"/>
    <w:rsid w:val="007D7B2E"/>
    <w:rsid w:val="007D7BDF"/>
    <w:rsid w:val="007E07F8"/>
    <w:rsid w:val="007E0CF0"/>
    <w:rsid w:val="007E0DB8"/>
    <w:rsid w:val="007E1B20"/>
    <w:rsid w:val="007E3217"/>
    <w:rsid w:val="007E3B7D"/>
    <w:rsid w:val="007E4353"/>
    <w:rsid w:val="007E438E"/>
    <w:rsid w:val="007E43C4"/>
    <w:rsid w:val="007E4745"/>
    <w:rsid w:val="007E6255"/>
    <w:rsid w:val="007E6B7E"/>
    <w:rsid w:val="007E6C52"/>
    <w:rsid w:val="007E6E5E"/>
    <w:rsid w:val="007F1AE0"/>
    <w:rsid w:val="007F1D4F"/>
    <w:rsid w:val="007F2282"/>
    <w:rsid w:val="007F37AF"/>
    <w:rsid w:val="007F3D53"/>
    <w:rsid w:val="007F479C"/>
    <w:rsid w:val="007F57BE"/>
    <w:rsid w:val="007F6A6D"/>
    <w:rsid w:val="007F7482"/>
    <w:rsid w:val="007F7D43"/>
    <w:rsid w:val="00801250"/>
    <w:rsid w:val="008017A5"/>
    <w:rsid w:val="00802DAD"/>
    <w:rsid w:val="00803187"/>
    <w:rsid w:val="008034D6"/>
    <w:rsid w:val="00803819"/>
    <w:rsid w:val="00803F43"/>
    <w:rsid w:val="008040A7"/>
    <w:rsid w:val="008042BA"/>
    <w:rsid w:val="008047AB"/>
    <w:rsid w:val="00806DBD"/>
    <w:rsid w:val="00807C94"/>
    <w:rsid w:val="00811682"/>
    <w:rsid w:val="00811F4C"/>
    <w:rsid w:val="0081278F"/>
    <w:rsid w:val="00812EF7"/>
    <w:rsid w:val="00813286"/>
    <w:rsid w:val="00813BB0"/>
    <w:rsid w:val="00813D93"/>
    <w:rsid w:val="0081450E"/>
    <w:rsid w:val="00814755"/>
    <w:rsid w:val="008154A9"/>
    <w:rsid w:val="0081591F"/>
    <w:rsid w:val="00815E7C"/>
    <w:rsid w:val="008168D1"/>
    <w:rsid w:val="008174DD"/>
    <w:rsid w:val="008202E0"/>
    <w:rsid w:val="0082035B"/>
    <w:rsid w:val="00821A5A"/>
    <w:rsid w:val="00821E6A"/>
    <w:rsid w:val="0082201D"/>
    <w:rsid w:val="00823455"/>
    <w:rsid w:val="00823839"/>
    <w:rsid w:val="008249E1"/>
    <w:rsid w:val="00825CBE"/>
    <w:rsid w:val="00826161"/>
    <w:rsid w:val="008270B8"/>
    <w:rsid w:val="0082798F"/>
    <w:rsid w:val="00827DBF"/>
    <w:rsid w:val="00830319"/>
    <w:rsid w:val="0083085E"/>
    <w:rsid w:val="00830B9D"/>
    <w:rsid w:val="00831DFD"/>
    <w:rsid w:val="00832AA9"/>
    <w:rsid w:val="00832D5A"/>
    <w:rsid w:val="00832EF8"/>
    <w:rsid w:val="00834694"/>
    <w:rsid w:val="00834B04"/>
    <w:rsid w:val="00835531"/>
    <w:rsid w:val="0083681E"/>
    <w:rsid w:val="00836889"/>
    <w:rsid w:val="00836CCE"/>
    <w:rsid w:val="0084063E"/>
    <w:rsid w:val="0084066C"/>
    <w:rsid w:val="00840D40"/>
    <w:rsid w:val="0084214C"/>
    <w:rsid w:val="008423D3"/>
    <w:rsid w:val="008424CB"/>
    <w:rsid w:val="00844149"/>
    <w:rsid w:val="008449A2"/>
    <w:rsid w:val="00845474"/>
    <w:rsid w:val="00846541"/>
    <w:rsid w:val="0084695A"/>
    <w:rsid w:val="00847435"/>
    <w:rsid w:val="00850903"/>
    <w:rsid w:val="008515A0"/>
    <w:rsid w:val="00851D0B"/>
    <w:rsid w:val="00852056"/>
    <w:rsid w:val="008521BE"/>
    <w:rsid w:val="0085312A"/>
    <w:rsid w:val="008533EE"/>
    <w:rsid w:val="0085419C"/>
    <w:rsid w:val="0085444D"/>
    <w:rsid w:val="008549AF"/>
    <w:rsid w:val="00854EA5"/>
    <w:rsid w:val="00855180"/>
    <w:rsid w:val="008561A1"/>
    <w:rsid w:val="008569D7"/>
    <w:rsid w:val="00857404"/>
    <w:rsid w:val="00857408"/>
    <w:rsid w:val="00860D9D"/>
    <w:rsid w:val="0086139B"/>
    <w:rsid w:val="008625BE"/>
    <w:rsid w:val="00862783"/>
    <w:rsid w:val="00862C38"/>
    <w:rsid w:val="008630EB"/>
    <w:rsid w:val="008645B1"/>
    <w:rsid w:val="008657E7"/>
    <w:rsid w:val="008670EF"/>
    <w:rsid w:val="0087079C"/>
    <w:rsid w:val="00870ADE"/>
    <w:rsid w:val="008715A9"/>
    <w:rsid w:val="00874A00"/>
    <w:rsid w:val="0087513C"/>
    <w:rsid w:val="008751B0"/>
    <w:rsid w:val="008766F2"/>
    <w:rsid w:val="008767FD"/>
    <w:rsid w:val="00876FB4"/>
    <w:rsid w:val="0087715B"/>
    <w:rsid w:val="00877911"/>
    <w:rsid w:val="00881078"/>
    <w:rsid w:val="008819BB"/>
    <w:rsid w:val="00881BAB"/>
    <w:rsid w:val="00882112"/>
    <w:rsid w:val="00882842"/>
    <w:rsid w:val="00882A36"/>
    <w:rsid w:val="00882D5C"/>
    <w:rsid w:val="0088444E"/>
    <w:rsid w:val="00884F79"/>
    <w:rsid w:val="0088512C"/>
    <w:rsid w:val="0088646F"/>
    <w:rsid w:val="00886EAD"/>
    <w:rsid w:val="008879D9"/>
    <w:rsid w:val="00887A05"/>
    <w:rsid w:val="00887D9E"/>
    <w:rsid w:val="00890550"/>
    <w:rsid w:val="00890F61"/>
    <w:rsid w:val="00891EBB"/>
    <w:rsid w:val="00891F3F"/>
    <w:rsid w:val="00893EA2"/>
    <w:rsid w:val="00893EA7"/>
    <w:rsid w:val="0089481C"/>
    <w:rsid w:val="00894A6E"/>
    <w:rsid w:val="00895753"/>
    <w:rsid w:val="00896069"/>
    <w:rsid w:val="008961B7"/>
    <w:rsid w:val="00896F88"/>
    <w:rsid w:val="00897FD7"/>
    <w:rsid w:val="008A0C6C"/>
    <w:rsid w:val="008A1162"/>
    <w:rsid w:val="008A33B8"/>
    <w:rsid w:val="008A351E"/>
    <w:rsid w:val="008A35BA"/>
    <w:rsid w:val="008A4D52"/>
    <w:rsid w:val="008A4E54"/>
    <w:rsid w:val="008A598C"/>
    <w:rsid w:val="008A5F6D"/>
    <w:rsid w:val="008A611F"/>
    <w:rsid w:val="008A6658"/>
    <w:rsid w:val="008A68CE"/>
    <w:rsid w:val="008A7A2A"/>
    <w:rsid w:val="008B01FE"/>
    <w:rsid w:val="008B0387"/>
    <w:rsid w:val="008B0C49"/>
    <w:rsid w:val="008B0F1B"/>
    <w:rsid w:val="008B1E13"/>
    <w:rsid w:val="008B28D6"/>
    <w:rsid w:val="008B3B15"/>
    <w:rsid w:val="008B480B"/>
    <w:rsid w:val="008B4D25"/>
    <w:rsid w:val="008B5A5F"/>
    <w:rsid w:val="008B5BA9"/>
    <w:rsid w:val="008B5C3D"/>
    <w:rsid w:val="008B5D62"/>
    <w:rsid w:val="008B646B"/>
    <w:rsid w:val="008B7F21"/>
    <w:rsid w:val="008C03EA"/>
    <w:rsid w:val="008C0B43"/>
    <w:rsid w:val="008C1483"/>
    <w:rsid w:val="008C241F"/>
    <w:rsid w:val="008C2C80"/>
    <w:rsid w:val="008C2F83"/>
    <w:rsid w:val="008C3B44"/>
    <w:rsid w:val="008C5E66"/>
    <w:rsid w:val="008C653A"/>
    <w:rsid w:val="008C76E4"/>
    <w:rsid w:val="008D01BA"/>
    <w:rsid w:val="008D03ED"/>
    <w:rsid w:val="008D1E62"/>
    <w:rsid w:val="008D2B97"/>
    <w:rsid w:val="008D3CF9"/>
    <w:rsid w:val="008D53CB"/>
    <w:rsid w:val="008D6840"/>
    <w:rsid w:val="008D7BB1"/>
    <w:rsid w:val="008D7FFD"/>
    <w:rsid w:val="008E1946"/>
    <w:rsid w:val="008E23CD"/>
    <w:rsid w:val="008E272B"/>
    <w:rsid w:val="008E27A4"/>
    <w:rsid w:val="008E3AD8"/>
    <w:rsid w:val="008E4F74"/>
    <w:rsid w:val="008E55E7"/>
    <w:rsid w:val="008E56A0"/>
    <w:rsid w:val="008E6B5B"/>
    <w:rsid w:val="008E7653"/>
    <w:rsid w:val="008F0822"/>
    <w:rsid w:val="008F2B00"/>
    <w:rsid w:val="008F2C55"/>
    <w:rsid w:val="008F2E60"/>
    <w:rsid w:val="008F39A6"/>
    <w:rsid w:val="008F4B3E"/>
    <w:rsid w:val="008F536D"/>
    <w:rsid w:val="008F68A7"/>
    <w:rsid w:val="008F73F4"/>
    <w:rsid w:val="008F7FB1"/>
    <w:rsid w:val="009007AD"/>
    <w:rsid w:val="00900EAD"/>
    <w:rsid w:val="009018C9"/>
    <w:rsid w:val="00901C7E"/>
    <w:rsid w:val="0090320D"/>
    <w:rsid w:val="00904712"/>
    <w:rsid w:val="00905F14"/>
    <w:rsid w:val="00906BA8"/>
    <w:rsid w:val="00906D8A"/>
    <w:rsid w:val="00906DE9"/>
    <w:rsid w:val="00907A56"/>
    <w:rsid w:val="00907DD5"/>
    <w:rsid w:val="009111E2"/>
    <w:rsid w:val="009120B3"/>
    <w:rsid w:val="009138E2"/>
    <w:rsid w:val="0091485C"/>
    <w:rsid w:val="00914AF3"/>
    <w:rsid w:val="00914B84"/>
    <w:rsid w:val="009150BD"/>
    <w:rsid w:val="0091557F"/>
    <w:rsid w:val="009161DB"/>
    <w:rsid w:val="009168C3"/>
    <w:rsid w:val="00916928"/>
    <w:rsid w:val="00916F30"/>
    <w:rsid w:val="00917197"/>
    <w:rsid w:val="00917470"/>
    <w:rsid w:val="0092006C"/>
    <w:rsid w:val="00920286"/>
    <w:rsid w:val="009210CB"/>
    <w:rsid w:val="00921730"/>
    <w:rsid w:val="00922096"/>
    <w:rsid w:val="009221A2"/>
    <w:rsid w:val="00922A9A"/>
    <w:rsid w:val="00922AE3"/>
    <w:rsid w:val="0092314B"/>
    <w:rsid w:val="0092483A"/>
    <w:rsid w:val="00924D95"/>
    <w:rsid w:val="0092687D"/>
    <w:rsid w:val="00926AF7"/>
    <w:rsid w:val="009278A0"/>
    <w:rsid w:val="00930529"/>
    <w:rsid w:val="0093130F"/>
    <w:rsid w:val="009314E9"/>
    <w:rsid w:val="00931D50"/>
    <w:rsid w:val="0093214D"/>
    <w:rsid w:val="00933001"/>
    <w:rsid w:val="0093377F"/>
    <w:rsid w:val="00933C14"/>
    <w:rsid w:val="009340F5"/>
    <w:rsid w:val="00934905"/>
    <w:rsid w:val="00934CDB"/>
    <w:rsid w:val="00934DD2"/>
    <w:rsid w:val="009362D0"/>
    <w:rsid w:val="00937FB1"/>
    <w:rsid w:val="009417B4"/>
    <w:rsid w:val="00941CD6"/>
    <w:rsid w:val="00941D33"/>
    <w:rsid w:val="00942574"/>
    <w:rsid w:val="00942A98"/>
    <w:rsid w:val="0094408F"/>
    <w:rsid w:val="0094445E"/>
    <w:rsid w:val="00944DA6"/>
    <w:rsid w:val="00944FE6"/>
    <w:rsid w:val="00946C6C"/>
    <w:rsid w:val="00946FE7"/>
    <w:rsid w:val="009508FD"/>
    <w:rsid w:val="009525D6"/>
    <w:rsid w:val="00953147"/>
    <w:rsid w:val="0095402D"/>
    <w:rsid w:val="009546EE"/>
    <w:rsid w:val="00954CB0"/>
    <w:rsid w:val="00954D58"/>
    <w:rsid w:val="00954D6F"/>
    <w:rsid w:val="00955CDB"/>
    <w:rsid w:val="00956228"/>
    <w:rsid w:val="009566EA"/>
    <w:rsid w:val="00956926"/>
    <w:rsid w:val="009575D5"/>
    <w:rsid w:val="00957805"/>
    <w:rsid w:val="00957B66"/>
    <w:rsid w:val="0096019C"/>
    <w:rsid w:val="00960FFE"/>
    <w:rsid w:val="009612A1"/>
    <w:rsid w:val="009617DC"/>
    <w:rsid w:val="00961E43"/>
    <w:rsid w:val="00962E80"/>
    <w:rsid w:val="00963AF9"/>
    <w:rsid w:val="00964313"/>
    <w:rsid w:val="0096507E"/>
    <w:rsid w:val="00965084"/>
    <w:rsid w:val="00965301"/>
    <w:rsid w:val="00966373"/>
    <w:rsid w:val="009667D9"/>
    <w:rsid w:val="009669A6"/>
    <w:rsid w:val="00966DB6"/>
    <w:rsid w:val="00967BFC"/>
    <w:rsid w:val="0097055A"/>
    <w:rsid w:val="00970CEB"/>
    <w:rsid w:val="00970FFE"/>
    <w:rsid w:val="00971851"/>
    <w:rsid w:val="0097332B"/>
    <w:rsid w:val="0097397D"/>
    <w:rsid w:val="00974932"/>
    <w:rsid w:val="00976C5C"/>
    <w:rsid w:val="009770A6"/>
    <w:rsid w:val="00977F3C"/>
    <w:rsid w:val="009802BD"/>
    <w:rsid w:val="00980301"/>
    <w:rsid w:val="00980323"/>
    <w:rsid w:val="00981412"/>
    <w:rsid w:val="00981D13"/>
    <w:rsid w:val="00981F29"/>
    <w:rsid w:val="00982717"/>
    <w:rsid w:val="00983B5A"/>
    <w:rsid w:val="00983F37"/>
    <w:rsid w:val="00984D7D"/>
    <w:rsid w:val="0098581E"/>
    <w:rsid w:val="00985C8E"/>
    <w:rsid w:val="0098714E"/>
    <w:rsid w:val="00987BBB"/>
    <w:rsid w:val="00990BA5"/>
    <w:rsid w:val="009910B6"/>
    <w:rsid w:val="00991509"/>
    <w:rsid w:val="00992A9D"/>
    <w:rsid w:val="00992AFF"/>
    <w:rsid w:val="00992D50"/>
    <w:rsid w:val="0099499B"/>
    <w:rsid w:val="00994D0F"/>
    <w:rsid w:val="00994D67"/>
    <w:rsid w:val="0099669E"/>
    <w:rsid w:val="00996899"/>
    <w:rsid w:val="00996C9E"/>
    <w:rsid w:val="009970F3"/>
    <w:rsid w:val="009A127A"/>
    <w:rsid w:val="009A142B"/>
    <w:rsid w:val="009A2504"/>
    <w:rsid w:val="009A2780"/>
    <w:rsid w:val="009A3F66"/>
    <w:rsid w:val="009A4DFE"/>
    <w:rsid w:val="009A57FA"/>
    <w:rsid w:val="009A64E9"/>
    <w:rsid w:val="009A68BE"/>
    <w:rsid w:val="009A6FF6"/>
    <w:rsid w:val="009A78A2"/>
    <w:rsid w:val="009B0231"/>
    <w:rsid w:val="009B1195"/>
    <w:rsid w:val="009B2118"/>
    <w:rsid w:val="009B22D0"/>
    <w:rsid w:val="009B2C6C"/>
    <w:rsid w:val="009B36D6"/>
    <w:rsid w:val="009B3EFD"/>
    <w:rsid w:val="009B453B"/>
    <w:rsid w:val="009B4F45"/>
    <w:rsid w:val="009B5BCA"/>
    <w:rsid w:val="009B616B"/>
    <w:rsid w:val="009B6529"/>
    <w:rsid w:val="009B6A58"/>
    <w:rsid w:val="009B6B64"/>
    <w:rsid w:val="009B716F"/>
    <w:rsid w:val="009B7279"/>
    <w:rsid w:val="009B747B"/>
    <w:rsid w:val="009C101C"/>
    <w:rsid w:val="009C1837"/>
    <w:rsid w:val="009C187B"/>
    <w:rsid w:val="009C242E"/>
    <w:rsid w:val="009C2A6B"/>
    <w:rsid w:val="009C3657"/>
    <w:rsid w:val="009C3DE3"/>
    <w:rsid w:val="009C3E36"/>
    <w:rsid w:val="009C3FAB"/>
    <w:rsid w:val="009C5F7C"/>
    <w:rsid w:val="009C6F60"/>
    <w:rsid w:val="009C7195"/>
    <w:rsid w:val="009D0264"/>
    <w:rsid w:val="009D10BF"/>
    <w:rsid w:val="009D114E"/>
    <w:rsid w:val="009D2C67"/>
    <w:rsid w:val="009D372B"/>
    <w:rsid w:val="009D3900"/>
    <w:rsid w:val="009D3E9C"/>
    <w:rsid w:val="009D46A2"/>
    <w:rsid w:val="009D6832"/>
    <w:rsid w:val="009D7838"/>
    <w:rsid w:val="009D7889"/>
    <w:rsid w:val="009D7C22"/>
    <w:rsid w:val="009E07FA"/>
    <w:rsid w:val="009E2310"/>
    <w:rsid w:val="009E3059"/>
    <w:rsid w:val="009E30A0"/>
    <w:rsid w:val="009E3721"/>
    <w:rsid w:val="009E3966"/>
    <w:rsid w:val="009E3A5B"/>
    <w:rsid w:val="009E4CB8"/>
    <w:rsid w:val="009E4DA1"/>
    <w:rsid w:val="009E7FCF"/>
    <w:rsid w:val="009F08E7"/>
    <w:rsid w:val="009F126D"/>
    <w:rsid w:val="009F1290"/>
    <w:rsid w:val="009F1C0D"/>
    <w:rsid w:val="009F29A8"/>
    <w:rsid w:val="009F2E1C"/>
    <w:rsid w:val="009F44E5"/>
    <w:rsid w:val="009F49F3"/>
    <w:rsid w:val="009F5A93"/>
    <w:rsid w:val="009F5C54"/>
    <w:rsid w:val="00A01437"/>
    <w:rsid w:val="00A01B1C"/>
    <w:rsid w:val="00A0224A"/>
    <w:rsid w:val="00A02EF9"/>
    <w:rsid w:val="00A03875"/>
    <w:rsid w:val="00A044AF"/>
    <w:rsid w:val="00A04FE3"/>
    <w:rsid w:val="00A05330"/>
    <w:rsid w:val="00A05B65"/>
    <w:rsid w:val="00A07171"/>
    <w:rsid w:val="00A11E6F"/>
    <w:rsid w:val="00A11EE0"/>
    <w:rsid w:val="00A11FBC"/>
    <w:rsid w:val="00A12595"/>
    <w:rsid w:val="00A1288F"/>
    <w:rsid w:val="00A12937"/>
    <w:rsid w:val="00A12E44"/>
    <w:rsid w:val="00A1453B"/>
    <w:rsid w:val="00A14C99"/>
    <w:rsid w:val="00A15B88"/>
    <w:rsid w:val="00A1725E"/>
    <w:rsid w:val="00A17DF3"/>
    <w:rsid w:val="00A17F3B"/>
    <w:rsid w:val="00A203A6"/>
    <w:rsid w:val="00A21571"/>
    <w:rsid w:val="00A2250A"/>
    <w:rsid w:val="00A22962"/>
    <w:rsid w:val="00A231A2"/>
    <w:rsid w:val="00A23BC4"/>
    <w:rsid w:val="00A24EC0"/>
    <w:rsid w:val="00A26209"/>
    <w:rsid w:val="00A2670A"/>
    <w:rsid w:val="00A27F5F"/>
    <w:rsid w:val="00A30840"/>
    <w:rsid w:val="00A30FD7"/>
    <w:rsid w:val="00A315DF"/>
    <w:rsid w:val="00A317DB"/>
    <w:rsid w:val="00A31FA5"/>
    <w:rsid w:val="00A32456"/>
    <w:rsid w:val="00A32C50"/>
    <w:rsid w:val="00A33A7F"/>
    <w:rsid w:val="00A33FAD"/>
    <w:rsid w:val="00A342E6"/>
    <w:rsid w:val="00A35922"/>
    <w:rsid w:val="00A3625C"/>
    <w:rsid w:val="00A365D0"/>
    <w:rsid w:val="00A36C18"/>
    <w:rsid w:val="00A36E09"/>
    <w:rsid w:val="00A371AD"/>
    <w:rsid w:val="00A37CFC"/>
    <w:rsid w:val="00A41160"/>
    <w:rsid w:val="00A411AE"/>
    <w:rsid w:val="00A41D28"/>
    <w:rsid w:val="00A4238E"/>
    <w:rsid w:val="00A424B6"/>
    <w:rsid w:val="00A42ACA"/>
    <w:rsid w:val="00A437BC"/>
    <w:rsid w:val="00A437D9"/>
    <w:rsid w:val="00A438C3"/>
    <w:rsid w:val="00A448F0"/>
    <w:rsid w:val="00A449F4"/>
    <w:rsid w:val="00A45B38"/>
    <w:rsid w:val="00A4620E"/>
    <w:rsid w:val="00A4672B"/>
    <w:rsid w:val="00A47320"/>
    <w:rsid w:val="00A47871"/>
    <w:rsid w:val="00A50F79"/>
    <w:rsid w:val="00A51232"/>
    <w:rsid w:val="00A5135C"/>
    <w:rsid w:val="00A51746"/>
    <w:rsid w:val="00A54482"/>
    <w:rsid w:val="00A5468D"/>
    <w:rsid w:val="00A54738"/>
    <w:rsid w:val="00A54F76"/>
    <w:rsid w:val="00A55234"/>
    <w:rsid w:val="00A554DA"/>
    <w:rsid w:val="00A557CD"/>
    <w:rsid w:val="00A56127"/>
    <w:rsid w:val="00A57A5E"/>
    <w:rsid w:val="00A60D78"/>
    <w:rsid w:val="00A618D0"/>
    <w:rsid w:val="00A61ABE"/>
    <w:rsid w:val="00A622A1"/>
    <w:rsid w:val="00A62591"/>
    <w:rsid w:val="00A626CA"/>
    <w:rsid w:val="00A62BB9"/>
    <w:rsid w:val="00A63EFD"/>
    <w:rsid w:val="00A64321"/>
    <w:rsid w:val="00A6479F"/>
    <w:rsid w:val="00A64B8E"/>
    <w:rsid w:val="00A64D61"/>
    <w:rsid w:val="00A650C5"/>
    <w:rsid w:val="00A655B4"/>
    <w:rsid w:val="00A6685B"/>
    <w:rsid w:val="00A674A4"/>
    <w:rsid w:val="00A67ACB"/>
    <w:rsid w:val="00A7016D"/>
    <w:rsid w:val="00A70BF0"/>
    <w:rsid w:val="00A70C5B"/>
    <w:rsid w:val="00A710A2"/>
    <w:rsid w:val="00A717AD"/>
    <w:rsid w:val="00A7299C"/>
    <w:rsid w:val="00A731A0"/>
    <w:rsid w:val="00A73289"/>
    <w:rsid w:val="00A73E20"/>
    <w:rsid w:val="00A74A86"/>
    <w:rsid w:val="00A75150"/>
    <w:rsid w:val="00A77119"/>
    <w:rsid w:val="00A805AD"/>
    <w:rsid w:val="00A8315F"/>
    <w:rsid w:val="00A83D10"/>
    <w:rsid w:val="00A847D0"/>
    <w:rsid w:val="00A84806"/>
    <w:rsid w:val="00A851C6"/>
    <w:rsid w:val="00A86A7D"/>
    <w:rsid w:val="00A86D42"/>
    <w:rsid w:val="00A909C5"/>
    <w:rsid w:val="00A90AED"/>
    <w:rsid w:val="00A91731"/>
    <w:rsid w:val="00A91C2B"/>
    <w:rsid w:val="00A92322"/>
    <w:rsid w:val="00A92449"/>
    <w:rsid w:val="00A9252C"/>
    <w:rsid w:val="00A93AA8"/>
    <w:rsid w:val="00A93E43"/>
    <w:rsid w:val="00A946F6"/>
    <w:rsid w:val="00A94A9A"/>
    <w:rsid w:val="00A95102"/>
    <w:rsid w:val="00A963ED"/>
    <w:rsid w:val="00A9763D"/>
    <w:rsid w:val="00A97DD9"/>
    <w:rsid w:val="00A97F6B"/>
    <w:rsid w:val="00AA0807"/>
    <w:rsid w:val="00AA137B"/>
    <w:rsid w:val="00AA17A7"/>
    <w:rsid w:val="00AA1D37"/>
    <w:rsid w:val="00AA2629"/>
    <w:rsid w:val="00AA3141"/>
    <w:rsid w:val="00AA36FA"/>
    <w:rsid w:val="00AA3B89"/>
    <w:rsid w:val="00AA4936"/>
    <w:rsid w:val="00AA495A"/>
    <w:rsid w:val="00AA4F26"/>
    <w:rsid w:val="00AA5815"/>
    <w:rsid w:val="00AA7B0A"/>
    <w:rsid w:val="00AB01A8"/>
    <w:rsid w:val="00AB0863"/>
    <w:rsid w:val="00AB1EF6"/>
    <w:rsid w:val="00AB37AF"/>
    <w:rsid w:val="00AB3962"/>
    <w:rsid w:val="00AB3E32"/>
    <w:rsid w:val="00AB67A0"/>
    <w:rsid w:val="00AB773C"/>
    <w:rsid w:val="00AB7847"/>
    <w:rsid w:val="00AB7E91"/>
    <w:rsid w:val="00AC0332"/>
    <w:rsid w:val="00AC119B"/>
    <w:rsid w:val="00AC1373"/>
    <w:rsid w:val="00AC1C1A"/>
    <w:rsid w:val="00AC233B"/>
    <w:rsid w:val="00AC24BC"/>
    <w:rsid w:val="00AC2AF5"/>
    <w:rsid w:val="00AC3FC8"/>
    <w:rsid w:val="00AC41B4"/>
    <w:rsid w:val="00AC4C01"/>
    <w:rsid w:val="00AC514A"/>
    <w:rsid w:val="00AC521C"/>
    <w:rsid w:val="00AC60AF"/>
    <w:rsid w:val="00AC6D48"/>
    <w:rsid w:val="00AC79EB"/>
    <w:rsid w:val="00AD0711"/>
    <w:rsid w:val="00AD1BE0"/>
    <w:rsid w:val="00AD27CD"/>
    <w:rsid w:val="00AD291A"/>
    <w:rsid w:val="00AD2D9A"/>
    <w:rsid w:val="00AD3843"/>
    <w:rsid w:val="00AD3886"/>
    <w:rsid w:val="00AD3B3C"/>
    <w:rsid w:val="00AD3E78"/>
    <w:rsid w:val="00AD3EEA"/>
    <w:rsid w:val="00AD71B7"/>
    <w:rsid w:val="00AD7B2D"/>
    <w:rsid w:val="00AE09CE"/>
    <w:rsid w:val="00AE1373"/>
    <w:rsid w:val="00AE27BB"/>
    <w:rsid w:val="00AE287B"/>
    <w:rsid w:val="00AE5845"/>
    <w:rsid w:val="00AE5F6F"/>
    <w:rsid w:val="00AE611C"/>
    <w:rsid w:val="00AE6780"/>
    <w:rsid w:val="00AE6C3C"/>
    <w:rsid w:val="00AE7441"/>
    <w:rsid w:val="00AF0D59"/>
    <w:rsid w:val="00AF16F2"/>
    <w:rsid w:val="00AF171C"/>
    <w:rsid w:val="00AF3939"/>
    <w:rsid w:val="00AF3B72"/>
    <w:rsid w:val="00AF4301"/>
    <w:rsid w:val="00AF4D1B"/>
    <w:rsid w:val="00AF6546"/>
    <w:rsid w:val="00AF714F"/>
    <w:rsid w:val="00AF7C0C"/>
    <w:rsid w:val="00B00312"/>
    <w:rsid w:val="00B02BE7"/>
    <w:rsid w:val="00B02FB9"/>
    <w:rsid w:val="00B03461"/>
    <w:rsid w:val="00B04223"/>
    <w:rsid w:val="00B0574F"/>
    <w:rsid w:val="00B06999"/>
    <w:rsid w:val="00B0731F"/>
    <w:rsid w:val="00B076B2"/>
    <w:rsid w:val="00B07CDF"/>
    <w:rsid w:val="00B11ACA"/>
    <w:rsid w:val="00B12336"/>
    <w:rsid w:val="00B13830"/>
    <w:rsid w:val="00B13C71"/>
    <w:rsid w:val="00B1471C"/>
    <w:rsid w:val="00B155F4"/>
    <w:rsid w:val="00B16558"/>
    <w:rsid w:val="00B16592"/>
    <w:rsid w:val="00B16BC7"/>
    <w:rsid w:val="00B16BD8"/>
    <w:rsid w:val="00B172CD"/>
    <w:rsid w:val="00B21809"/>
    <w:rsid w:val="00B218FD"/>
    <w:rsid w:val="00B223EF"/>
    <w:rsid w:val="00B22499"/>
    <w:rsid w:val="00B22776"/>
    <w:rsid w:val="00B23AB7"/>
    <w:rsid w:val="00B2409A"/>
    <w:rsid w:val="00B24DAD"/>
    <w:rsid w:val="00B24E58"/>
    <w:rsid w:val="00B25112"/>
    <w:rsid w:val="00B2579B"/>
    <w:rsid w:val="00B2750F"/>
    <w:rsid w:val="00B2756D"/>
    <w:rsid w:val="00B3038A"/>
    <w:rsid w:val="00B30620"/>
    <w:rsid w:val="00B30A9F"/>
    <w:rsid w:val="00B30DE8"/>
    <w:rsid w:val="00B319E6"/>
    <w:rsid w:val="00B32F62"/>
    <w:rsid w:val="00B35FC1"/>
    <w:rsid w:val="00B37971"/>
    <w:rsid w:val="00B37ADF"/>
    <w:rsid w:val="00B407BA"/>
    <w:rsid w:val="00B40CD9"/>
    <w:rsid w:val="00B42008"/>
    <w:rsid w:val="00B424C0"/>
    <w:rsid w:val="00B4268D"/>
    <w:rsid w:val="00B42B02"/>
    <w:rsid w:val="00B42D1A"/>
    <w:rsid w:val="00B43C1D"/>
    <w:rsid w:val="00B4451E"/>
    <w:rsid w:val="00B44610"/>
    <w:rsid w:val="00B4463D"/>
    <w:rsid w:val="00B449FA"/>
    <w:rsid w:val="00B44E76"/>
    <w:rsid w:val="00B45396"/>
    <w:rsid w:val="00B462A0"/>
    <w:rsid w:val="00B46D75"/>
    <w:rsid w:val="00B46F06"/>
    <w:rsid w:val="00B473E4"/>
    <w:rsid w:val="00B47D52"/>
    <w:rsid w:val="00B47DC1"/>
    <w:rsid w:val="00B50E59"/>
    <w:rsid w:val="00B520F3"/>
    <w:rsid w:val="00B52B22"/>
    <w:rsid w:val="00B53E47"/>
    <w:rsid w:val="00B5434D"/>
    <w:rsid w:val="00B566C0"/>
    <w:rsid w:val="00B57D4B"/>
    <w:rsid w:val="00B60054"/>
    <w:rsid w:val="00B60B11"/>
    <w:rsid w:val="00B60F2B"/>
    <w:rsid w:val="00B611CF"/>
    <w:rsid w:val="00B613DE"/>
    <w:rsid w:val="00B61412"/>
    <w:rsid w:val="00B618A1"/>
    <w:rsid w:val="00B6303B"/>
    <w:rsid w:val="00B63246"/>
    <w:rsid w:val="00B6350A"/>
    <w:rsid w:val="00B64DF3"/>
    <w:rsid w:val="00B65DAA"/>
    <w:rsid w:val="00B67989"/>
    <w:rsid w:val="00B7017C"/>
    <w:rsid w:val="00B72D4A"/>
    <w:rsid w:val="00B737EB"/>
    <w:rsid w:val="00B738AA"/>
    <w:rsid w:val="00B74132"/>
    <w:rsid w:val="00B749E2"/>
    <w:rsid w:val="00B754DE"/>
    <w:rsid w:val="00B75573"/>
    <w:rsid w:val="00B7604D"/>
    <w:rsid w:val="00B76F3D"/>
    <w:rsid w:val="00B77157"/>
    <w:rsid w:val="00B77FDC"/>
    <w:rsid w:val="00B80419"/>
    <w:rsid w:val="00B804CB"/>
    <w:rsid w:val="00B80B7D"/>
    <w:rsid w:val="00B8215C"/>
    <w:rsid w:val="00B831A7"/>
    <w:rsid w:val="00B83517"/>
    <w:rsid w:val="00B838D8"/>
    <w:rsid w:val="00B83F47"/>
    <w:rsid w:val="00B8437C"/>
    <w:rsid w:val="00B84BF7"/>
    <w:rsid w:val="00B84E9C"/>
    <w:rsid w:val="00B854ED"/>
    <w:rsid w:val="00B85F04"/>
    <w:rsid w:val="00B86ABE"/>
    <w:rsid w:val="00B86F1F"/>
    <w:rsid w:val="00B8753D"/>
    <w:rsid w:val="00B8799C"/>
    <w:rsid w:val="00B87B60"/>
    <w:rsid w:val="00B907EC"/>
    <w:rsid w:val="00B927C7"/>
    <w:rsid w:val="00B92E25"/>
    <w:rsid w:val="00B932D5"/>
    <w:rsid w:val="00B9333F"/>
    <w:rsid w:val="00B93678"/>
    <w:rsid w:val="00B93F52"/>
    <w:rsid w:val="00B9471C"/>
    <w:rsid w:val="00B95B2A"/>
    <w:rsid w:val="00B96649"/>
    <w:rsid w:val="00B9720C"/>
    <w:rsid w:val="00B97416"/>
    <w:rsid w:val="00B97A8E"/>
    <w:rsid w:val="00BA0C4C"/>
    <w:rsid w:val="00BA0C5A"/>
    <w:rsid w:val="00BA0F51"/>
    <w:rsid w:val="00BA1596"/>
    <w:rsid w:val="00BA1FC6"/>
    <w:rsid w:val="00BA21D7"/>
    <w:rsid w:val="00BA263C"/>
    <w:rsid w:val="00BA2C75"/>
    <w:rsid w:val="00BA2E21"/>
    <w:rsid w:val="00BA3EAF"/>
    <w:rsid w:val="00BA4F96"/>
    <w:rsid w:val="00BA5DF0"/>
    <w:rsid w:val="00BA5FB6"/>
    <w:rsid w:val="00BA6770"/>
    <w:rsid w:val="00BA71FD"/>
    <w:rsid w:val="00BA7EDD"/>
    <w:rsid w:val="00BB022C"/>
    <w:rsid w:val="00BB04D4"/>
    <w:rsid w:val="00BB1D50"/>
    <w:rsid w:val="00BB1DD3"/>
    <w:rsid w:val="00BB36FD"/>
    <w:rsid w:val="00BB3818"/>
    <w:rsid w:val="00BB3F4E"/>
    <w:rsid w:val="00BB4DE5"/>
    <w:rsid w:val="00BB5B60"/>
    <w:rsid w:val="00BB6484"/>
    <w:rsid w:val="00BB6ACC"/>
    <w:rsid w:val="00BB7929"/>
    <w:rsid w:val="00BC023F"/>
    <w:rsid w:val="00BC0A7A"/>
    <w:rsid w:val="00BC1BAD"/>
    <w:rsid w:val="00BC3322"/>
    <w:rsid w:val="00BC4098"/>
    <w:rsid w:val="00BC4898"/>
    <w:rsid w:val="00BC4BB6"/>
    <w:rsid w:val="00BC4F67"/>
    <w:rsid w:val="00BC5071"/>
    <w:rsid w:val="00BC5272"/>
    <w:rsid w:val="00BD065C"/>
    <w:rsid w:val="00BD0A40"/>
    <w:rsid w:val="00BD1445"/>
    <w:rsid w:val="00BD15A4"/>
    <w:rsid w:val="00BD16BB"/>
    <w:rsid w:val="00BD2935"/>
    <w:rsid w:val="00BD3621"/>
    <w:rsid w:val="00BD378B"/>
    <w:rsid w:val="00BD4D1F"/>
    <w:rsid w:val="00BD58FC"/>
    <w:rsid w:val="00BD59CB"/>
    <w:rsid w:val="00BD657D"/>
    <w:rsid w:val="00BD6BBC"/>
    <w:rsid w:val="00BD6CB2"/>
    <w:rsid w:val="00BE1334"/>
    <w:rsid w:val="00BE1D98"/>
    <w:rsid w:val="00BE28F7"/>
    <w:rsid w:val="00BE2E74"/>
    <w:rsid w:val="00BE2F8D"/>
    <w:rsid w:val="00BE4284"/>
    <w:rsid w:val="00BE5045"/>
    <w:rsid w:val="00BE58E2"/>
    <w:rsid w:val="00BE5DF1"/>
    <w:rsid w:val="00BE6A67"/>
    <w:rsid w:val="00BE700D"/>
    <w:rsid w:val="00BE7DB1"/>
    <w:rsid w:val="00BE7EC9"/>
    <w:rsid w:val="00BF08E6"/>
    <w:rsid w:val="00BF0CBF"/>
    <w:rsid w:val="00BF1955"/>
    <w:rsid w:val="00BF36C2"/>
    <w:rsid w:val="00BF39E4"/>
    <w:rsid w:val="00BF42C7"/>
    <w:rsid w:val="00BF4942"/>
    <w:rsid w:val="00BF4DC0"/>
    <w:rsid w:val="00BF52CC"/>
    <w:rsid w:val="00BF5B2A"/>
    <w:rsid w:val="00C016B4"/>
    <w:rsid w:val="00C0187D"/>
    <w:rsid w:val="00C018BB"/>
    <w:rsid w:val="00C01C08"/>
    <w:rsid w:val="00C02A6C"/>
    <w:rsid w:val="00C030F2"/>
    <w:rsid w:val="00C033CA"/>
    <w:rsid w:val="00C04E68"/>
    <w:rsid w:val="00C052B7"/>
    <w:rsid w:val="00C05FE2"/>
    <w:rsid w:val="00C06889"/>
    <w:rsid w:val="00C06A89"/>
    <w:rsid w:val="00C06D59"/>
    <w:rsid w:val="00C1058E"/>
    <w:rsid w:val="00C1145A"/>
    <w:rsid w:val="00C12D7F"/>
    <w:rsid w:val="00C12E72"/>
    <w:rsid w:val="00C13544"/>
    <w:rsid w:val="00C13B57"/>
    <w:rsid w:val="00C1444D"/>
    <w:rsid w:val="00C15F28"/>
    <w:rsid w:val="00C160F3"/>
    <w:rsid w:val="00C168E1"/>
    <w:rsid w:val="00C203E2"/>
    <w:rsid w:val="00C213D6"/>
    <w:rsid w:val="00C21A9B"/>
    <w:rsid w:val="00C2279C"/>
    <w:rsid w:val="00C24612"/>
    <w:rsid w:val="00C2509E"/>
    <w:rsid w:val="00C25253"/>
    <w:rsid w:val="00C26A57"/>
    <w:rsid w:val="00C27968"/>
    <w:rsid w:val="00C3031C"/>
    <w:rsid w:val="00C30820"/>
    <w:rsid w:val="00C3133A"/>
    <w:rsid w:val="00C32482"/>
    <w:rsid w:val="00C33660"/>
    <w:rsid w:val="00C33A44"/>
    <w:rsid w:val="00C35719"/>
    <w:rsid w:val="00C357B8"/>
    <w:rsid w:val="00C35AB3"/>
    <w:rsid w:val="00C36627"/>
    <w:rsid w:val="00C37238"/>
    <w:rsid w:val="00C4067C"/>
    <w:rsid w:val="00C40DE7"/>
    <w:rsid w:val="00C42A19"/>
    <w:rsid w:val="00C42C79"/>
    <w:rsid w:val="00C430D8"/>
    <w:rsid w:val="00C43966"/>
    <w:rsid w:val="00C4424C"/>
    <w:rsid w:val="00C44688"/>
    <w:rsid w:val="00C44869"/>
    <w:rsid w:val="00C44870"/>
    <w:rsid w:val="00C451EB"/>
    <w:rsid w:val="00C457E1"/>
    <w:rsid w:val="00C45813"/>
    <w:rsid w:val="00C470D5"/>
    <w:rsid w:val="00C50F6C"/>
    <w:rsid w:val="00C514E0"/>
    <w:rsid w:val="00C52512"/>
    <w:rsid w:val="00C53D53"/>
    <w:rsid w:val="00C55E05"/>
    <w:rsid w:val="00C56017"/>
    <w:rsid w:val="00C5671E"/>
    <w:rsid w:val="00C57247"/>
    <w:rsid w:val="00C575F9"/>
    <w:rsid w:val="00C6234E"/>
    <w:rsid w:val="00C62458"/>
    <w:rsid w:val="00C628FF"/>
    <w:rsid w:val="00C62CA5"/>
    <w:rsid w:val="00C62F70"/>
    <w:rsid w:val="00C66EF4"/>
    <w:rsid w:val="00C70F63"/>
    <w:rsid w:val="00C71FFF"/>
    <w:rsid w:val="00C721CC"/>
    <w:rsid w:val="00C726F6"/>
    <w:rsid w:val="00C727F3"/>
    <w:rsid w:val="00C73093"/>
    <w:rsid w:val="00C73B57"/>
    <w:rsid w:val="00C741E7"/>
    <w:rsid w:val="00C7482D"/>
    <w:rsid w:val="00C75ABC"/>
    <w:rsid w:val="00C76123"/>
    <w:rsid w:val="00C7719E"/>
    <w:rsid w:val="00C77285"/>
    <w:rsid w:val="00C77DAE"/>
    <w:rsid w:val="00C80012"/>
    <w:rsid w:val="00C8088A"/>
    <w:rsid w:val="00C81E25"/>
    <w:rsid w:val="00C81F64"/>
    <w:rsid w:val="00C825C4"/>
    <w:rsid w:val="00C82876"/>
    <w:rsid w:val="00C83879"/>
    <w:rsid w:val="00C84043"/>
    <w:rsid w:val="00C84E2B"/>
    <w:rsid w:val="00C85061"/>
    <w:rsid w:val="00C8616E"/>
    <w:rsid w:val="00C86899"/>
    <w:rsid w:val="00C87450"/>
    <w:rsid w:val="00C87ABD"/>
    <w:rsid w:val="00C87E3D"/>
    <w:rsid w:val="00C91E83"/>
    <w:rsid w:val="00C9266F"/>
    <w:rsid w:val="00C92A8E"/>
    <w:rsid w:val="00C9439C"/>
    <w:rsid w:val="00C95057"/>
    <w:rsid w:val="00C950BB"/>
    <w:rsid w:val="00C96923"/>
    <w:rsid w:val="00C96BA9"/>
    <w:rsid w:val="00C96C5A"/>
    <w:rsid w:val="00CA123F"/>
    <w:rsid w:val="00CA1EBD"/>
    <w:rsid w:val="00CA3FD9"/>
    <w:rsid w:val="00CA546C"/>
    <w:rsid w:val="00CA563F"/>
    <w:rsid w:val="00CA6895"/>
    <w:rsid w:val="00CA700C"/>
    <w:rsid w:val="00CA7C07"/>
    <w:rsid w:val="00CA7ED3"/>
    <w:rsid w:val="00CB0034"/>
    <w:rsid w:val="00CB08BB"/>
    <w:rsid w:val="00CB0F39"/>
    <w:rsid w:val="00CB217B"/>
    <w:rsid w:val="00CB2570"/>
    <w:rsid w:val="00CB257A"/>
    <w:rsid w:val="00CB2D25"/>
    <w:rsid w:val="00CB3123"/>
    <w:rsid w:val="00CB337F"/>
    <w:rsid w:val="00CB3926"/>
    <w:rsid w:val="00CB3C95"/>
    <w:rsid w:val="00CB3ED9"/>
    <w:rsid w:val="00CB5262"/>
    <w:rsid w:val="00CB5797"/>
    <w:rsid w:val="00CB6785"/>
    <w:rsid w:val="00CB7C99"/>
    <w:rsid w:val="00CC0B41"/>
    <w:rsid w:val="00CC0D80"/>
    <w:rsid w:val="00CC193E"/>
    <w:rsid w:val="00CC2529"/>
    <w:rsid w:val="00CC2856"/>
    <w:rsid w:val="00CC2973"/>
    <w:rsid w:val="00CC46BD"/>
    <w:rsid w:val="00CC4C35"/>
    <w:rsid w:val="00CC4E99"/>
    <w:rsid w:val="00CC5CC3"/>
    <w:rsid w:val="00CD0991"/>
    <w:rsid w:val="00CD2D14"/>
    <w:rsid w:val="00CD33C0"/>
    <w:rsid w:val="00CD353A"/>
    <w:rsid w:val="00CD3688"/>
    <w:rsid w:val="00CD4960"/>
    <w:rsid w:val="00CD70E0"/>
    <w:rsid w:val="00CD71E0"/>
    <w:rsid w:val="00CE0E5C"/>
    <w:rsid w:val="00CE1832"/>
    <w:rsid w:val="00CE1B34"/>
    <w:rsid w:val="00CE25D8"/>
    <w:rsid w:val="00CE2806"/>
    <w:rsid w:val="00CE31F1"/>
    <w:rsid w:val="00CE3473"/>
    <w:rsid w:val="00CE6213"/>
    <w:rsid w:val="00CE63BB"/>
    <w:rsid w:val="00CE660B"/>
    <w:rsid w:val="00CE67CF"/>
    <w:rsid w:val="00CE6C01"/>
    <w:rsid w:val="00CE7787"/>
    <w:rsid w:val="00CE785D"/>
    <w:rsid w:val="00CE7A28"/>
    <w:rsid w:val="00CE7B98"/>
    <w:rsid w:val="00CF1A05"/>
    <w:rsid w:val="00CF1FE7"/>
    <w:rsid w:val="00CF30FA"/>
    <w:rsid w:val="00CF3366"/>
    <w:rsid w:val="00CF3C1C"/>
    <w:rsid w:val="00CF3F38"/>
    <w:rsid w:val="00CF418F"/>
    <w:rsid w:val="00CF43A2"/>
    <w:rsid w:val="00CF55EA"/>
    <w:rsid w:val="00CF72C4"/>
    <w:rsid w:val="00D00D01"/>
    <w:rsid w:val="00D00E76"/>
    <w:rsid w:val="00D01615"/>
    <w:rsid w:val="00D019A6"/>
    <w:rsid w:val="00D02F51"/>
    <w:rsid w:val="00D03442"/>
    <w:rsid w:val="00D04A0F"/>
    <w:rsid w:val="00D04E6E"/>
    <w:rsid w:val="00D04F14"/>
    <w:rsid w:val="00D054B3"/>
    <w:rsid w:val="00D05C07"/>
    <w:rsid w:val="00D06F14"/>
    <w:rsid w:val="00D075D8"/>
    <w:rsid w:val="00D07891"/>
    <w:rsid w:val="00D07901"/>
    <w:rsid w:val="00D07EE4"/>
    <w:rsid w:val="00D11AF2"/>
    <w:rsid w:val="00D1243C"/>
    <w:rsid w:val="00D1255E"/>
    <w:rsid w:val="00D136C4"/>
    <w:rsid w:val="00D1393C"/>
    <w:rsid w:val="00D13AC5"/>
    <w:rsid w:val="00D13FC4"/>
    <w:rsid w:val="00D14691"/>
    <w:rsid w:val="00D146A7"/>
    <w:rsid w:val="00D15365"/>
    <w:rsid w:val="00D15AB8"/>
    <w:rsid w:val="00D15B63"/>
    <w:rsid w:val="00D15EED"/>
    <w:rsid w:val="00D161AA"/>
    <w:rsid w:val="00D179AD"/>
    <w:rsid w:val="00D2058E"/>
    <w:rsid w:val="00D211A5"/>
    <w:rsid w:val="00D23507"/>
    <w:rsid w:val="00D237F4"/>
    <w:rsid w:val="00D23E55"/>
    <w:rsid w:val="00D241BF"/>
    <w:rsid w:val="00D2477B"/>
    <w:rsid w:val="00D24CD3"/>
    <w:rsid w:val="00D25ABD"/>
    <w:rsid w:val="00D26626"/>
    <w:rsid w:val="00D3154A"/>
    <w:rsid w:val="00D33175"/>
    <w:rsid w:val="00D33824"/>
    <w:rsid w:val="00D33CB8"/>
    <w:rsid w:val="00D3458F"/>
    <w:rsid w:val="00D349CB"/>
    <w:rsid w:val="00D35124"/>
    <w:rsid w:val="00D35771"/>
    <w:rsid w:val="00D408A7"/>
    <w:rsid w:val="00D4110D"/>
    <w:rsid w:val="00D41158"/>
    <w:rsid w:val="00D4148B"/>
    <w:rsid w:val="00D4186E"/>
    <w:rsid w:val="00D423E4"/>
    <w:rsid w:val="00D4384B"/>
    <w:rsid w:val="00D44232"/>
    <w:rsid w:val="00D44689"/>
    <w:rsid w:val="00D4597F"/>
    <w:rsid w:val="00D459A7"/>
    <w:rsid w:val="00D463CD"/>
    <w:rsid w:val="00D472F5"/>
    <w:rsid w:val="00D47B5C"/>
    <w:rsid w:val="00D5034C"/>
    <w:rsid w:val="00D509BB"/>
    <w:rsid w:val="00D51DED"/>
    <w:rsid w:val="00D5258E"/>
    <w:rsid w:val="00D53462"/>
    <w:rsid w:val="00D55D3F"/>
    <w:rsid w:val="00D57D0A"/>
    <w:rsid w:val="00D601C9"/>
    <w:rsid w:val="00D60333"/>
    <w:rsid w:val="00D6038F"/>
    <w:rsid w:val="00D604A3"/>
    <w:rsid w:val="00D615B5"/>
    <w:rsid w:val="00D616FA"/>
    <w:rsid w:val="00D61D1C"/>
    <w:rsid w:val="00D628E0"/>
    <w:rsid w:val="00D63158"/>
    <w:rsid w:val="00D63E14"/>
    <w:rsid w:val="00D661C2"/>
    <w:rsid w:val="00D66EF9"/>
    <w:rsid w:val="00D676F4"/>
    <w:rsid w:val="00D7051B"/>
    <w:rsid w:val="00D70629"/>
    <w:rsid w:val="00D709BF"/>
    <w:rsid w:val="00D71B71"/>
    <w:rsid w:val="00D7284B"/>
    <w:rsid w:val="00D72A94"/>
    <w:rsid w:val="00D737B1"/>
    <w:rsid w:val="00D74A9B"/>
    <w:rsid w:val="00D74F3C"/>
    <w:rsid w:val="00D752F2"/>
    <w:rsid w:val="00D75483"/>
    <w:rsid w:val="00D75680"/>
    <w:rsid w:val="00D75E8F"/>
    <w:rsid w:val="00D765FE"/>
    <w:rsid w:val="00D76EED"/>
    <w:rsid w:val="00D77130"/>
    <w:rsid w:val="00D777E2"/>
    <w:rsid w:val="00D80788"/>
    <w:rsid w:val="00D80B80"/>
    <w:rsid w:val="00D80DB0"/>
    <w:rsid w:val="00D813C9"/>
    <w:rsid w:val="00D81938"/>
    <w:rsid w:val="00D81C69"/>
    <w:rsid w:val="00D826C9"/>
    <w:rsid w:val="00D82E62"/>
    <w:rsid w:val="00D83340"/>
    <w:rsid w:val="00D8337A"/>
    <w:rsid w:val="00D84145"/>
    <w:rsid w:val="00D8435A"/>
    <w:rsid w:val="00D85A9E"/>
    <w:rsid w:val="00D863FF"/>
    <w:rsid w:val="00D86E50"/>
    <w:rsid w:val="00D87D51"/>
    <w:rsid w:val="00D90200"/>
    <w:rsid w:val="00D904D9"/>
    <w:rsid w:val="00D90546"/>
    <w:rsid w:val="00D90B96"/>
    <w:rsid w:val="00D9112B"/>
    <w:rsid w:val="00D91198"/>
    <w:rsid w:val="00D91706"/>
    <w:rsid w:val="00D92BB6"/>
    <w:rsid w:val="00D9404E"/>
    <w:rsid w:val="00D94682"/>
    <w:rsid w:val="00D94E30"/>
    <w:rsid w:val="00D955C7"/>
    <w:rsid w:val="00D956EE"/>
    <w:rsid w:val="00D959D0"/>
    <w:rsid w:val="00D95CD0"/>
    <w:rsid w:val="00D97291"/>
    <w:rsid w:val="00D972F8"/>
    <w:rsid w:val="00DA019A"/>
    <w:rsid w:val="00DA052F"/>
    <w:rsid w:val="00DA074E"/>
    <w:rsid w:val="00DA11FC"/>
    <w:rsid w:val="00DA49C0"/>
    <w:rsid w:val="00DA5C30"/>
    <w:rsid w:val="00DA665C"/>
    <w:rsid w:val="00DB0CCC"/>
    <w:rsid w:val="00DB13A9"/>
    <w:rsid w:val="00DB2C48"/>
    <w:rsid w:val="00DB2F83"/>
    <w:rsid w:val="00DB36ED"/>
    <w:rsid w:val="00DB375E"/>
    <w:rsid w:val="00DB448D"/>
    <w:rsid w:val="00DB4F5D"/>
    <w:rsid w:val="00DB51E1"/>
    <w:rsid w:val="00DB5B17"/>
    <w:rsid w:val="00DB5DD1"/>
    <w:rsid w:val="00DB60A4"/>
    <w:rsid w:val="00DB6867"/>
    <w:rsid w:val="00DB6EE8"/>
    <w:rsid w:val="00DB7F39"/>
    <w:rsid w:val="00DC0A67"/>
    <w:rsid w:val="00DC2EA1"/>
    <w:rsid w:val="00DC3995"/>
    <w:rsid w:val="00DC3C4D"/>
    <w:rsid w:val="00DC4059"/>
    <w:rsid w:val="00DC4F52"/>
    <w:rsid w:val="00DC655D"/>
    <w:rsid w:val="00DC6769"/>
    <w:rsid w:val="00DC7871"/>
    <w:rsid w:val="00DC7E1C"/>
    <w:rsid w:val="00DD0919"/>
    <w:rsid w:val="00DD1515"/>
    <w:rsid w:val="00DD1A79"/>
    <w:rsid w:val="00DD25CC"/>
    <w:rsid w:val="00DD3596"/>
    <w:rsid w:val="00DD421C"/>
    <w:rsid w:val="00DD57E7"/>
    <w:rsid w:val="00DD5913"/>
    <w:rsid w:val="00DD5E3E"/>
    <w:rsid w:val="00DD5E47"/>
    <w:rsid w:val="00DD680B"/>
    <w:rsid w:val="00DD68D3"/>
    <w:rsid w:val="00DE0200"/>
    <w:rsid w:val="00DE0298"/>
    <w:rsid w:val="00DE09CB"/>
    <w:rsid w:val="00DE1978"/>
    <w:rsid w:val="00DE21DE"/>
    <w:rsid w:val="00DE2A7C"/>
    <w:rsid w:val="00DE35D6"/>
    <w:rsid w:val="00DE405D"/>
    <w:rsid w:val="00DE4BBC"/>
    <w:rsid w:val="00DE4C28"/>
    <w:rsid w:val="00DE6402"/>
    <w:rsid w:val="00DE693C"/>
    <w:rsid w:val="00DE743C"/>
    <w:rsid w:val="00DE76C2"/>
    <w:rsid w:val="00DF0A18"/>
    <w:rsid w:val="00DF0AD1"/>
    <w:rsid w:val="00DF3817"/>
    <w:rsid w:val="00DF3826"/>
    <w:rsid w:val="00DF3A43"/>
    <w:rsid w:val="00DF464A"/>
    <w:rsid w:val="00DF5012"/>
    <w:rsid w:val="00DF5F7B"/>
    <w:rsid w:val="00DF6097"/>
    <w:rsid w:val="00DF6CB7"/>
    <w:rsid w:val="00DF6F86"/>
    <w:rsid w:val="00E02445"/>
    <w:rsid w:val="00E03414"/>
    <w:rsid w:val="00E05860"/>
    <w:rsid w:val="00E0595D"/>
    <w:rsid w:val="00E075BF"/>
    <w:rsid w:val="00E07984"/>
    <w:rsid w:val="00E10984"/>
    <w:rsid w:val="00E110A9"/>
    <w:rsid w:val="00E136D1"/>
    <w:rsid w:val="00E15359"/>
    <w:rsid w:val="00E1595F"/>
    <w:rsid w:val="00E15C2B"/>
    <w:rsid w:val="00E1701A"/>
    <w:rsid w:val="00E1726B"/>
    <w:rsid w:val="00E17A15"/>
    <w:rsid w:val="00E17F20"/>
    <w:rsid w:val="00E20B28"/>
    <w:rsid w:val="00E2146E"/>
    <w:rsid w:val="00E21D8C"/>
    <w:rsid w:val="00E22BA2"/>
    <w:rsid w:val="00E232D7"/>
    <w:rsid w:val="00E24809"/>
    <w:rsid w:val="00E24F48"/>
    <w:rsid w:val="00E26115"/>
    <w:rsid w:val="00E279FE"/>
    <w:rsid w:val="00E320C5"/>
    <w:rsid w:val="00E321DA"/>
    <w:rsid w:val="00E3260E"/>
    <w:rsid w:val="00E3276B"/>
    <w:rsid w:val="00E3284B"/>
    <w:rsid w:val="00E329B8"/>
    <w:rsid w:val="00E32E6C"/>
    <w:rsid w:val="00E3370B"/>
    <w:rsid w:val="00E341E3"/>
    <w:rsid w:val="00E3514B"/>
    <w:rsid w:val="00E35A83"/>
    <w:rsid w:val="00E367F4"/>
    <w:rsid w:val="00E36918"/>
    <w:rsid w:val="00E36937"/>
    <w:rsid w:val="00E37173"/>
    <w:rsid w:val="00E37D00"/>
    <w:rsid w:val="00E40D0C"/>
    <w:rsid w:val="00E40E28"/>
    <w:rsid w:val="00E40FBE"/>
    <w:rsid w:val="00E41865"/>
    <w:rsid w:val="00E4282C"/>
    <w:rsid w:val="00E43334"/>
    <w:rsid w:val="00E43C35"/>
    <w:rsid w:val="00E43DC2"/>
    <w:rsid w:val="00E476F8"/>
    <w:rsid w:val="00E47DCF"/>
    <w:rsid w:val="00E50410"/>
    <w:rsid w:val="00E513C2"/>
    <w:rsid w:val="00E51F7B"/>
    <w:rsid w:val="00E527C5"/>
    <w:rsid w:val="00E5286C"/>
    <w:rsid w:val="00E52CC7"/>
    <w:rsid w:val="00E52E64"/>
    <w:rsid w:val="00E535DE"/>
    <w:rsid w:val="00E57282"/>
    <w:rsid w:val="00E57679"/>
    <w:rsid w:val="00E57DFC"/>
    <w:rsid w:val="00E60522"/>
    <w:rsid w:val="00E62846"/>
    <w:rsid w:val="00E62EF9"/>
    <w:rsid w:val="00E639FB"/>
    <w:rsid w:val="00E6405B"/>
    <w:rsid w:val="00E6630C"/>
    <w:rsid w:val="00E665A1"/>
    <w:rsid w:val="00E669E3"/>
    <w:rsid w:val="00E66EF7"/>
    <w:rsid w:val="00E67AA4"/>
    <w:rsid w:val="00E67E45"/>
    <w:rsid w:val="00E67F28"/>
    <w:rsid w:val="00E7022C"/>
    <w:rsid w:val="00E711B8"/>
    <w:rsid w:val="00E7170C"/>
    <w:rsid w:val="00E71D33"/>
    <w:rsid w:val="00E71FB8"/>
    <w:rsid w:val="00E7324F"/>
    <w:rsid w:val="00E7336D"/>
    <w:rsid w:val="00E73915"/>
    <w:rsid w:val="00E75FD2"/>
    <w:rsid w:val="00E76688"/>
    <w:rsid w:val="00E76844"/>
    <w:rsid w:val="00E778E0"/>
    <w:rsid w:val="00E77976"/>
    <w:rsid w:val="00E77BB3"/>
    <w:rsid w:val="00E80C7F"/>
    <w:rsid w:val="00E81162"/>
    <w:rsid w:val="00E816C1"/>
    <w:rsid w:val="00E81E78"/>
    <w:rsid w:val="00E829C4"/>
    <w:rsid w:val="00E82A82"/>
    <w:rsid w:val="00E85038"/>
    <w:rsid w:val="00E85CE6"/>
    <w:rsid w:val="00E85DD3"/>
    <w:rsid w:val="00E860DB"/>
    <w:rsid w:val="00E86504"/>
    <w:rsid w:val="00E87605"/>
    <w:rsid w:val="00E878B8"/>
    <w:rsid w:val="00E87AAF"/>
    <w:rsid w:val="00E91106"/>
    <w:rsid w:val="00E9110A"/>
    <w:rsid w:val="00E91F5F"/>
    <w:rsid w:val="00E9206A"/>
    <w:rsid w:val="00E92346"/>
    <w:rsid w:val="00E9261E"/>
    <w:rsid w:val="00E92DDC"/>
    <w:rsid w:val="00E94266"/>
    <w:rsid w:val="00E951A9"/>
    <w:rsid w:val="00E9533E"/>
    <w:rsid w:val="00E958C0"/>
    <w:rsid w:val="00E958F8"/>
    <w:rsid w:val="00E95EE4"/>
    <w:rsid w:val="00E95FCE"/>
    <w:rsid w:val="00E975AF"/>
    <w:rsid w:val="00E97A3C"/>
    <w:rsid w:val="00EA01E0"/>
    <w:rsid w:val="00EA03BC"/>
    <w:rsid w:val="00EA06B1"/>
    <w:rsid w:val="00EA0A26"/>
    <w:rsid w:val="00EA0BB5"/>
    <w:rsid w:val="00EA0E12"/>
    <w:rsid w:val="00EA12C2"/>
    <w:rsid w:val="00EA12D1"/>
    <w:rsid w:val="00EA1511"/>
    <w:rsid w:val="00EA1BBE"/>
    <w:rsid w:val="00EA219E"/>
    <w:rsid w:val="00EA25CA"/>
    <w:rsid w:val="00EA26E0"/>
    <w:rsid w:val="00EA2A67"/>
    <w:rsid w:val="00EA2C2A"/>
    <w:rsid w:val="00EA2DAA"/>
    <w:rsid w:val="00EA3A1D"/>
    <w:rsid w:val="00EA3A8D"/>
    <w:rsid w:val="00EA3AB9"/>
    <w:rsid w:val="00EA3F29"/>
    <w:rsid w:val="00EA468A"/>
    <w:rsid w:val="00EA46B1"/>
    <w:rsid w:val="00EA49E5"/>
    <w:rsid w:val="00EA6090"/>
    <w:rsid w:val="00EA7BD5"/>
    <w:rsid w:val="00EB25CC"/>
    <w:rsid w:val="00EB26EE"/>
    <w:rsid w:val="00EB368F"/>
    <w:rsid w:val="00EB3836"/>
    <w:rsid w:val="00EB3A04"/>
    <w:rsid w:val="00EB3F04"/>
    <w:rsid w:val="00EB5918"/>
    <w:rsid w:val="00EB5B98"/>
    <w:rsid w:val="00EB5C12"/>
    <w:rsid w:val="00EB6395"/>
    <w:rsid w:val="00EB6593"/>
    <w:rsid w:val="00EB7666"/>
    <w:rsid w:val="00EB7E73"/>
    <w:rsid w:val="00EC11A1"/>
    <w:rsid w:val="00EC21A9"/>
    <w:rsid w:val="00EC2AE8"/>
    <w:rsid w:val="00EC3F00"/>
    <w:rsid w:val="00EC4290"/>
    <w:rsid w:val="00EC746A"/>
    <w:rsid w:val="00EC783C"/>
    <w:rsid w:val="00ED0D23"/>
    <w:rsid w:val="00ED10C6"/>
    <w:rsid w:val="00ED1AC6"/>
    <w:rsid w:val="00ED2871"/>
    <w:rsid w:val="00ED2B53"/>
    <w:rsid w:val="00ED3306"/>
    <w:rsid w:val="00ED384C"/>
    <w:rsid w:val="00ED4962"/>
    <w:rsid w:val="00ED682F"/>
    <w:rsid w:val="00ED6B24"/>
    <w:rsid w:val="00ED7085"/>
    <w:rsid w:val="00ED735E"/>
    <w:rsid w:val="00EE069F"/>
    <w:rsid w:val="00EE07AE"/>
    <w:rsid w:val="00EE0879"/>
    <w:rsid w:val="00EE0981"/>
    <w:rsid w:val="00EE1275"/>
    <w:rsid w:val="00EE12B2"/>
    <w:rsid w:val="00EE14D6"/>
    <w:rsid w:val="00EE2EE7"/>
    <w:rsid w:val="00EE3D4D"/>
    <w:rsid w:val="00EE4BE9"/>
    <w:rsid w:val="00EE4FD7"/>
    <w:rsid w:val="00EE5693"/>
    <w:rsid w:val="00EE6BDA"/>
    <w:rsid w:val="00EE6D13"/>
    <w:rsid w:val="00EE6D9B"/>
    <w:rsid w:val="00EE7111"/>
    <w:rsid w:val="00EE7C6D"/>
    <w:rsid w:val="00EF138B"/>
    <w:rsid w:val="00EF216F"/>
    <w:rsid w:val="00EF34F5"/>
    <w:rsid w:val="00EF3D91"/>
    <w:rsid w:val="00EF514E"/>
    <w:rsid w:val="00EF715E"/>
    <w:rsid w:val="00EF7706"/>
    <w:rsid w:val="00EF789A"/>
    <w:rsid w:val="00F00E37"/>
    <w:rsid w:val="00F012C0"/>
    <w:rsid w:val="00F028CF"/>
    <w:rsid w:val="00F035D9"/>
    <w:rsid w:val="00F03CFB"/>
    <w:rsid w:val="00F043E0"/>
    <w:rsid w:val="00F04DCF"/>
    <w:rsid w:val="00F04E0C"/>
    <w:rsid w:val="00F05E1C"/>
    <w:rsid w:val="00F0609A"/>
    <w:rsid w:val="00F06968"/>
    <w:rsid w:val="00F06ECB"/>
    <w:rsid w:val="00F07D04"/>
    <w:rsid w:val="00F10CFB"/>
    <w:rsid w:val="00F1217F"/>
    <w:rsid w:val="00F12803"/>
    <w:rsid w:val="00F12B5A"/>
    <w:rsid w:val="00F13ABF"/>
    <w:rsid w:val="00F14457"/>
    <w:rsid w:val="00F1672E"/>
    <w:rsid w:val="00F17B3C"/>
    <w:rsid w:val="00F17BEF"/>
    <w:rsid w:val="00F20584"/>
    <w:rsid w:val="00F205A6"/>
    <w:rsid w:val="00F20C15"/>
    <w:rsid w:val="00F2165A"/>
    <w:rsid w:val="00F21BD5"/>
    <w:rsid w:val="00F22327"/>
    <w:rsid w:val="00F22ADA"/>
    <w:rsid w:val="00F22E79"/>
    <w:rsid w:val="00F231A5"/>
    <w:rsid w:val="00F232BD"/>
    <w:rsid w:val="00F23AC4"/>
    <w:rsid w:val="00F240DC"/>
    <w:rsid w:val="00F25292"/>
    <w:rsid w:val="00F25E6B"/>
    <w:rsid w:val="00F26E93"/>
    <w:rsid w:val="00F26F83"/>
    <w:rsid w:val="00F3076F"/>
    <w:rsid w:val="00F30D8D"/>
    <w:rsid w:val="00F31595"/>
    <w:rsid w:val="00F31B8E"/>
    <w:rsid w:val="00F33010"/>
    <w:rsid w:val="00F33A36"/>
    <w:rsid w:val="00F34211"/>
    <w:rsid w:val="00F34BCB"/>
    <w:rsid w:val="00F3706F"/>
    <w:rsid w:val="00F4180E"/>
    <w:rsid w:val="00F42026"/>
    <w:rsid w:val="00F425B5"/>
    <w:rsid w:val="00F428DA"/>
    <w:rsid w:val="00F42B85"/>
    <w:rsid w:val="00F4312F"/>
    <w:rsid w:val="00F43841"/>
    <w:rsid w:val="00F44709"/>
    <w:rsid w:val="00F44972"/>
    <w:rsid w:val="00F44E07"/>
    <w:rsid w:val="00F461A9"/>
    <w:rsid w:val="00F50329"/>
    <w:rsid w:val="00F51B9B"/>
    <w:rsid w:val="00F5232E"/>
    <w:rsid w:val="00F523C7"/>
    <w:rsid w:val="00F5256F"/>
    <w:rsid w:val="00F5339F"/>
    <w:rsid w:val="00F539C1"/>
    <w:rsid w:val="00F53F99"/>
    <w:rsid w:val="00F5554A"/>
    <w:rsid w:val="00F55C8A"/>
    <w:rsid w:val="00F55D5E"/>
    <w:rsid w:val="00F57960"/>
    <w:rsid w:val="00F60AFD"/>
    <w:rsid w:val="00F60EBE"/>
    <w:rsid w:val="00F61779"/>
    <w:rsid w:val="00F61DD2"/>
    <w:rsid w:val="00F637E8"/>
    <w:rsid w:val="00F63DD5"/>
    <w:rsid w:val="00F641AA"/>
    <w:rsid w:val="00F6420B"/>
    <w:rsid w:val="00F64772"/>
    <w:rsid w:val="00F64D3E"/>
    <w:rsid w:val="00F64F65"/>
    <w:rsid w:val="00F64F70"/>
    <w:rsid w:val="00F65426"/>
    <w:rsid w:val="00F65D83"/>
    <w:rsid w:val="00F65DF0"/>
    <w:rsid w:val="00F66421"/>
    <w:rsid w:val="00F66742"/>
    <w:rsid w:val="00F678B6"/>
    <w:rsid w:val="00F67E52"/>
    <w:rsid w:val="00F67EB6"/>
    <w:rsid w:val="00F711B5"/>
    <w:rsid w:val="00F7138B"/>
    <w:rsid w:val="00F71F15"/>
    <w:rsid w:val="00F723DE"/>
    <w:rsid w:val="00F724D9"/>
    <w:rsid w:val="00F737DE"/>
    <w:rsid w:val="00F73E54"/>
    <w:rsid w:val="00F744C8"/>
    <w:rsid w:val="00F74516"/>
    <w:rsid w:val="00F758AC"/>
    <w:rsid w:val="00F77D5B"/>
    <w:rsid w:val="00F77E19"/>
    <w:rsid w:val="00F8071D"/>
    <w:rsid w:val="00F80812"/>
    <w:rsid w:val="00F811C3"/>
    <w:rsid w:val="00F811D7"/>
    <w:rsid w:val="00F81311"/>
    <w:rsid w:val="00F81AF4"/>
    <w:rsid w:val="00F81BAC"/>
    <w:rsid w:val="00F81D66"/>
    <w:rsid w:val="00F81E73"/>
    <w:rsid w:val="00F831D5"/>
    <w:rsid w:val="00F831FD"/>
    <w:rsid w:val="00F834F6"/>
    <w:rsid w:val="00F835CE"/>
    <w:rsid w:val="00F83C47"/>
    <w:rsid w:val="00F8453F"/>
    <w:rsid w:val="00F85FFC"/>
    <w:rsid w:val="00F861F5"/>
    <w:rsid w:val="00F8627D"/>
    <w:rsid w:val="00F86477"/>
    <w:rsid w:val="00F86E01"/>
    <w:rsid w:val="00F87157"/>
    <w:rsid w:val="00F87C06"/>
    <w:rsid w:val="00F90386"/>
    <w:rsid w:val="00F908B7"/>
    <w:rsid w:val="00F90CDD"/>
    <w:rsid w:val="00F90E3D"/>
    <w:rsid w:val="00F91399"/>
    <w:rsid w:val="00F91BDA"/>
    <w:rsid w:val="00F9268A"/>
    <w:rsid w:val="00F96315"/>
    <w:rsid w:val="00F972BF"/>
    <w:rsid w:val="00F97853"/>
    <w:rsid w:val="00FA006F"/>
    <w:rsid w:val="00FA0564"/>
    <w:rsid w:val="00FA1072"/>
    <w:rsid w:val="00FA20C4"/>
    <w:rsid w:val="00FA25F7"/>
    <w:rsid w:val="00FA29C7"/>
    <w:rsid w:val="00FA372A"/>
    <w:rsid w:val="00FA3F82"/>
    <w:rsid w:val="00FA43DF"/>
    <w:rsid w:val="00FA4EB3"/>
    <w:rsid w:val="00FA60A3"/>
    <w:rsid w:val="00FA6DEA"/>
    <w:rsid w:val="00FA6E18"/>
    <w:rsid w:val="00FA76AB"/>
    <w:rsid w:val="00FA79D8"/>
    <w:rsid w:val="00FB05CB"/>
    <w:rsid w:val="00FB0B8C"/>
    <w:rsid w:val="00FB1329"/>
    <w:rsid w:val="00FB1F68"/>
    <w:rsid w:val="00FB20EF"/>
    <w:rsid w:val="00FB22E3"/>
    <w:rsid w:val="00FB24D6"/>
    <w:rsid w:val="00FB3B2E"/>
    <w:rsid w:val="00FB444B"/>
    <w:rsid w:val="00FB5F29"/>
    <w:rsid w:val="00FB7528"/>
    <w:rsid w:val="00FB7B47"/>
    <w:rsid w:val="00FC0277"/>
    <w:rsid w:val="00FC084B"/>
    <w:rsid w:val="00FC10D4"/>
    <w:rsid w:val="00FC1277"/>
    <w:rsid w:val="00FC1A72"/>
    <w:rsid w:val="00FC22ED"/>
    <w:rsid w:val="00FC24B4"/>
    <w:rsid w:val="00FC2DE1"/>
    <w:rsid w:val="00FC314F"/>
    <w:rsid w:val="00FC3337"/>
    <w:rsid w:val="00FC333F"/>
    <w:rsid w:val="00FC4C1F"/>
    <w:rsid w:val="00FC5D57"/>
    <w:rsid w:val="00FC6777"/>
    <w:rsid w:val="00FC7073"/>
    <w:rsid w:val="00FC7430"/>
    <w:rsid w:val="00FC7D5F"/>
    <w:rsid w:val="00FD0028"/>
    <w:rsid w:val="00FD0040"/>
    <w:rsid w:val="00FD0F02"/>
    <w:rsid w:val="00FD13E2"/>
    <w:rsid w:val="00FD14AC"/>
    <w:rsid w:val="00FD35CF"/>
    <w:rsid w:val="00FD367C"/>
    <w:rsid w:val="00FD538E"/>
    <w:rsid w:val="00FD5A24"/>
    <w:rsid w:val="00FD5B6D"/>
    <w:rsid w:val="00FD626F"/>
    <w:rsid w:val="00FD6866"/>
    <w:rsid w:val="00FD6E76"/>
    <w:rsid w:val="00FD7CCD"/>
    <w:rsid w:val="00FE010B"/>
    <w:rsid w:val="00FE03B9"/>
    <w:rsid w:val="00FE0D1B"/>
    <w:rsid w:val="00FE3190"/>
    <w:rsid w:val="00FE37AD"/>
    <w:rsid w:val="00FE4DB1"/>
    <w:rsid w:val="00FE616F"/>
    <w:rsid w:val="00FE66A5"/>
    <w:rsid w:val="00FE6B67"/>
    <w:rsid w:val="00FF3352"/>
    <w:rsid w:val="00FF383D"/>
    <w:rsid w:val="00FF38A7"/>
    <w:rsid w:val="00FF3FB2"/>
    <w:rsid w:val="00FF50B6"/>
    <w:rsid w:val="00FF6BC5"/>
    <w:rsid w:val="00FF73FB"/>
    <w:rsid w:val="00FF750B"/>
    <w:rsid w:val="00FF7CF9"/>
    <w:rsid w:val="00FF7E69"/>
    <w:rsid w:val="09AA49C1"/>
    <w:rsid w:val="0EDE2AD9"/>
    <w:rsid w:val="13B44B7A"/>
    <w:rsid w:val="18984BBD"/>
    <w:rsid w:val="1A4A10D5"/>
    <w:rsid w:val="1D157EC5"/>
    <w:rsid w:val="217719F9"/>
    <w:rsid w:val="24F55D0A"/>
    <w:rsid w:val="365E61D9"/>
    <w:rsid w:val="3DE0019B"/>
    <w:rsid w:val="4086796E"/>
    <w:rsid w:val="41864239"/>
    <w:rsid w:val="4233038E"/>
    <w:rsid w:val="50623937"/>
    <w:rsid w:val="60495E00"/>
    <w:rsid w:val="647A15E5"/>
    <w:rsid w:val="66DA785D"/>
    <w:rsid w:val="6A27351B"/>
    <w:rsid w:val="6A98234C"/>
    <w:rsid w:val="6D1E7973"/>
    <w:rsid w:val="6E292231"/>
    <w:rsid w:val="6E7417EC"/>
    <w:rsid w:val="71916718"/>
    <w:rsid w:val="72EB753F"/>
    <w:rsid w:val="74CC4D16"/>
    <w:rsid w:val="7C9E5927"/>
    <w:rsid w:val="7FE961A9"/>
    <w:rsid w:val="7FF6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41"/>
    <w:qFormat/>
    <w:uiPriority w:val="0"/>
    <w:pPr>
      <w:keepNext/>
      <w:keepLines/>
      <w:outlineLvl w:val="0"/>
    </w:pPr>
    <w:rPr>
      <w:rFonts w:eastAsia="黑体"/>
      <w:bCs/>
      <w:kern w:val="44"/>
      <w:szCs w:val="44"/>
    </w:rPr>
  </w:style>
  <w:style w:type="paragraph" w:styleId="3">
    <w:name w:val="heading 2"/>
    <w:basedOn w:val="1"/>
    <w:next w:val="1"/>
    <w:link w:val="44"/>
    <w:unhideWhenUsed/>
    <w:qFormat/>
    <w:uiPriority w:val="0"/>
    <w:pPr>
      <w:keepNext/>
      <w:keepLines/>
      <w:ind w:firstLine="643"/>
      <w:outlineLvl w:val="1"/>
    </w:pPr>
    <w:rPr>
      <w:rFonts w:ascii="楷体_GB2312" w:hAnsi="楷体_GB2312" w:eastAsia="楷体_GB2312" w:cs="楷体_GB2312"/>
      <w:b/>
      <w:bCs/>
      <w:color w:val="000000" w:themeColor="text1"/>
      <w:szCs w:val="32"/>
      <w14:textFill>
        <w14:solidFill>
          <w14:schemeClr w14:val="tx1"/>
        </w14:solidFill>
      </w14:textFill>
    </w:rPr>
  </w:style>
  <w:style w:type="paragraph" w:styleId="4">
    <w:name w:val="heading 3"/>
    <w:basedOn w:val="1"/>
    <w:next w:val="1"/>
    <w:link w:val="45"/>
    <w:unhideWhenUsed/>
    <w:qFormat/>
    <w:uiPriority w:val="0"/>
    <w:pPr>
      <w:keepNext/>
      <w:keepLines/>
      <w:outlineLvl w:val="2"/>
    </w:pPr>
    <w:rPr>
      <w:rFonts w:ascii="仿宋_GB2312"/>
      <w:b/>
      <w:bCs/>
      <w:szCs w:val="32"/>
    </w:rPr>
  </w:style>
  <w:style w:type="paragraph" w:styleId="5">
    <w:name w:val="heading 4"/>
    <w:basedOn w:val="1"/>
    <w:next w:val="1"/>
    <w:link w:val="46"/>
    <w:qFormat/>
    <w:uiPriority w:val="0"/>
    <w:pPr>
      <w:keepNext/>
      <w:keepLines/>
      <w:outlineLvl w:val="3"/>
    </w:pPr>
    <w:rPr>
      <w:rFonts w:ascii="仿宋_GB2312" w:hAnsi="Arial" w:cs="Times New Roman"/>
      <w:bCs/>
      <w:szCs w:val="28"/>
    </w:rPr>
  </w:style>
  <w:style w:type="paragraph" w:styleId="6">
    <w:name w:val="heading 5"/>
    <w:basedOn w:val="1"/>
    <w:next w:val="1"/>
    <w:link w:val="47"/>
    <w:qFormat/>
    <w:uiPriority w:val="0"/>
    <w:pPr>
      <w:keepNext/>
      <w:keepLines/>
      <w:spacing w:before="280" w:after="290" w:line="376" w:lineRule="auto"/>
      <w:outlineLvl w:val="4"/>
    </w:pPr>
    <w:rPr>
      <w:rFonts w:ascii="仿宋_GB2312" w:hAnsi="Times New Roman" w:cs="Times New Roman"/>
      <w:b/>
      <w:bCs/>
      <w:sz w:val="28"/>
      <w:szCs w:val="28"/>
    </w:rPr>
  </w:style>
  <w:style w:type="paragraph" w:styleId="7">
    <w:name w:val="heading 6"/>
    <w:basedOn w:val="1"/>
    <w:next w:val="1"/>
    <w:link w:val="48"/>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spacing w:line="240" w:lineRule="auto"/>
      <w:ind w:firstLine="420"/>
    </w:pPr>
    <w:rPr>
      <w:rFonts w:ascii="Times New Roman" w:hAnsi="Times New Roman" w:eastAsia="宋体" w:cs="Times New Roman"/>
      <w:sz w:val="21"/>
      <w:szCs w:val="20"/>
    </w:rPr>
  </w:style>
  <w:style w:type="paragraph" w:styleId="9">
    <w:name w:val="caption"/>
    <w:basedOn w:val="1"/>
    <w:next w:val="1"/>
    <w:qFormat/>
    <w:uiPriority w:val="35"/>
    <w:pPr>
      <w:jc w:val="center"/>
    </w:pPr>
    <w:rPr>
      <w:rFonts w:ascii="Calibri" w:hAnsi="Calibri" w:eastAsia="宋体" w:cs="Times New Roman"/>
      <w:b/>
      <w:sz w:val="21"/>
      <w:szCs w:val="21"/>
    </w:rPr>
  </w:style>
  <w:style w:type="paragraph" w:styleId="10">
    <w:name w:val="Document Map"/>
    <w:basedOn w:val="1"/>
    <w:link w:val="49"/>
    <w:qFormat/>
    <w:uiPriority w:val="99"/>
    <w:pPr>
      <w:spacing w:line="240" w:lineRule="auto"/>
    </w:pPr>
    <w:rPr>
      <w:rFonts w:ascii="宋体" w:eastAsiaTheme="minorEastAsia"/>
      <w:sz w:val="18"/>
      <w:szCs w:val="18"/>
    </w:rPr>
  </w:style>
  <w:style w:type="paragraph" w:styleId="11">
    <w:name w:val="annotation text"/>
    <w:basedOn w:val="1"/>
    <w:link w:val="50"/>
    <w:unhideWhenUsed/>
    <w:qFormat/>
    <w:uiPriority w:val="0"/>
    <w:pPr>
      <w:jc w:val="left"/>
    </w:pPr>
  </w:style>
  <w:style w:type="paragraph" w:styleId="12">
    <w:name w:val="Body Text"/>
    <w:basedOn w:val="1"/>
    <w:link w:val="51"/>
    <w:qFormat/>
    <w:uiPriority w:val="0"/>
    <w:pPr>
      <w:spacing w:after="120" w:line="240" w:lineRule="auto"/>
    </w:pPr>
    <w:rPr>
      <w:rFonts w:ascii="仿宋_GB2312" w:hAnsi="Times New Roman" w:eastAsia="宋体" w:cs="Times New Roman"/>
      <w:sz w:val="24"/>
      <w:szCs w:val="28"/>
    </w:rPr>
  </w:style>
  <w:style w:type="paragraph" w:styleId="13">
    <w:name w:val="Body Text Indent"/>
    <w:basedOn w:val="1"/>
    <w:link w:val="52"/>
    <w:qFormat/>
    <w:uiPriority w:val="0"/>
    <w:pPr>
      <w:spacing w:line="240" w:lineRule="auto"/>
      <w:ind w:firstLine="554"/>
    </w:pPr>
    <w:rPr>
      <w:rFonts w:ascii="仿宋_GB2312"/>
      <w:sz w:val="28"/>
      <w:szCs w:val="28"/>
    </w:rPr>
  </w:style>
  <w:style w:type="paragraph" w:styleId="14">
    <w:name w:val="toc 5"/>
    <w:basedOn w:val="1"/>
    <w:next w:val="1"/>
    <w:qFormat/>
    <w:uiPriority w:val="0"/>
    <w:pPr>
      <w:spacing w:line="240" w:lineRule="auto"/>
      <w:ind w:left="840"/>
      <w:jc w:val="left"/>
    </w:pPr>
    <w:rPr>
      <w:rFonts w:ascii="Times New Roman" w:hAnsi="Times New Roman" w:eastAsia="宋体" w:cs="Times New Roman"/>
      <w:sz w:val="18"/>
      <w:szCs w:val="18"/>
    </w:rPr>
  </w:style>
  <w:style w:type="paragraph" w:styleId="15">
    <w:name w:val="toc 3"/>
    <w:basedOn w:val="1"/>
    <w:next w:val="1"/>
    <w:unhideWhenUsed/>
    <w:qFormat/>
    <w:uiPriority w:val="39"/>
    <w:pPr>
      <w:ind w:left="840" w:leftChars="400"/>
    </w:pPr>
  </w:style>
  <w:style w:type="paragraph" w:styleId="16">
    <w:name w:val="Plain Text"/>
    <w:basedOn w:val="1"/>
    <w:link w:val="53"/>
    <w:qFormat/>
    <w:uiPriority w:val="0"/>
    <w:pPr>
      <w:spacing w:line="240" w:lineRule="auto"/>
    </w:pPr>
    <w:rPr>
      <w:rFonts w:ascii="宋体" w:hAnsi="Courier New" w:cs="Times New Roman"/>
      <w:sz w:val="24"/>
      <w:szCs w:val="20"/>
    </w:rPr>
  </w:style>
  <w:style w:type="paragraph" w:styleId="17">
    <w:name w:val="Date"/>
    <w:basedOn w:val="1"/>
    <w:next w:val="1"/>
    <w:link w:val="54"/>
    <w:qFormat/>
    <w:uiPriority w:val="0"/>
    <w:pPr>
      <w:spacing w:line="240" w:lineRule="auto"/>
    </w:pPr>
    <w:rPr>
      <w:rFonts w:ascii="宋体" w:hAnsi="Times New Roman" w:eastAsia="宋体" w:cs="Times New Roman"/>
      <w:sz w:val="24"/>
      <w:szCs w:val="20"/>
    </w:rPr>
  </w:style>
  <w:style w:type="paragraph" w:styleId="18">
    <w:name w:val="Body Text Indent 2"/>
    <w:basedOn w:val="1"/>
    <w:link w:val="55"/>
    <w:qFormat/>
    <w:uiPriority w:val="0"/>
    <w:pPr>
      <w:spacing w:line="240" w:lineRule="auto"/>
      <w:ind w:right="23" w:rightChars="11" w:firstLine="560"/>
    </w:pPr>
    <w:rPr>
      <w:rFonts w:ascii="Times New Roman" w:hAnsi="Times New Roman" w:cs="Times New Roman"/>
      <w:sz w:val="24"/>
      <w:szCs w:val="28"/>
    </w:rPr>
  </w:style>
  <w:style w:type="paragraph" w:styleId="19">
    <w:name w:val="Balloon Text"/>
    <w:basedOn w:val="1"/>
    <w:link w:val="56"/>
    <w:unhideWhenUsed/>
    <w:qFormat/>
    <w:uiPriority w:val="0"/>
    <w:pPr>
      <w:spacing w:line="240" w:lineRule="auto"/>
    </w:pPr>
    <w:rPr>
      <w:sz w:val="18"/>
      <w:szCs w:val="18"/>
    </w:rPr>
  </w:style>
  <w:style w:type="paragraph" w:styleId="20">
    <w:name w:val="footer"/>
    <w:basedOn w:val="1"/>
    <w:link w:val="43"/>
    <w:unhideWhenUsed/>
    <w:qFormat/>
    <w:uiPriority w:val="99"/>
    <w:pPr>
      <w:tabs>
        <w:tab w:val="center" w:pos="4153"/>
        <w:tab w:val="right" w:pos="8306"/>
      </w:tabs>
      <w:spacing w:line="240" w:lineRule="auto"/>
      <w:jc w:val="left"/>
    </w:pPr>
    <w:rPr>
      <w:rFonts w:eastAsiaTheme="minorEastAsia"/>
      <w:sz w:val="18"/>
      <w:szCs w:val="18"/>
    </w:rPr>
  </w:style>
  <w:style w:type="paragraph" w:styleId="21">
    <w:name w:val="header"/>
    <w:basedOn w:val="1"/>
    <w:link w:val="42"/>
    <w:unhideWhenUsed/>
    <w:qFormat/>
    <w:uiPriority w:val="0"/>
    <w:pPr>
      <w:pBdr>
        <w:bottom w:val="single" w:color="auto" w:sz="6" w:space="1"/>
      </w:pBdr>
      <w:tabs>
        <w:tab w:val="center" w:pos="4153"/>
        <w:tab w:val="right" w:pos="8306"/>
      </w:tabs>
      <w:spacing w:line="240" w:lineRule="auto"/>
      <w:jc w:val="center"/>
    </w:pPr>
    <w:rPr>
      <w:rFonts w:eastAsiaTheme="minorEastAsia"/>
      <w:sz w:val="18"/>
      <w:szCs w:val="18"/>
    </w:rPr>
  </w:style>
  <w:style w:type="paragraph" w:styleId="22">
    <w:name w:val="toc 1"/>
    <w:basedOn w:val="1"/>
    <w:next w:val="1"/>
    <w:qFormat/>
    <w:uiPriority w:val="39"/>
    <w:pPr>
      <w:tabs>
        <w:tab w:val="right" w:leader="dot" w:pos="8302"/>
      </w:tabs>
      <w:spacing w:line="240" w:lineRule="auto"/>
    </w:pPr>
    <w:rPr>
      <w:rFonts w:ascii="黑体" w:hAnsi="Times New Roman" w:eastAsia="黑体" w:cs="Times New Roman"/>
      <w:sz w:val="24"/>
      <w:szCs w:val="28"/>
    </w:rPr>
  </w:style>
  <w:style w:type="paragraph" w:styleId="23">
    <w:name w:val="Subtitle"/>
    <w:basedOn w:val="1"/>
    <w:next w:val="1"/>
    <w:link w:val="57"/>
    <w:qFormat/>
    <w:uiPriority w:val="0"/>
    <w:pPr>
      <w:spacing w:before="240" w:after="60" w:line="312" w:lineRule="auto"/>
      <w:jc w:val="center"/>
      <w:outlineLvl w:val="1"/>
    </w:pPr>
    <w:rPr>
      <w:rFonts w:ascii="Cambria" w:hAnsi="Cambria" w:cs="Times New Roman" w:eastAsiaTheme="minorEastAsia"/>
      <w:b/>
      <w:bCs/>
      <w:kern w:val="28"/>
      <w:szCs w:val="32"/>
    </w:rPr>
  </w:style>
  <w:style w:type="paragraph" w:styleId="24">
    <w:name w:val="footnote text"/>
    <w:basedOn w:val="1"/>
    <w:link w:val="58"/>
    <w:unhideWhenUsed/>
    <w:qFormat/>
    <w:uiPriority w:val="99"/>
    <w:pPr>
      <w:jc w:val="left"/>
    </w:pPr>
    <w:rPr>
      <w:sz w:val="18"/>
      <w:szCs w:val="18"/>
    </w:rPr>
  </w:style>
  <w:style w:type="paragraph" w:styleId="25">
    <w:name w:val="Body Text Indent 3"/>
    <w:basedOn w:val="1"/>
    <w:link w:val="59"/>
    <w:qFormat/>
    <w:uiPriority w:val="0"/>
    <w:pPr>
      <w:spacing w:after="120" w:line="240" w:lineRule="auto"/>
      <w:ind w:left="420" w:leftChars="200"/>
    </w:pPr>
    <w:rPr>
      <w:rFonts w:ascii="仿宋_GB2312" w:hAnsi="仿宋_GB2312"/>
      <w:sz w:val="16"/>
      <w:szCs w:val="16"/>
    </w:rPr>
  </w:style>
  <w:style w:type="paragraph" w:styleId="26">
    <w:name w:val="toc 2"/>
    <w:basedOn w:val="1"/>
    <w:next w:val="1"/>
    <w:qFormat/>
    <w:uiPriority w:val="39"/>
    <w:pPr>
      <w:spacing w:line="240" w:lineRule="auto"/>
      <w:ind w:left="420" w:leftChars="200"/>
    </w:pPr>
    <w:rPr>
      <w:rFonts w:ascii="仿宋_GB2312" w:hAnsi="仿宋_GB2312" w:cs="Times New Roman"/>
      <w:sz w:val="24"/>
      <w:szCs w:val="28"/>
    </w:rPr>
  </w:style>
  <w:style w:type="paragraph" w:styleId="27">
    <w:name w:val="List Continue 2"/>
    <w:basedOn w:val="1"/>
    <w:qFormat/>
    <w:uiPriority w:val="0"/>
    <w:pPr>
      <w:widowControl/>
      <w:spacing w:after="120" w:line="240" w:lineRule="auto"/>
      <w:ind w:left="840" w:leftChars="400"/>
      <w:jc w:val="left"/>
    </w:pPr>
    <w:rPr>
      <w:rFonts w:ascii="Calibri" w:hAnsi="Calibri" w:eastAsia="宋体" w:cs="Times New Roman"/>
      <w:kern w:val="0"/>
      <w:sz w:val="24"/>
      <w:szCs w:val="24"/>
      <w:lang w:eastAsia="en-US" w:bidi="en-US"/>
    </w:rPr>
  </w:style>
  <w:style w:type="paragraph" w:styleId="28">
    <w:name w:val="HTML Preformatted"/>
    <w:basedOn w:val="1"/>
    <w:link w:val="6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eastAsiaTheme="minorEastAsia"/>
      <w:sz w:val="24"/>
      <w:szCs w:val="24"/>
    </w:rPr>
  </w:style>
  <w:style w:type="paragraph" w:styleId="29">
    <w:name w:val="Normal (Web)"/>
    <w:basedOn w:val="1"/>
    <w:qFormat/>
    <w:uiPriority w:val="99"/>
    <w:pPr>
      <w:widowControl/>
      <w:spacing w:before="100" w:beforeAutospacing="1" w:after="100" w:afterAutospacing="1" w:line="240" w:lineRule="auto"/>
      <w:jc w:val="left"/>
    </w:pPr>
    <w:rPr>
      <w:rFonts w:ascii="宋体" w:hAnsi="宋体" w:eastAsia="宋体" w:cs="Times New Roman"/>
      <w:kern w:val="0"/>
      <w:sz w:val="24"/>
      <w:szCs w:val="24"/>
    </w:rPr>
  </w:style>
  <w:style w:type="paragraph" w:styleId="30">
    <w:name w:val="Title"/>
    <w:basedOn w:val="1"/>
    <w:next w:val="1"/>
    <w:link w:val="61"/>
    <w:qFormat/>
    <w:uiPriority w:val="10"/>
    <w:pPr>
      <w:spacing w:before="240" w:after="60"/>
      <w:jc w:val="center"/>
      <w:outlineLvl w:val="0"/>
    </w:pPr>
    <w:rPr>
      <w:rFonts w:asciiTheme="majorHAnsi" w:hAnsiTheme="majorHAnsi" w:eastAsiaTheme="majorEastAsia" w:cstheme="majorBidi"/>
      <w:b/>
      <w:bCs/>
      <w:szCs w:val="32"/>
    </w:rPr>
  </w:style>
  <w:style w:type="paragraph" w:styleId="31">
    <w:name w:val="annotation subject"/>
    <w:basedOn w:val="11"/>
    <w:next w:val="11"/>
    <w:link w:val="62"/>
    <w:semiHidden/>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basedOn w:val="34"/>
    <w:semiHidden/>
    <w:unhideWhenUsed/>
    <w:qFormat/>
    <w:uiPriority w:val="0"/>
    <w:rPr>
      <w:sz w:val="21"/>
      <w:szCs w:val="21"/>
    </w:rPr>
  </w:style>
  <w:style w:type="character" w:styleId="40">
    <w:name w:val="footnote reference"/>
    <w:basedOn w:val="34"/>
    <w:unhideWhenUsed/>
    <w:qFormat/>
    <w:uiPriority w:val="99"/>
    <w:rPr>
      <w:vertAlign w:val="superscript"/>
    </w:rPr>
  </w:style>
  <w:style w:type="character" w:customStyle="1" w:styleId="41">
    <w:name w:val="标题 1 字符"/>
    <w:basedOn w:val="34"/>
    <w:link w:val="2"/>
    <w:qFormat/>
    <w:uiPriority w:val="0"/>
    <w:rPr>
      <w:rFonts w:eastAsia="黑体"/>
      <w:bCs/>
      <w:kern w:val="44"/>
      <w:sz w:val="32"/>
      <w:szCs w:val="44"/>
    </w:rPr>
  </w:style>
  <w:style w:type="character" w:customStyle="1" w:styleId="42">
    <w:name w:val="页眉 字符"/>
    <w:basedOn w:val="34"/>
    <w:link w:val="21"/>
    <w:qFormat/>
    <w:uiPriority w:val="0"/>
    <w:rPr>
      <w:sz w:val="18"/>
      <w:szCs w:val="18"/>
    </w:rPr>
  </w:style>
  <w:style w:type="character" w:customStyle="1" w:styleId="43">
    <w:name w:val="页脚 字符"/>
    <w:basedOn w:val="34"/>
    <w:link w:val="20"/>
    <w:qFormat/>
    <w:uiPriority w:val="99"/>
    <w:rPr>
      <w:sz w:val="18"/>
      <w:szCs w:val="18"/>
    </w:rPr>
  </w:style>
  <w:style w:type="character" w:customStyle="1" w:styleId="44">
    <w:name w:val="标题 2 字符"/>
    <w:basedOn w:val="34"/>
    <w:link w:val="3"/>
    <w:qFormat/>
    <w:uiPriority w:val="0"/>
    <w:rPr>
      <w:rFonts w:ascii="楷体_GB2312" w:hAnsi="楷体_GB2312" w:eastAsia="楷体_GB2312" w:cs="楷体_GB2312"/>
      <w:b/>
      <w:bCs/>
      <w:color w:val="000000" w:themeColor="text1"/>
      <w:kern w:val="2"/>
      <w:sz w:val="32"/>
      <w:szCs w:val="32"/>
      <w14:textFill>
        <w14:solidFill>
          <w14:schemeClr w14:val="tx1"/>
        </w14:solidFill>
      </w14:textFill>
    </w:rPr>
  </w:style>
  <w:style w:type="character" w:customStyle="1" w:styleId="45">
    <w:name w:val="标题 3 字符"/>
    <w:basedOn w:val="34"/>
    <w:link w:val="4"/>
    <w:qFormat/>
    <w:uiPriority w:val="0"/>
    <w:rPr>
      <w:rFonts w:ascii="仿宋_GB2312" w:eastAsia="仿宋_GB2312"/>
      <w:b/>
      <w:bCs/>
      <w:sz w:val="32"/>
      <w:szCs w:val="32"/>
    </w:rPr>
  </w:style>
  <w:style w:type="character" w:customStyle="1" w:styleId="46">
    <w:name w:val="标题 4 字符"/>
    <w:basedOn w:val="34"/>
    <w:link w:val="5"/>
    <w:qFormat/>
    <w:uiPriority w:val="0"/>
    <w:rPr>
      <w:rFonts w:ascii="仿宋_GB2312" w:hAnsi="Arial" w:eastAsia="仿宋_GB2312" w:cs="Times New Roman"/>
      <w:bCs/>
      <w:sz w:val="32"/>
      <w:szCs w:val="28"/>
    </w:rPr>
  </w:style>
  <w:style w:type="character" w:customStyle="1" w:styleId="47">
    <w:name w:val="标题 5 字符"/>
    <w:basedOn w:val="34"/>
    <w:link w:val="6"/>
    <w:qFormat/>
    <w:uiPriority w:val="0"/>
    <w:rPr>
      <w:rFonts w:ascii="仿宋_GB2312" w:hAnsi="Times New Roman" w:eastAsia="仿宋_GB2312" w:cs="Times New Roman"/>
      <w:b/>
      <w:bCs/>
      <w:sz w:val="28"/>
      <w:szCs w:val="28"/>
    </w:rPr>
  </w:style>
  <w:style w:type="character" w:customStyle="1" w:styleId="48">
    <w:name w:val="标题 6 字符"/>
    <w:basedOn w:val="34"/>
    <w:link w:val="7"/>
    <w:qFormat/>
    <w:uiPriority w:val="0"/>
    <w:rPr>
      <w:rFonts w:ascii="Cambria" w:hAnsi="Cambria" w:eastAsia="宋体" w:cs="Times New Roman"/>
      <w:b/>
      <w:bCs/>
      <w:sz w:val="24"/>
      <w:szCs w:val="24"/>
    </w:rPr>
  </w:style>
  <w:style w:type="character" w:customStyle="1" w:styleId="49">
    <w:name w:val="文档结构图 字符"/>
    <w:basedOn w:val="34"/>
    <w:link w:val="10"/>
    <w:qFormat/>
    <w:uiPriority w:val="99"/>
    <w:rPr>
      <w:rFonts w:ascii="宋体"/>
      <w:sz w:val="18"/>
      <w:szCs w:val="18"/>
    </w:rPr>
  </w:style>
  <w:style w:type="character" w:customStyle="1" w:styleId="50">
    <w:name w:val="批注文字 字符"/>
    <w:basedOn w:val="34"/>
    <w:link w:val="11"/>
    <w:qFormat/>
    <w:uiPriority w:val="0"/>
    <w:rPr>
      <w:rFonts w:eastAsia="仿宋_GB2312"/>
      <w:sz w:val="32"/>
    </w:rPr>
  </w:style>
  <w:style w:type="character" w:customStyle="1" w:styleId="51">
    <w:name w:val="正文文本 字符"/>
    <w:basedOn w:val="34"/>
    <w:link w:val="12"/>
    <w:qFormat/>
    <w:uiPriority w:val="0"/>
    <w:rPr>
      <w:rFonts w:ascii="仿宋_GB2312" w:hAnsi="Times New Roman" w:eastAsia="宋体" w:cs="Times New Roman"/>
      <w:sz w:val="24"/>
      <w:szCs w:val="28"/>
    </w:rPr>
  </w:style>
  <w:style w:type="character" w:customStyle="1" w:styleId="52">
    <w:name w:val="正文文本缩进 字符"/>
    <w:basedOn w:val="34"/>
    <w:link w:val="13"/>
    <w:qFormat/>
    <w:uiPriority w:val="0"/>
    <w:rPr>
      <w:rFonts w:ascii="仿宋_GB2312" w:eastAsia="仿宋_GB2312"/>
      <w:sz w:val="28"/>
      <w:szCs w:val="28"/>
    </w:rPr>
  </w:style>
  <w:style w:type="character" w:customStyle="1" w:styleId="53">
    <w:name w:val="纯文本 字符"/>
    <w:basedOn w:val="34"/>
    <w:link w:val="16"/>
    <w:qFormat/>
    <w:uiPriority w:val="0"/>
    <w:rPr>
      <w:rFonts w:ascii="宋体" w:hAnsi="Courier New" w:eastAsia="仿宋_GB2312" w:cs="Times New Roman"/>
      <w:sz w:val="24"/>
      <w:szCs w:val="20"/>
    </w:rPr>
  </w:style>
  <w:style w:type="character" w:customStyle="1" w:styleId="54">
    <w:name w:val="日期 字符"/>
    <w:basedOn w:val="34"/>
    <w:link w:val="17"/>
    <w:qFormat/>
    <w:uiPriority w:val="0"/>
    <w:rPr>
      <w:rFonts w:ascii="宋体" w:hAnsi="Times New Roman" w:eastAsia="宋体" w:cs="Times New Roman"/>
      <w:sz w:val="24"/>
      <w:szCs w:val="20"/>
    </w:rPr>
  </w:style>
  <w:style w:type="character" w:customStyle="1" w:styleId="55">
    <w:name w:val="正文文本缩进 2 字符"/>
    <w:basedOn w:val="34"/>
    <w:link w:val="18"/>
    <w:qFormat/>
    <w:uiPriority w:val="0"/>
    <w:rPr>
      <w:rFonts w:ascii="Times New Roman" w:hAnsi="Times New Roman" w:eastAsia="仿宋_GB2312" w:cs="Times New Roman"/>
      <w:sz w:val="24"/>
      <w:szCs w:val="28"/>
    </w:rPr>
  </w:style>
  <w:style w:type="character" w:customStyle="1" w:styleId="56">
    <w:name w:val="批注框文本 字符"/>
    <w:basedOn w:val="34"/>
    <w:link w:val="19"/>
    <w:qFormat/>
    <w:uiPriority w:val="0"/>
    <w:rPr>
      <w:rFonts w:eastAsia="仿宋_GB2312"/>
      <w:sz w:val="18"/>
      <w:szCs w:val="18"/>
    </w:rPr>
  </w:style>
  <w:style w:type="character" w:customStyle="1" w:styleId="57">
    <w:name w:val="副标题 字符"/>
    <w:basedOn w:val="34"/>
    <w:link w:val="23"/>
    <w:qFormat/>
    <w:uiPriority w:val="0"/>
    <w:rPr>
      <w:rFonts w:ascii="Cambria" w:hAnsi="Cambria" w:cs="Times New Roman"/>
      <w:b/>
      <w:bCs/>
      <w:kern w:val="28"/>
      <w:sz w:val="32"/>
      <w:szCs w:val="32"/>
    </w:rPr>
  </w:style>
  <w:style w:type="character" w:customStyle="1" w:styleId="58">
    <w:name w:val="脚注文本 字符"/>
    <w:basedOn w:val="34"/>
    <w:link w:val="24"/>
    <w:qFormat/>
    <w:uiPriority w:val="99"/>
    <w:rPr>
      <w:rFonts w:eastAsia="仿宋_GB2312"/>
      <w:sz w:val="18"/>
      <w:szCs w:val="18"/>
    </w:rPr>
  </w:style>
  <w:style w:type="character" w:customStyle="1" w:styleId="59">
    <w:name w:val="正文文本缩进 3 字符"/>
    <w:basedOn w:val="34"/>
    <w:link w:val="25"/>
    <w:qFormat/>
    <w:uiPriority w:val="0"/>
    <w:rPr>
      <w:rFonts w:ascii="仿宋_GB2312" w:hAnsi="仿宋_GB2312" w:eastAsia="仿宋_GB2312"/>
      <w:sz w:val="16"/>
      <w:szCs w:val="16"/>
    </w:rPr>
  </w:style>
  <w:style w:type="character" w:customStyle="1" w:styleId="60">
    <w:name w:val="HTML 预设格式 字符"/>
    <w:basedOn w:val="34"/>
    <w:link w:val="28"/>
    <w:qFormat/>
    <w:uiPriority w:val="99"/>
    <w:rPr>
      <w:rFonts w:ascii="宋体" w:hAnsi="宋体" w:cs="宋体"/>
      <w:sz w:val="24"/>
      <w:szCs w:val="24"/>
    </w:rPr>
  </w:style>
  <w:style w:type="character" w:customStyle="1" w:styleId="61">
    <w:name w:val="标题 字符"/>
    <w:basedOn w:val="34"/>
    <w:link w:val="30"/>
    <w:qFormat/>
    <w:uiPriority w:val="10"/>
    <w:rPr>
      <w:rFonts w:asciiTheme="majorHAnsi" w:hAnsiTheme="majorHAnsi" w:eastAsiaTheme="majorEastAsia" w:cstheme="majorBidi"/>
      <w:b/>
      <w:bCs/>
      <w:sz w:val="32"/>
      <w:szCs w:val="32"/>
    </w:rPr>
  </w:style>
  <w:style w:type="character" w:customStyle="1" w:styleId="62">
    <w:name w:val="批注主题 字符"/>
    <w:basedOn w:val="50"/>
    <w:link w:val="31"/>
    <w:semiHidden/>
    <w:qFormat/>
    <w:uiPriority w:val="99"/>
    <w:rPr>
      <w:rFonts w:eastAsia="仿宋_GB2312"/>
      <w:b/>
      <w:bCs/>
      <w:sz w:val="32"/>
    </w:rPr>
  </w:style>
  <w:style w:type="paragraph" w:customStyle="1" w:styleId="6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styleId="64">
    <w:name w:val="Placeholder Text"/>
    <w:basedOn w:val="34"/>
    <w:semiHidden/>
    <w:qFormat/>
    <w:uiPriority w:val="99"/>
    <w:rPr>
      <w:color w:val="808080"/>
    </w:rPr>
  </w:style>
  <w:style w:type="paragraph" w:customStyle="1" w:styleId="6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66">
    <w:name w:val="Char Char16"/>
    <w:qFormat/>
    <w:uiPriority w:val="0"/>
    <w:rPr>
      <w:kern w:val="2"/>
      <w:sz w:val="18"/>
      <w:szCs w:val="18"/>
    </w:rPr>
  </w:style>
  <w:style w:type="character" w:customStyle="1" w:styleId="67">
    <w:name w:val="text_edit editable-title"/>
    <w:basedOn w:val="34"/>
    <w:qFormat/>
    <w:uiPriority w:val="0"/>
  </w:style>
  <w:style w:type="character" w:customStyle="1" w:styleId="68">
    <w:name w:val="Char Char15"/>
    <w:qFormat/>
    <w:uiPriority w:val="0"/>
    <w:rPr>
      <w:kern w:val="2"/>
      <w:sz w:val="18"/>
      <w:szCs w:val="18"/>
    </w:rPr>
  </w:style>
  <w:style w:type="character" w:customStyle="1" w:styleId="69">
    <w:name w:val="style71"/>
    <w:qFormat/>
    <w:uiPriority w:val="0"/>
    <w:rPr>
      <w:color w:val="385F1D"/>
    </w:rPr>
  </w:style>
  <w:style w:type="character" w:customStyle="1" w:styleId="70">
    <w:name w:val="正文(仿)首缩 Char"/>
    <w:link w:val="71"/>
    <w:qFormat/>
    <w:uiPriority w:val="0"/>
    <w:rPr>
      <w:rFonts w:ascii="仿宋_GB2312" w:eastAsia="仿宋_GB2312"/>
      <w:sz w:val="28"/>
      <w:szCs w:val="28"/>
    </w:rPr>
  </w:style>
  <w:style w:type="paragraph" w:customStyle="1" w:styleId="71">
    <w:name w:val="正文(仿)首缩"/>
    <w:basedOn w:val="1"/>
    <w:link w:val="70"/>
    <w:qFormat/>
    <w:uiPriority w:val="0"/>
    <w:pPr>
      <w:spacing w:line="240" w:lineRule="auto"/>
    </w:pPr>
    <w:rPr>
      <w:rFonts w:ascii="仿宋_GB2312"/>
      <w:sz w:val="28"/>
      <w:szCs w:val="28"/>
    </w:rPr>
  </w:style>
  <w:style w:type="character" w:customStyle="1" w:styleId="72">
    <w:name w:val="20p1"/>
    <w:qFormat/>
    <w:uiPriority w:val="0"/>
    <w:rPr>
      <w:spacing w:val="48"/>
    </w:rPr>
  </w:style>
  <w:style w:type="character" w:customStyle="1" w:styleId="73">
    <w:name w:val="表头 Char"/>
    <w:link w:val="74"/>
    <w:qFormat/>
    <w:uiPriority w:val="0"/>
    <w:rPr>
      <w:rFonts w:ascii="仿宋_GB2312" w:eastAsia="黑体"/>
      <w:sz w:val="28"/>
    </w:rPr>
  </w:style>
  <w:style w:type="paragraph" w:customStyle="1" w:styleId="74">
    <w:name w:val="表头"/>
    <w:basedOn w:val="1"/>
    <w:next w:val="1"/>
    <w:link w:val="73"/>
    <w:qFormat/>
    <w:uiPriority w:val="0"/>
    <w:pPr>
      <w:spacing w:line="240" w:lineRule="auto"/>
      <w:jc w:val="center"/>
    </w:pPr>
    <w:rPr>
      <w:rFonts w:ascii="仿宋_GB2312" w:eastAsia="黑体"/>
      <w:sz w:val="28"/>
    </w:rPr>
  </w:style>
  <w:style w:type="character" w:customStyle="1" w:styleId="75">
    <w:name w:val="javascript"/>
    <w:basedOn w:val="34"/>
    <w:qFormat/>
    <w:uiPriority w:val="0"/>
  </w:style>
  <w:style w:type="character" w:customStyle="1" w:styleId="76">
    <w:name w:val="style41"/>
    <w:qFormat/>
    <w:uiPriority w:val="0"/>
    <w:rPr>
      <w:color w:val="8A3C0D"/>
    </w:rPr>
  </w:style>
  <w:style w:type="character" w:customStyle="1" w:styleId="77">
    <w:name w:val="表编号 Char"/>
    <w:link w:val="78"/>
    <w:qFormat/>
    <w:uiPriority w:val="0"/>
    <w:rPr>
      <w:rFonts w:ascii="仿宋_GB2312" w:hAnsi="Book Antiqua" w:eastAsia="仿宋_GB2312" w:cs="Book Antiqua"/>
      <w:sz w:val="28"/>
      <w:szCs w:val="28"/>
    </w:rPr>
  </w:style>
  <w:style w:type="paragraph" w:customStyle="1" w:styleId="78">
    <w:name w:val="表编号"/>
    <w:basedOn w:val="1"/>
    <w:link w:val="77"/>
    <w:qFormat/>
    <w:uiPriority w:val="0"/>
    <w:pPr>
      <w:spacing w:line="240" w:lineRule="auto"/>
      <w:jc w:val="left"/>
    </w:pPr>
    <w:rPr>
      <w:rFonts w:ascii="仿宋_GB2312" w:hAnsi="Book Antiqua" w:cs="Book Antiqua"/>
      <w:sz w:val="28"/>
      <w:szCs w:val="28"/>
    </w:rPr>
  </w:style>
  <w:style w:type="character" w:customStyle="1" w:styleId="79">
    <w:name w:val="headline-content2"/>
    <w:basedOn w:val="34"/>
    <w:qFormat/>
    <w:uiPriority w:val="0"/>
  </w:style>
  <w:style w:type="character" w:customStyle="1" w:styleId="80">
    <w:name w:val="表格号 Char"/>
    <w:link w:val="81"/>
    <w:qFormat/>
    <w:uiPriority w:val="0"/>
    <w:rPr>
      <w:rFonts w:ascii="仿宋_GB2312" w:eastAsia="仿宋_GB2312" w:cs="宋体"/>
    </w:rPr>
  </w:style>
  <w:style w:type="paragraph" w:customStyle="1" w:styleId="81">
    <w:name w:val="表格号"/>
    <w:basedOn w:val="1"/>
    <w:link w:val="80"/>
    <w:qFormat/>
    <w:uiPriority w:val="0"/>
    <w:pPr>
      <w:spacing w:line="0" w:lineRule="atLeast"/>
    </w:pPr>
    <w:rPr>
      <w:rFonts w:ascii="仿宋_GB2312" w:cs="宋体"/>
      <w:sz w:val="21"/>
    </w:rPr>
  </w:style>
  <w:style w:type="character" w:customStyle="1" w:styleId="82">
    <w:name w:val="style4"/>
    <w:basedOn w:val="34"/>
    <w:qFormat/>
    <w:uiPriority w:val="0"/>
  </w:style>
  <w:style w:type="character" w:customStyle="1" w:styleId="83">
    <w:name w:val="Char Char7"/>
    <w:qFormat/>
    <w:uiPriority w:val="0"/>
    <w:rPr>
      <w:rFonts w:ascii="宋体"/>
      <w:kern w:val="2"/>
      <w:sz w:val="18"/>
      <w:szCs w:val="18"/>
    </w:rPr>
  </w:style>
  <w:style w:type="character" w:customStyle="1" w:styleId="84">
    <w:name w:val="段落格式 Char"/>
    <w:link w:val="85"/>
    <w:qFormat/>
    <w:uiPriority w:val="0"/>
    <w:rPr>
      <w:rFonts w:ascii="仿宋_GB2312" w:eastAsia="仿宋_GB2312" w:cs="宋体"/>
      <w:sz w:val="24"/>
    </w:rPr>
  </w:style>
  <w:style w:type="paragraph" w:customStyle="1" w:styleId="85">
    <w:name w:val="段落格式"/>
    <w:basedOn w:val="1"/>
    <w:link w:val="84"/>
    <w:qFormat/>
    <w:uiPriority w:val="0"/>
    <w:pPr>
      <w:spacing w:line="240" w:lineRule="auto"/>
      <w:ind w:firstLine="546" w:firstLineChars="197"/>
    </w:pPr>
    <w:rPr>
      <w:rFonts w:ascii="仿宋_GB2312" w:cs="宋体"/>
      <w:sz w:val="24"/>
    </w:rPr>
  </w:style>
  <w:style w:type="character" w:customStyle="1" w:styleId="86">
    <w:name w:val="表 Char"/>
    <w:link w:val="87"/>
    <w:qFormat/>
    <w:uiPriority w:val="0"/>
    <w:rPr>
      <w:szCs w:val="21"/>
    </w:rPr>
  </w:style>
  <w:style w:type="paragraph" w:customStyle="1" w:styleId="87">
    <w:name w:val="表"/>
    <w:basedOn w:val="1"/>
    <w:link w:val="86"/>
    <w:qFormat/>
    <w:uiPriority w:val="0"/>
    <w:pPr>
      <w:widowControl/>
      <w:spacing w:line="240" w:lineRule="auto"/>
      <w:jc w:val="center"/>
    </w:pPr>
    <w:rPr>
      <w:rFonts w:eastAsiaTheme="minorEastAsia"/>
      <w:sz w:val="21"/>
      <w:szCs w:val="21"/>
    </w:rPr>
  </w:style>
  <w:style w:type="character" w:customStyle="1" w:styleId="88">
    <w:name w:val="title10"/>
    <w:basedOn w:val="34"/>
    <w:qFormat/>
    <w:uiPriority w:val="0"/>
  </w:style>
  <w:style w:type="character" w:customStyle="1" w:styleId="89">
    <w:name w:val="可研正文 Char"/>
    <w:link w:val="90"/>
    <w:qFormat/>
    <w:uiPriority w:val="0"/>
    <w:rPr>
      <w:rFonts w:ascii="Calibri" w:hAnsi="Calibri" w:cs="宋体"/>
      <w:sz w:val="28"/>
    </w:rPr>
  </w:style>
  <w:style w:type="paragraph" w:customStyle="1" w:styleId="90">
    <w:name w:val="可研正文"/>
    <w:basedOn w:val="1"/>
    <w:link w:val="89"/>
    <w:qFormat/>
    <w:uiPriority w:val="0"/>
    <w:pPr>
      <w:ind w:firstLine="560"/>
    </w:pPr>
    <w:rPr>
      <w:rFonts w:ascii="Calibri" w:hAnsi="Calibri" w:cs="宋体" w:eastAsiaTheme="minorEastAsia"/>
      <w:sz w:val="28"/>
    </w:rPr>
  </w:style>
  <w:style w:type="character" w:customStyle="1" w:styleId="91">
    <w:name w:val="节（3级） Char"/>
    <w:qFormat/>
    <w:uiPriority w:val="0"/>
    <w:rPr>
      <w:rFonts w:ascii="仿宋_GB2312" w:eastAsia="仿宋_GB2312"/>
      <w:bCs/>
      <w:kern w:val="2"/>
      <w:sz w:val="28"/>
      <w:szCs w:val="28"/>
      <w:lang w:val="en-US" w:eastAsia="zh-CN" w:bidi="ar-SA"/>
    </w:rPr>
  </w:style>
  <w:style w:type="character" w:customStyle="1" w:styleId="92">
    <w:name w:val="count4"/>
    <w:basedOn w:val="34"/>
    <w:qFormat/>
    <w:uiPriority w:val="0"/>
  </w:style>
  <w:style w:type="character" w:customStyle="1" w:styleId="93">
    <w:name w:val="表格正文 Char"/>
    <w:link w:val="94"/>
    <w:qFormat/>
    <w:uiPriority w:val="0"/>
    <w:rPr>
      <w:caps/>
      <w:szCs w:val="24"/>
    </w:rPr>
  </w:style>
  <w:style w:type="paragraph" w:customStyle="1" w:styleId="94">
    <w:name w:val="表格正文"/>
    <w:basedOn w:val="1"/>
    <w:link w:val="93"/>
    <w:qFormat/>
    <w:uiPriority w:val="0"/>
    <w:pPr>
      <w:spacing w:line="264" w:lineRule="auto"/>
      <w:jc w:val="center"/>
    </w:pPr>
    <w:rPr>
      <w:rFonts w:eastAsiaTheme="minorEastAsia"/>
      <w:caps/>
      <w:sz w:val="21"/>
      <w:szCs w:val="24"/>
    </w:rPr>
  </w:style>
  <w:style w:type="character" w:customStyle="1" w:styleId="95">
    <w:name w:val="表格 Char"/>
    <w:link w:val="96"/>
    <w:qFormat/>
    <w:uiPriority w:val="0"/>
    <w:rPr>
      <w:rFonts w:ascii="仿宋_GB2312" w:eastAsia="仿宋_GB2312"/>
      <w:sz w:val="28"/>
    </w:rPr>
  </w:style>
  <w:style w:type="paragraph" w:customStyle="1" w:styleId="96">
    <w:name w:val="表格"/>
    <w:basedOn w:val="1"/>
    <w:link w:val="95"/>
    <w:qFormat/>
    <w:uiPriority w:val="0"/>
    <w:pPr>
      <w:spacing w:line="240" w:lineRule="auto"/>
      <w:jc w:val="center"/>
    </w:pPr>
    <w:rPr>
      <w:rFonts w:ascii="仿宋_GB2312"/>
      <w:sz w:val="28"/>
    </w:rPr>
  </w:style>
  <w:style w:type="character" w:customStyle="1" w:styleId="97">
    <w:name w:val="表格 Char Char"/>
    <w:qFormat/>
    <w:uiPriority w:val="0"/>
    <w:rPr>
      <w:rFonts w:ascii="仿宋_GB2312" w:eastAsia="仿宋_GB2312"/>
      <w:kern w:val="2"/>
      <w:sz w:val="28"/>
      <w:lang w:val="en-US" w:eastAsia="zh-CN" w:bidi="ar-SA"/>
    </w:rPr>
  </w:style>
  <w:style w:type="character" w:customStyle="1" w:styleId="98">
    <w:name w:val="font21"/>
    <w:qFormat/>
    <w:uiPriority w:val="0"/>
    <w:rPr>
      <w:rFonts w:hint="default" w:ascii="Times New Roman" w:hAnsi="Times New Roman" w:cs="Times New Roman"/>
      <w:color w:val="000000"/>
      <w:sz w:val="24"/>
      <w:szCs w:val="24"/>
      <w:u w:val="none"/>
    </w:rPr>
  </w:style>
  <w:style w:type="character" w:customStyle="1" w:styleId="99">
    <w:name w:val="font11"/>
    <w:qFormat/>
    <w:uiPriority w:val="0"/>
    <w:rPr>
      <w:rFonts w:hint="eastAsia" w:ascii="宋体" w:hAnsi="宋体" w:eastAsia="宋体" w:cs="宋体"/>
      <w:color w:val="000000"/>
      <w:sz w:val="24"/>
      <w:szCs w:val="24"/>
      <w:u w:val="none"/>
    </w:rPr>
  </w:style>
  <w:style w:type="character" w:customStyle="1" w:styleId="100">
    <w:name w:val="font01"/>
    <w:qFormat/>
    <w:uiPriority w:val="0"/>
    <w:rPr>
      <w:rFonts w:hint="eastAsia" w:ascii="仿宋" w:hAnsi="仿宋" w:eastAsia="仿宋" w:cs="仿宋"/>
      <w:color w:val="000000"/>
      <w:sz w:val="20"/>
      <w:szCs w:val="20"/>
      <w:u w:val="none"/>
      <w:vertAlign w:val="superscript"/>
    </w:rPr>
  </w:style>
  <w:style w:type="character" w:customStyle="1" w:styleId="101">
    <w:name w:val="HTML 预设格式 字符1"/>
    <w:basedOn w:val="34"/>
    <w:semiHidden/>
    <w:qFormat/>
    <w:uiPriority w:val="99"/>
    <w:rPr>
      <w:rFonts w:ascii="Courier New" w:hAnsi="Courier New" w:eastAsia="仿宋_GB2312" w:cs="Courier New"/>
      <w:sz w:val="20"/>
      <w:szCs w:val="20"/>
    </w:rPr>
  </w:style>
  <w:style w:type="character" w:customStyle="1" w:styleId="102">
    <w:name w:val="副标题 字符1"/>
    <w:basedOn w:val="34"/>
    <w:qFormat/>
    <w:uiPriority w:val="11"/>
    <w:rPr>
      <w:b/>
      <w:bCs/>
      <w:kern w:val="28"/>
      <w:sz w:val="32"/>
      <w:szCs w:val="32"/>
    </w:rPr>
  </w:style>
  <w:style w:type="character" w:customStyle="1" w:styleId="103">
    <w:name w:val="正文文本缩进 字符1"/>
    <w:basedOn w:val="34"/>
    <w:semiHidden/>
    <w:qFormat/>
    <w:uiPriority w:val="99"/>
    <w:rPr>
      <w:rFonts w:eastAsia="仿宋_GB2312"/>
      <w:sz w:val="32"/>
    </w:rPr>
  </w:style>
  <w:style w:type="character" w:customStyle="1" w:styleId="104">
    <w:name w:val="正文文本缩进 3 字符1"/>
    <w:basedOn w:val="34"/>
    <w:semiHidden/>
    <w:qFormat/>
    <w:uiPriority w:val="99"/>
    <w:rPr>
      <w:rFonts w:eastAsia="仿宋_GB2312"/>
      <w:sz w:val="16"/>
      <w:szCs w:val="16"/>
    </w:rPr>
  </w:style>
  <w:style w:type="character" w:customStyle="1" w:styleId="105">
    <w:name w:val="文档结构图 字符1"/>
    <w:basedOn w:val="34"/>
    <w:semiHidden/>
    <w:qFormat/>
    <w:uiPriority w:val="99"/>
    <w:rPr>
      <w:rFonts w:ascii="Microsoft YaHei UI" w:eastAsia="Microsoft YaHei UI"/>
      <w:sz w:val="18"/>
      <w:szCs w:val="18"/>
    </w:rPr>
  </w:style>
  <w:style w:type="paragraph" w:customStyle="1" w:styleId="10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黑体" w:hAnsi="黑体" w:eastAsia="黑体" w:cs="宋体"/>
      <w:b/>
      <w:bCs/>
      <w:kern w:val="0"/>
      <w:sz w:val="20"/>
      <w:szCs w:val="20"/>
    </w:rPr>
  </w:style>
  <w:style w:type="paragraph" w:customStyle="1" w:styleId="10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仿宋" w:hAnsi="仿宋" w:eastAsia="仿宋" w:cs="宋体"/>
      <w:b/>
      <w:bCs/>
      <w:kern w:val="0"/>
      <w:sz w:val="20"/>
      <w:szCs w:val="20"/>
    </w:rPr>
  </w:style>
  <w:style w:type="paragraph" w:customStyle="1" w:styleId="108">
    <w:name w:val="简单回函地址"/>
    <w:basedOn w:val="1"/>
    <w:qFormat/>
    <w:uiPriority w:val="0"/>
    <w:pPr>
      <w:spacing w:line="240" w:lineRule="auto"/>
    </w:pPr>
    <w:rPr>
      <w:rFonts w:ascii="Times New Roman" w:hAnsi="Times New Roman" w:eastAsia="宋体" w:cs="Times New Roman"/>
      <w:sz w:val="21"/>
      <w:szCs w:val="24"/>
    </w:rPr>
  </w:style>
  <w:style w:type="paragraph" w:customStyle="1" w:styleId="10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center"/>
    </w:pPr>
    <w:rPr>
      <w:rFonts w:ascii="仿宋" w:hAnsi="仿宋" w:eastAsia="仿宋" w:cs="宋体"/>
      <w:b/>
      <w:bCs/>
      <w:kern w:val="0"/>
      <w:sz w:val="20"/>
      <w:szCs w:val="20"/>
    </w:rPr>
  </w:style>
  <w:style w:type="paragraph" w:customStyle="1" w:styleId="111">
    <w:name w:val="xl50"/>
    <w:basedOn w:val="1"/>
    <w:qFormat/>
    <w:uiPriority w:val="0"/>
    <w:pPr>
      <w:widowControl/>
      <w:spacing w:before="100" w:beforeAutospacing="1" w:after="100" w:afterAutospacing="1" w:line="240" w:lineRule="auto"/>
      <w:jc w:val="center"/>
    </w:pPr>
    <w:rPr>
      <w:rFonts w:hint="eastAsia" w:ascii="黑体" w:hAnsi="宋体" w:eastAsia="黑体" w:cs="Times New Roman"/>
      <w:kern w:val="0"/>
      <w:sz w:val="24"/>
      <w:szCs w:val="28"/>
    </w:rPr>
  </w:style>
  <w:style w:type="paragraph" w:customStyle="1" w:styleId="11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仿宋" w:hAnsi="仿宋" w:eastAsia="仿宋" w:cs="宋体"/>
      <w:kern w:val="0"/>
      <w:sz w:val="20"/>
      <w:szCs w:val="20"/>
    </w:rPr>
  </w:style>
  <w:style w:type="paragraph" w:customStyle="1" w:styleId="113">
    <w:name w:val="iw_poi_title"/>
    <w:basedOn w:val="1"/>
    <w:qFormat/>
    <w:uiPriority w:val="0"/>
    <w:pPr>
      <w:widowControl/>
      <w:spacing w:line="240" w:lineRule="auto"/>
      <w:jc w:val="left"/>
    </w:pPr>
    <w:rPr>
      <w:rFonts w:ascii="宋体" w:hAnsi="宋体" w:eastAsia="宋体" w:cs="宋体"/>
      <w:b/>
      <w:bCs/>
      <w:color w:val="4D4D4D"/>
      <w:kern w:val="0"/>
      <w:sz w:val="21"/>
      <w:szCs w:val="21"/>
    </w:rPr>
  </w:style>
  <w:style w:type="paragraph" w:customStyle="1" w:styleId="114">
    <w:name w:val="表名称"/>
    <w:basedOn w:val="1"/>
    <w:qFormat/>
    <w:uiPriority w:val="0"/>
    <w:pPr>
      <w:spacing w:line="240" w:lineRule="auto"/>
      <w:jc w:val="center"/>
    </w:pPr>
    <w:rPr>
      <w:rFonts w:ascii="黑体" w:hAnsi="Times New Roman" w:eastAsia="黑体" w:cs="宋体"/>
      <w:sz w:val="24"/>
      <w:szCs w:val="20"/>
    </w:rPr>
  </w:style>
  <w:style w:type="paragraph" w:customStyle="1" w:styleId="115">
    <w:name w:val="Char Char Char Char Char Char2 Char"/>
    <w:basedOn w:val="1"/>
    <w:qFormat/>
    <w:uiPriority w:val="0"/>
    <w:rPr>
      <w:rFonts w:ascii="宋体" w:hAnsi="宋体" w:eastAsia="宋体" w:cs="宋体"/>
      <w:sz w:val="24"/>
      <w:szCs w:val="24"/>
    </w:rPr>
  </w:style>
  <w:style w:type="paragraph" w:customStyle="1" w:styleId="116">
    <w:name w:val="表格号及注解"/>
    <w:basedOn w:val="1"/>
    <w:qFormat/>
    <w:uiPriority w:val="0"/>
    <w:pPr>
      <w:spacing w:line="0" w:lineRule="atLeast"/>
    </w:pPr>
    <w:rPr>
      <w:rFonts w:ascii="仿宋_GB2312" w:hAnsi="Times New Roman" w:cs="宋体"/>
      <w:sz w:val="21"/>
      <w:szCs w:val="20"/>
    </w:rPr>
  </w:style>
  <w:style w:type="paragraph" w:customStyle="1" w:styleId="11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right"/>
    </w:pPr>
    <w:rPr>
      <w:rFonts w:ascii="仿宋" w:hAnsi="仿宋" w:eastAsia="仿宋" w:cs="宋体"/>
      <w:b/>
      <w:bCs/>
      <w:kern w:val="0"/>
      <w:sz w:val="20"/>
      <w:szCs w:val="20"/>
    </w:rPr>
  </w:style>
  <w:style w:type="paragraph" w:customStyle="1" w:styleId="119">
    <w:name w:val="样式 首行缩进"/>
    <w:basedOn w:val="1"/>
    <w:qFormat/>
    <w:uiPriority w:val="0"/>
    <w:pPr>
      <w:spacing w:line="240" w:lineRule="auto"/>
      <w:ind w:firstLine="551"/>
    </w:pPr>
    <w:rPr>
      <w:rFonts w:ascii="仿宋_GB2312" w:hAnsi="Times New Roman" w:cs="宋体"/>
      <w:sz w:val="24"/>
      <w:szCs w:val="20"/>
    </w:rPr>
  </w:style>
  <w:style w:type="paragraph" w:customStyle="1" w:styleId="1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2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right"/>
    </w:pPr>
    <w:rPr>
      <w:rFonts w:ascii="仿宋" w:hAnsi="仿宋" w:eastAsia="仿宋" w:cs="宋体"/>
      <w:kern w:val="0"/>
      <w:sz w:val="20"/>
      <w:szCs w:val="20"/>
    </w:rPr>
  </w:style>
  <w:style w:type="paragraph" w:customStyle="1" w:styleId="122">
    <w:name w:val="表格内容（左）"/>
    <w:basedOn w:val="1"/>
    <w:qFormat/>
    <w:uiPriority w:val="0"/>
    <w:pPr>
      <w:spacing w:line="0" w:lineRule="atLeast"/>
      <w:jc w:val="left"/>
    </w:pPr>
    <w:rPr>
      <w:rFonts w:ascii="仿宋_GB2312" w:hAnsi="Times New Roman" w:cs="宋体"/>
      <w:sz w:val="21"/>
      <w:szCs w:val="21"/>
    </w:rPr>
  </w:style>
  <w:style w:type="paragraph" w:customStyle="1" w:styleId="12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仿宋" w:hAnsi="仿宋" w:eastAsia="仿宋" w:cs="宋体"/>
      <w:kern w:val="0"/>
      <w:sz w:val="20"/>
      <w:szCs w:val="20"/>
    </w:rPr>
  </w:style>
  <w:style w:type="paragraph" w:customStyle="1" w:styleId="124">
    <w:name w:val="xl65"/>
    <w:basedOn w:val="1"/>
    <w:qFormat/>
    <w:uiPriority w:val="0"/>
    <w:pPr>
      <w:widowControl/>
      <w:spacing w:before="100" w:beforeAutospacing="1" w:after="100" w:afterAutospacing="1" w:line="240" w:lineRule="auto"/>
      <w:jc w:val="left"/>
    </w:pPr>
    <w:rPr>
      <w:rFonts w:ascii="仿宋" w:hAnsi="仿宋" w:eastAsia="仿宋" w:cs="宋体"/>
      <w:kern w:val="0"/>
      <w:sz w:val="20"/>
      <w:szCs w:val="20"/>
    </w:rPr>
  </w:style>
  <w:style w:type="paragraph" w:customStyle="1" w:styleId="125">
    <w:name w:val="album-div"/>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2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pPr>
    <w:rPr>
      <w:rFonts w:ascii="仿宋" w:hAnsi="仿宋" w:eastAsia="仿宋" w:cs="宋体"/>
      <w:kern w:val="0"/>
      <w:sz w:val="20"/>
      <w:szCs w:val="20"/>
    </w:rPr>
  </w:style>
  <w:style w:type="paragraph" w:customStyle="1" w:styleId="127">
    <w:name w:val="表格001"/>
    <w:basedOn w:val="1"/>
    <w:qFormat/>
    <w:uiPriority w:val="0"/>
    <w:pPr>
      <w:widowControl/>
      <w:tabs>
        <w:tab w:val="left" w:pos="2880"/>
        <w:tab w:val="left" w:pos="3120"/>
      </w:tabs>
      <w:spacing w:line="288" w:lineRule="auto"/>
      <w:ind w:firstLine="480"/>
      <w:jc w:val="left"/>
      <w:outlineLvl w:val="8"/>
    </w:pPr>
    <w:rPr>
      <w:rFonts w:ascii="宋体" w:hAnsi="宋体" w:eastAsia="宋体" w:cs="宋体"/>
      <w:kern w:val="0"/>
      <w:sz w:val="21"/>
      <w:szCs w:val="20"/>
    </w:rPr>
  </w:style>
  <w:style w:type="paragraph" w:customStyle="1" w:styleId="128">
    <w:name w:val="表格名"/>
    <w:basedOn w:val="1"/>
    <w:qFormat/>
    <w:uiPriority w:val="0"/>
    <w:pPr>
      <w:spacing w:line="240" w:lineRule="auto"/>
      <w:jc w:val="center"/>
    </w:pPr>
    <w:rPr>
      <w:rFonts w:ascii="仿宋_GB2312" w:hAnsi="Times New Roman" w:eastAsia="黑体" w:cs="宋体"/>
      <w:sz w:val="24"/>
      <w:szCs w:val="20"/>
    </w:rPr>
  </w:style>
  <w:style w:type="paragraph" w:customStyle="1" w:styleId="129">
    <w:name w:val="表格居中"/>
    <w:basedOn w:val="1"/>
    <w:qFormat/>
    <w:uiPriority w:val="0"/>
    <w:pPr>
      <w:spacing w:line="0" w:lineRule="atLeast"/>
      <w:jc w:val="center"/>
    </w:pPr>
    <w:rPr>
      <w:rFonts w:ascii="仿宋_GB2312" w:hAnsi="Times New Roman" w:cs="宋体"/>
      <w:sz w:val="21"/>
      <w:szCs w:val="20"/>
    </w:rPr>
  </w:style>
  <w:style w:type="paragraph" w:customStyle="1" w:styleId="130">
    <w:name w:val="Char Char Char Char Char Char2 Char1"/>
    <w:basedOn w:val="1"/>
    <w:qFormat/>
    <w:uiPriority w:val="0"/>
    <w:rPr>
      <w:rFonts w:ascii="宋体" w:hAnsi="宋体" w:eastAsia="宋体" w:cs="宋体"/>
      <w:sz w:val="24"/>
      <w:szCs w:val="24"/>
    </w:rPr>
  </w:style>
  <w:style w:type="paragraph" w:customStyle="1" w:styleId="13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仿宋" w:hAnsi="仿宋" w:eastAsia="仿宋" w:cs="宋体"/>
      <w:kern w:val="0"/>
      <w:sz w:val="20"/>
      <w:szCs w:val="20"/>
    </w:rPr>
  </w:style>
  <w:style w:type="paragraph" w:customStyle="1" w:styleId="132">
    <w:name w:val="表内容（中）"/>
    <w:basedOn w:val="1"/>
    <w:qFormat/>
    <w:uiPriority w:val="0"/>
    <w:pPr>
      <w:spacing w:line="0" w:lineRule="atLeast"/>
      <w:jc w:val="center"/>
    </w:pPr>
    <w:rPr>
      <w:rFonts w:ascii="仿宋_GB2312" w:hAnsi="仿宋_GB2312" w:cs="宋体"/>
      <w:snapToGrid w:val="0"/>
      <w:sz w:val="21"/>
      <w:szCs w:val="20"/>
    </w:rPr>
  </w:style>
  <w:style w:type="paragraph" w:customStyle="1" w:styleId="133">
    <w:name w:val="样式 (中文) 仿宋_GB2312 四号"/>
    <w:basedOn w:val="1"/>
    <w:qFormat/>
    <w:uiPriority w:val="0"/>
    <w:rPr>
      <w:rFonts w:ascii="Times New Roman" w:hAnsi="Times New Roman" w:cs="宋体"/>
      <w:sz w:val="24"/>
      <w:szCs w:val="20"/>
    </w:rPr>
  </w:style>
  <w:style w:type="paragraph" w:customStyle="1" w:styleId="134">
    <w:name w:val="表内容（黑体）"/>
    <w:basedOn w:val="71"/>
    <w:qFormat/>
    <w:uiPriority w:val="0"/>
    <w:pPr>
      <w:spacing w:line="0" w:lineRule="atLeast"/>
      <w:ind w:firstLine="0" w:firstLineChars="0"/>
      <w:jc w:val="center"/>
    </w:pPr>
    <w:rPr>
      <w:rFonts w:hAnsi="仿宋_GB2312" w:eastAsia="黑体" w:cs="宋体"/>
      <w:snapToGrid w:val="0"/>
      <w:sz w:val="21"/>
      <w:szCs w:val="20"/>
    </w:rPr>
  </w:style>
  <w:style w:type="paragraph" w:customStyle="1" w:styleId="135">
    <w:name w:val="表格标题_报告"/>
    <w:basedOn w:val="1"/>
    <w:qFormat/>
    <w:uiPriority w:val="0"/>
    <w:pPr>
      <w:spacing w:before="558" w:beforeLines="100" w:line="240" w:lineRule="auto"/>
      <w:jc w:val="center"/>
    </w:pPr>
    <w:rPr>
      <w:rFonts w:ascii="黑体" w:hAnsi="Times New Roman" w:eastAsia="黑体" w:cs="Times New Roman"/>
      <w:sz w:val="24"/>
      <w:szCs w:val="20"/>
    </w:rPr>
  </w:style>
  <w:style w:type="paragraph" w:customStyle="1" w:styleId="13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37">
    <w:name w:val="表格左对齐"/>
    <w:basedOn w:val="1"/>
    <w:qFormat/>
    <w:uiPriority w:val="0"/>
    <w:pPr>
      <w:spacing w:line="0" w:lineRule="atLeast"/>
    </w:pPr>
    <w:rPr>
      <w:rFonts w:ascii="仿宋_GB2312" w:hAnsi="Times New Roman" w:cs="宋体"/>
      <w:sz w:val="21"/>
      <w:szCs w:val="20"/>
    </w:rPr>
  </w:style>
  <w:style w:type="paragraph" w:customStyle="1" w:styleId="1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left"/>
    </w:pPr>
    <w:rPr>
      <w:rFonts w:ascii="仿宋" w:hAnsi="仿宋" w:eastAsia="仿宋" w:cs="宋体"/>
      <w:b/>
      <w:bCs/>
      <w:kern w:val="0"/>
      <w:sz w:val="20"/>
      <w:szCs w:val="20"/>
    </w:rPr>
  </w:style>
  <w:style w:type="paragraph" w:customStyle="1" w:styleId="139">
    <w:name w:val="表格第一行（黑体）"/>
    <w:basedOn w:val="1"/>
    <w:qFormat/>
    <w:uiPriority w:val="0"/>
    <w:pPr>
      <w:spacing w:line="0" w:lineRule="atLeast"/>
      <w:jc w:val="center"/>
    </w:pPr>
    <w:rPr>
      <w:rFonts w:ascii="黑体" w:hAnsi="Times New Roman" w:eastAsia="黑体" w:cs="宋体"/>
      <w:sz w:val="21"/>
      <w:szCs w:val="20"/>
    </w:rPr>
  </w:style>
  <w:style w:type="paragraph" w:customStyle="1" w:styleId="14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仿宋" w:hAnsi="仿宋" w:eastAsia="仿宋" w:cs="宋体"/>
      <w:kern w:val="0"/>
      <w:sz w:val="20"/>
      <w:szCs w:val="20"/>
    </w:rPr>
  </w:style>
  <w:style w:type="paragraph" w:customStyle="1" w:styleId="141">
    <w:name w:val="xl76"/>
    <w:basedOn w:val="1"/>
    <w:qFormat/>
    <w:uiPriority w:val="0"/>
    <w:pPr>
      <w:widowControl/>
      <w:spacing w:before="100" w:beforeAutospacing="1" w:after="100" w:afterAutospacing="1" w:line="240" w:lineRule="auto"/>
      <w:jc w:val="center"/>
    </w:pPr>
    <w:rPr>
      <w:rFonts w:ascii="仿宋" w:hAnsi="仿宋" w:eastAsia="仿宋" w:cs="宋体"/>
      <w:kern w:val="0"/>
      <w:sz w:val="20"/>
      <w:szCs w:val="20"/>
    </w:rPr>
  </w:style>
  <w:style w:type="paragraph" w:customStyle="1" w:styleId="142">
    <w:name w:val="Char1 Char Char Char Char Char Char Char Char Char"/>
    <w:basedOn w:val="1"/>
    <w:qFormat/>
    <w:uiPriority w:val="0"/>
    <w:pPr>
      <w:widowControl/>
      <w:spacing w:line="400" w:lineRule="exact"/>
      <w:jc w:val="center"/>
    </w:pPr>
    <w:rPr>
      <w:rFonts w:ascii="Verdana" w:hAnsi="Verdana" w:eastAsia="宋体" w:cs="Times New Roman"/>
      <w:kern w:val="0"/>
      <w:sz w:val="21"/>
      <w:szCs w:val="20"/>
      <w:lang w:eastAsia="en-US"/>
    </w:rPr>
  </w:style>
  <w:style w:type="paragraph" w:customStyle="1" w:styleId="1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4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left"/>
    </w:pPr>
    <w:rPr>
      <w:rFonts w:ascii="仿宋" w:hAnsi="仿宋" w:eastAsia="仿宋" w:cs="宋体"/>
      <w:b/>
      <w:bCs/>
      <w:kern w:val="0"/>
      <w:sz w:val="20"/>
      <w:szCs w:val="20"/>
    </w:rPr>
  </w:style>
  <w:style w:type="paragraph" w:customStyle="1" w:styleId="14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 w:hAnsi="仿宋" w:eastAsia="仿宋" w:cs="宋体"/>
      <w:kern w:val="0"/>
      <w:sz w:val="20"/>
      <w:szCs w:val="20"/>
    </w:rPr>
  </w:style>
  <w:style w:type="paragraph" w:customStyle="1" w:styleId="14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center"/>
    </w:pPr>
    <w:rPr>
      <w:rFonts w:ascii="仿宋" w:hAnsi="仿宋" w:eastAsia="仿宋" w:cs="宋体"/>
      <w:b/>
      <w:bCs/>
      <w:kern w:val="0"/>
      <w:sz w:val="20"/>
      <w:szCs w:val="20"/>
    </w:rPr>
  </w:style>
  <w:style w:type="paragraph" w:customStyle="1" w:styleId="147">
    <w:name w:val="p0"/>
    <w:basedOn w:val="1"/>
    <w:qFormat/>
    <w:uiPriority w:val="0"/>
    <w:pPr>
      <w:widowControl/>
      <w:spacing w:line="240" w:lineRule="auto"/>
    </w:pPr>
    <w:rPr>
      <w:rFonts w:ascii="仿宋_GB2312" w:hAnsi="宋体" w:cs="宋体"/>
      <w:kern w:val="0"/>
      <w:sz w:val="24"/>
      <w:szCs w:val="28"/>
    </w:rPr>
  </w:style>
  <w:style w:type="paragraph" w:customStyle="1" w:styleId="14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黑体" w:hAnsi="黑体" w:eastAsia="黑体" w:cs="宋体"/>
      <w:b/>
      <w:bCs/>
      <w:kern w:val="0"/>
      <w:sz w:val="20"/>
      <w:szCs w:val="20"/>
    </w:rPr>
  </w:style>
  <w:style w:type="paragraph" w:customStyle="1" w:styleId="14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仿宋" w:hAnsi="仿宋" w:eastAsia="仿宋" w:cs="宋体"/>
      <w:kern w:val="0"/>
      <w:sz w:val="20"/>
      <w:szCs w:val="20"/>
    </w:rPr>
  </w:style>
  <w:style w:type="paragraph" w:customStyle="1" w:styleId="150">
    <w:name w:val="表格内容"/>
    <w:basedOn w:val="1"/>
    <w:qFormat/>
    <w:uiPriority w:val="0"/>
    <w:pPr>
      <w:spacing w:line="0" w:lineRule="atLeast"/>
      <w:jc w:val="center"/>
    </w:pPr>
    <w:rPr>
      <w:rFonts w:ascii="仿宋_GB2312" w:hAnsi="Times New Roman" w:eastAsia="黑体" w:cs="宋体"/>
      <w:sz w:val="21"/>
      <w:szCs w:val="20"/>
    </w:rPr>
  </w:style>
  <w:style w:type="paragraph" w:customStyle="1" w:styleId="151">
    <w:name w:val="表文"/>
    <w:basedOn w:val="1"/>
    <w:qFormat/>
    <w:uiPriority w:val="0"/>
    <w:pPr>
      <w:spacing w:line="240" w:lineRule="auto"/>
      <w:jc w:val="center"/>
    </w:pPr>
    <w:rPr>
      <w:rFonts w:ascii="宋体" w:hAnsi="Times New Roman" w:eastAsia="宋体" w:cs="Times New Roman"/>
      <w:sz w:val="24"/>
      <w:szCs w:val="20"/>
    </w:rPr>
  </w:style>
  <w:style w:type="paragraph" w:customStyle="1" w:styleId="1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仿宋" w:hAnsi="仿宋" w:eastAsia="仿宋" w:cs="宋体"/>
      <w:kern w:val="0"/>
      <w:sz w:val="20"/>
      <w:szCs w:val="20"/>
    </w:rPr>
  </w:style>
  <w:style w:type="paragraph" w:customStyle="1" w:styleId="153">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仿宋" w:hAnsi="仿宋" w:eastAsia="仿宋" w:cs="宋体"/>
      <w:kern w:val="0"/>
      <w:sz w:val="20"/>
      <w:szCs w:val="20"/>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黑体" w:hAnsi="黑体" w:eastAsia="黑体" w:cs="宋体"/>
      <w:b/>
      <w:bCs/>
      <w:kern w:val="0"/>
      <w:sz w:val="20"/>
      <w:szCs w:val="20"/>
    </w:rPr>
  </w:style>
  <w:style w:type="paragraph" w:customStyle="1" w:styleId="155">
    <w:name w:val="表格右对齐"/>
    <w:basedOn w:val="1"/>
    <w:qFormat/>
    <w:uiPriority w:val="0"/>
    <w:pPr>
      <w:spacing w:line="0" w:lineRule="atLeast"/>
      <w:jc w:val="right"/>
    </w:pPr>
    <w:rPr>
      <w:rFonts w:ascii="仿宋_GB2312" w:hAnsi="Times New Roman" w:cs="宋体"/>
      <w:sz w:val="21"/>
      <w:szCs w:val="20"/>
    </w:rPr>
  </w:style>
  <w:style w:type="paragraph" w:styleId="156">
    <w:name w:val="List Paragraph"/>
    <w:basedOn w:val="1"/>
    <w:qFormat/>
    <w:uiPriority w:val="34"/>
    <w:pPr>
      <w:ind w:firstLine="420"/>
    </w:pPr>
    <w:rPr>
      <w:rFonts w:ascii="Calibri" w:hAnsi="Calibri" w:eastAsia="宋体" w:cs="Times New Roman"/>
      <w:sz w:val="24"/>
    </w:rPr>
  </w:style>
  <w:style w:type="paragraph" w:customStyle="1" w:styleId="15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仿宋" w:hAnsi="仿宋" w:eastAsia="仿宋" w:cs="宋体"/>
      <w:kern w:val="0"/>
      <w:sz w:val="20"/>
      <w:szCs w:val="20"/>
    </w:rPr>
  </w:style>
  <w:style w:type="paragraph" w:customStyle="1" w:styleId="158">
    <w:name w:val="xl74"/>
    <w:basedOn w:val="1"/>
    <w:qFormat/>
    <w:uiPriority w:val="0"/>
    <w:pPr>
      <w:widowControl/>
      <w:spacing w:before="100" w:beforeAutospacing="1" w:after="100" w:afterAutospacing="1" w:line="240" w:lineRule="auto"/>
      <w:jc w:val="right"/>
    </w:pPr>
    <w:rPr>
      <w:rFonts w:ascii="仿宋" w:hAnsi="仿宋" w:eastAsia="仿宋" w:cs="宋体"/>
      <w:kern w:val="0"/>
      <w:sz w:val="20"/>
      <w:szCs w:val="20"/>
    </w:rPr>
  </w:style>
  <w:style w:type="paragraph" w:customStyle="1" w:styleId="159">
    <w:name w:val="样式1"/>
    <w:basedOn w:val="5"/>
    <w:qFormat/>
    <w:uiPriority w:val="0"/>
    <w:rPr>
      <w:b/>
    </w:rPr>
  </w:style>
  <w:style w:type="paragraph" w:customStyle="1" w:styleId="16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仿宋" w:hAnsi="仿宋" w:eastAsia="仿宋" w:cs="宋体"/>
      <w:kern w:val="0"/>
      <w:sz w:val="20"/>
      <w:szCs w:val="20"/>
    </w:rPr>
  </w:style>
  <w:style w:type="paragraph" w:customStyle="1" w:styleId="161">
    <w:name w:val="xl67"/>
    <w:basedOn w:val="1"/>
    <w:qFormat/>
    <w:uiPriority w:val="0"/>
    <w:pPr>
      <w:widowControl/>
      <w:spacing w:before="100" w:beforeAutospacing="1" w:after="100" w:afterAutospacing="1" w:line="240" w:lineRule="auto"/>
      <w:jc w:val="center"/>
    </w:pPr>
    <w:rPr>
      <w:rFonts w:ascii="黑体" w:hAnsi="黑体" w:eastAsia="黑体" w:cs="宋体"/>
      <w:b/>
      <w:bCs/>
      <w:kern w:val="0"/>
      <w:sz w:val="20"/>
      <w:szCs w:val="20"/>
    </w:rPr>
  </w:style>
  <w:style w:type="paragraph" w:customStyle="1" w:styleId="162">
    <w:name w:val="首行缩进"/>
    <w:basedOn w:val="1"/>
    <w:qFormat/>
    <w:uiPriority w:val="0"/>
    <w:pPr>
      <w:spacing w:line="240" w:lineRule="auto"/>
      <w:ind w:firstLine="560"/>
    </w:pPr>
    <w:rPr>
      <w:rFonts w:ascii="仿宋_GB2312" w:hAnsi="Times New Roman" w:cs="宋体"/>
      <w:sz w:val="24"/>
      <w:szCs w:val="20"/>
    </w:rPr>
  </w:style>
  <w:style w:type="paragraph" w:customStyle="1" w:styleId="163">
    <w:name w:val="样式2"/>
    <w:basedOn w:val="5"/>
    <w:qFormat/>
    <w:uiPriority w:val="0"/>
    <w:pPr>
      <w:spacing w:before="280" w:after="290" w:line="376" w:lineRule="atLeast"/>
      <w:textAlignment w:val="baseline"/>
    </w:pPr>
    <w:rPr>
      <w:rFonts w:ascii="Arial"/>
      <w:b/>
      <w:bCs w:val="0"/>
      <w:kern w:val="0"/>
      <w:szCs w:val="20"/>
    </w:rPr>
  </w:style>
  <w:style w:type="paragraph" w:customStyle="1" w:styleId="16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left"/>
    </w:pPr>
    <w:rPr>
      <w:rFonts w:ascii="仿宋" w:hAnsi="仿宋" w:eastAsia="仿宋" w:cs="宋体"/>
      <w:kern w:val="0"/>
      <w:sz w:val="20"/>
      <w:szCs w:val="20"/>
    </w:rPr>
  </w:style>
  <w:style w:type="paragraph" w:customStyle="1" w:styleId="165">
    <w:name w:val="xl68"/>
    <w:basedOn w:val="1"/>
    <w:qFormat/>
    <w:uiPriority w:val="0"/>
    <w:pPr>
      <w:widowControl/>
      <w:shd w:val="clear" w:color="000000" w:fill="FFC000"/>
      <w:spacing w:before="100" w:beforeAutospacing="1" w:after="100" w:afterAutospacing="1" w:line="240" w:lineRule="auto"/>
      <w:jc w:val="left"/>
    </w:pPr>
    <w:rPr>
      <w:rFonts w:ascii="仿宋" w:hAnsi="仿宋" w:eastAsia="仿宋" w:cs="宋体"/>
      <w:b/>
      <w:bCs/>
      <w:kern w:val="0"/>
      <w:sz w:val="20"/>
      <w:szCs w:val="20"/>
    </w:rPr>
  </w:style>
  <w:style w:type="paragraph" w:customStyle="1" w:styleId="166">
    <w:name w:val="表格内容（中）"/>
    <w:basedOn w:val="1"/>
    <w:qFormat/>
    <w:uiPriority w:val="0"/>
    <w:pPr>
      <w:spacing w:line="0" w:lineRule="atLeast"/>
      <w:jc w:val="center"/>
    </w:pPr>
    <w:rPr>
      <w:rFonts w:ascii="仿宋_GB2312" w:hAnsi="Times New Roman" w:cs="宋体"/>
      <w:sz w:val="21"/>
      <w:szCs w:val="21"/>
    </w:rPr>
  </w:style>
  <w:style w:type="paragraph" w:customStyle="1" w:styleId="167">
    <w:name w:val="表格内容（右）"/>
    <w:basedOn w:val="1"/>
    <w:qFormat/>
    <w:uiPriority w:val="0"/>
    <w:pPr>
      <w:spacing w:line="0" w:lineRule="atLeast"/>
      <w:jc w:val="right"/>
    </w:pPr>
    <w:rPr>
      <w:rFonts w:ascii="仿宋_GB2312" w:hAnsi="Times New Roman" w:cs="宋体"/>
      <w:sz w:val="21"/>
      <w:szCs w:val="21"/>
    </w:rPr>
  </w:style>
  <w:style w:type="paragraph" w:customStyle="1" w:styleId="168">
    <w:name w:val="pic-info"/>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6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right"/>
    </w:pPr>
    <w:rPr>
      <w:rFonts w:ascii="仿宋" w:hAnsi="仿宋" w:eastAsia="仿宋" w:cs="宋体"/>
      <w:kern w:val="0"/>
      <w:sz w:val="20"/>
      <w:szCs w:val="20"/>
    </w:rPr>
  </w:style>
  <w:style w:type="paragraph" w:customStyle="1" w:styleId="170">
    <w:name w:val="样式 标题 2 + 宋体 四号 左侧:  0 厘米 行距: 1.5 倍行距"/>
    <w:basedOn w:val="3"/>
    <w:qFormat/>
    <w:uiPriority w:val="0"/>
    <w:pPr>
      <w:widowControl/>
      <w:overflowPunct w:val="0"/>
      <w:autoSpaceDE w:val="0"/>
      <w:autoSpaceDN w:val="0"/>
      <w:spacing w:beforeLines="50"/>
      <w:ind w:right="-206" w:rightChars="-98"/>
      <w:textAlignment w:val="baseline"/>
    </w:pPr>
    <w:rPr>
      <w:rFonts w:ascii="黑体" w:hAnsi="宋体" w:eastAsia="黑体" w:cs="宋体"/>
      <w:b w:val="0"/>
      <w:color w:val="000000"/>
      <w:spacing w:val="-10"/>
      <w:kern w:val="0"/>
      <w:sz w:val="28"/>
      <w:szCs w:val="28"/>
      <w:lang w:val="sq-AL"/>
    </w:rPr>
  </w:style>
  <w:style w:type="paragraph" w:customStyle="1" w:styleId="17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仿宋" w:hAnsi="仿宋" w:eastAsia="仿宋" w:cs="宋体"/>
      <w:kern w:val="0"/>
      <w:sz w:val="20"/>
      <w:szCs w:val="20"/>
    </w:rPr>
  </w:style>
  <w:style w:type="paragraph" w:customStyle="1" w:styleId="172">
    <w:name w:val="Char1"/>
    <w:basedOn w:val="1"/>
    <w:qFormat/>
    <w:uiPriority w:val="0"/>
    <w:pPr>
      <w:tabs>
        <w:tab w:val="left" w:pos="425"/>
      </w:tabs>
      <w:spacing w:line="240" w:lineRule="auto"/>
      <w:ind w:left="425" w:hanging="425"/>
    </w:pPr>
    <w:rPr>
      <w:rFonts w:ascii="Times New Roman" w:hAnsi="Times New Roman" w:cs="Times New Roman"/>
      <w:kern w:val="24"/>
      <w:sz w:val="24"/>
      <w:szCs w:val="24"/>
    </w:rPr>
  </w:style>
  <w:style w:type="paragraph" w:customStyle="1" w:styleId="173">
    <w:name w:val="正文1"/>
    <w:basedOn w:val="1"/>
    <w:qFormat/>
    <w:uiPriority w:val="0"/>
    <w:rPr>
      <w:rFonts w:ascii="宋体" w:hAnsi="宋体" w:eastAsia="宋体" w:cs="Times New Roman"/>
      <w:kern w:val="0"/>
      <w:sz w:val="24"/>
      <w:szCs w:val="24"/>
    </w:rPr>
  </w:style>
  <w:style w:type="paragraph" w:customStyle="1" w:styleId="17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仿宋" w:hAnsi="仿宋" w:eastAsia="仿宋" w:cs="宋体"/>
      <w:kern w:val="0"/>
      <w:sz w:val="20"/>
      <w:szCs w:val="20"/>
    </w:rPr>
  </w:style>
  <w:style w:type="paragraph" w:customStyle="1" w:styleId="17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黑体" w:hAnsi="黑体" w:eastAsia="黑体" w:cs="宋体"/>
      <w:b/>
      <w:bCs/>
      <w:kern w:val="0"/>
      <w:sz w:val="20"/>
      <w:szCs w:val="20"/>
    </w:rPr>
  </w:style>
  <w:style w:type="paragraph" w:customStyle="1" w:styleId="176">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17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78">
    <w:name w:val="xl66"/>
    <w:basedOn w:val="1"/>
    <w:qFormat/>
    <w:uiPriority w:val="0"/>
    <w:pPr>
      <w:widowControl/>
      <w:spacing w:before="100" w:beforeAutospacing="1" w:after="100" w:afterAutospacing="1" w:line="240" w:lineRule="auto"/>
      <w:jc w:val="left"/>
    </w:pPr>
    <w:rPr>
      <w:rFonts w:ascii="黑体" w:hAnsi="黑体" w:eastAsia="黑体" w:cs="宋体"/>
      <w:b/>
      <w:bCs/>
      <w:kern w:val="0"/>
      <w:sz w:val="20"/>
      <w:szCs w:val="20"/>
    </w:rPr>
  </w:style>
  <w:style w:type="paragraph" w:customStyle="1" w:styleId="17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仿宋" w:hAnsi="仿宋" w:eastAsia="仿宋" w:cs="宋体"/>
      <w:kern w:val="0"/>
      <w:sz w:val="20"/>
      <w:szCs w:val="20"/>
    </w:rPr>
  </w:style>
  <w:style w:type="paragraph" w:customStyle="1" w:styleId="180">
    <w:name w:val="xl69"/>
    <w:basedOn w:val="1"/>
    <w:qFormat/>
    <w:uiPriority w:val="0"/>
    <w:pPr>
      <w:widowControl/>
      <w:shd w:val="clear" w:color="000000" w:fill="FFFF00"/>
      <w:spacing w:before="100" w:beforeAutospacing="1" w:after="100" w:afterAutospacing="1" w:line="240" w:lineRule="auto"/>
      <w:jc w:val="left"/>
    </w:pPr>
    <w:rPr>
      <w:rFonts w:ascii="仿宋" w:hAnsi="仿宋" w:eastAsia="仿宋" w:cs="宋体"/>
      <w:kern w:val="0"/>
      <w:sz w:val="20"/>
      <w:szCs w:val="20"/>
    </w:rPr>
  </w:style>
  <w:style w:type="paragraph" w:customStyle="1" w:styleId="18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left"/>
    </w:pPr>
    <w:rPr>
      <w:rFonts w:ascii="仿宋" w:hAnsi="仿宋" w:eastAsia="仿宋" w:cs="宋体"/>
      <w:kern w:val="0"/>
      <w:sz w:val="20"/>
      <w:szCs w:val="20"/>
    </w:rPr>
  </w:style>
  <w:style w:type="paragraph" w:customStyle="1" w:styleId="182">
    <w:name w:val="xl70"/>
    <w:basedOn w:val="1"/>
    <w:qFormat/>
    <w:uiPriority w:val="0"/>
    <w:pPr>
      <w:widowControl/>
      <w:shd w:val="clear" w:color="000000" w:fill="00B050"/>
      <w:spacing w:before="100" w:beforeAutospacing="1" w:after="100" w:afterAutospacing="1" w:line="240" w:lineRule="auto"/>
      <w:jc w:val="left"/>
    </w:pPr>
    <w:rPr>
      <w:rFonts w:ascii="仿宋" w:hAnsi="仿宋" w:eastAsia="仿宋" w:cs="宋体"/>
      <w:kern w:val="0"/>
      <w:sz w:val="20"/>
      <w:szCs w:val="20"/>
    </w:rPr>
  </w:style>
  <w:style w:type="paragraph" w:customStyle="1" w:styleId="18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 w:hAnsi="仿宋" w:eastAsia="仿宋" w:cs="宋体"/>
      <w:kern w:val="0"/>
      <w:sz w:val="20"/>
      <w:szCs w:val="20"/>
    </w:rPr>
  </w:style>
  <w:style w:type="paragraph" w:customStyle="1" w:styleId="184">
    <w:name w:val="xl71"/>
    <w:basedOn w:val="1"/>
    <w:qFormat/>
    <w:uiPriority w:val="0"/>
    <w:pPr>
      <w:widowControl/>
      <w:shd w:val="clear" w:color="000000" w:fill="92D050"/>
      <w:spacing w:before="100" w:beforeAutospacing="1" w:after="100" w:afterAutospacing="1" w:line="240" w:lineRule="auto"/>
      <w:jc w:val="left"/>
    </w:pPr>
    <w:rPr>
      <w:rFonts w:ascii="仿宋" w:hAnsi="仿宋" w:eastAsia="仿宋" w:cs="宋体"/>
      <w:kern w:val="0"/>
      <w:sz w:val="20"/>
      <w:szCs w:val="20"/>
    </w:rPr>
  </w:style>
  <w:style w:type="paragraph" w:customStyle="1" w:styleId="18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jc w:val="center"/>
    </w:pPr>
    <w:rPr>
      <w:rFonts w:ascii="仿宋" w:hAnsi="仿宋" w:eastAsia="仿宋" w:cs="宋体"/>
      <w:b/>
      <w:bCs/>
      <w:kern w:val="0"/>
      <w:sz w:val="20"/>
      <w:szCs w:val="20"/>
    </w:rPr>
  </w:style>
  <w:style w:type="paragraph" w:customStyle="1" w:styleId="186">
    <w:name w:val="xl72"/>
    <w:basedOn w:val="1"/>
    <w:qFormat/>
    <w:uiPriority w:val="0"/>
    <w:pPr>
      <w:widowControl/>
      <w:spacing w:before="100" w:beforeAutospacing="1" w:after="100" w:afterAutospacing="1" w:line="240" w:lineRule="auto"/>
      <w:jc w:val="left"/>
    </w:pPr>
    <w:rPr>
      <w:rFonts w:ascii="仿宋" w:hAnsi="仿宋" w:eastAsia="仿宋" w:cs="宋体"/>
      <w:kern w:val="0"/>
      <w:sz w:val="20"/>
      <w:szCs w:val="20"/>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仿宋" w:hAnsi="仿宋" w:eastAsia="仿宋" w:cs="宋体"/>
      <w:kern w:val="0"/>
      <w:sz w:val="20"/>
      <w:szCs w:val="20"/>
    </w:rPr>
  </w:style>
  <w:style w:type="paragraph" w:customStyle="1" w:styleId="188">
    <w:name w:val="xl73"/>
    <w:basedOn w:val="1"/>
    <w:qFormat/>
    <w:uiPriority w:val="0"/>
    <w:pPr>
      <w:widowControl/>
      <w:spacing w:before="100" w:beforeAutospacing="1" w:after="100" w:afterAutospacing="1" w:line="240" w:lineRule="auto"/>
      <w:jc w:val="center"/>
    </w:pPr>
    <w:rPr>
      <w:rFonts w:ascii="仿宋" w:hAnsi="仿宋" w:eastAsia="仿宋" w:cs="宋体"/>
      <w:kern w:val="0"/>
      <w:sz w:val="20"/>
      <w:szCs w:val="20"/>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仿宋" w:hAnsi="仿宋" w:eastAsia="仿宋" w:cs="宋体"/>
      <w:kern w:val="0"/>
      <w:sz w:val="20"/>
      <w:szCs w:val="20"/>
    </w:rPr>
  </w:style>
  <w:style w:type="paragraph" w:customStyle="1" w:styleId="190">
    <w:name w:val="xl75"/>
    <w:basedOn w:val="1"/>
    <w:qFormat/>
    <w:uiPriority w:val="0"/>
    <w:pPr>
      <w:widowControl/>
      <w:spacing w:before="100" w:beforeAutospacing="1" w:after="100" w:afterAutospacing="1" w:line="240" w:lineRule="auto"/>
      <w:jc w:val="center"/>
    </w:pPr>
    <w:rPr>
      <w:rFonts w:ascii="仿宋" w:hAnsi="仿宋" w:eastAsia="仿宋" w:cs="宋体"/>
      <w:kern w:val="0"/>
      <w:sz w:val="20"/>
      <w:szCs w:val="20"/>
    </w:rPr>
  </w:style>
  <w:style w:type="paragraph" w:customStyle="1" w:styleId="19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仿宋" w:hAnsi="仿宋" w:eastAsia="仿宋" w:cs="宋体"/>
      <w:kern w:val="0"/>
      <w:sz w:val="20"/>
      <w:szCs w:val="20"/>
    </w:rPr>
  </w:style>
  <w:style w:type="paragraph" w:customStyle="1" w:styleId="19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right"/>
    </w:pPr>
    <w:rPr>
      <w:rFonts w:ascii="仿宋" w:hAnsi="仿宋" w:eastAsia="仿宋" w:cs="宋体"/>
      <w:kern w:val="0"/>
      <w:sz w:val="20"/>
      <w:szCs w:val="20"/>
    </w:rPr>
  </w:style>
  <w:style w:type="paragraph" w:customStyle="1" w:styleId="19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仿宋" w:hAnsi="仿宋" w:eastAsia="仿宋" w:cs="宋体"/>
      <w:kern w:val="0"/>
      <w:sz w:val="20"/>
      <w:szCs w:val="20"/>
    </w:rPr>
  </w:style>
  <w:style w:type="paragraph" w:customStyle="1" w:styleId="19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eastAsia="仿宋" w:cs="宋体"/>
      <w:kern w:val="0"/>
      <w:sz w:val="20"/>
      <w:szCs w:val="20"/>
    </w:rPr>
  </w:style>
  <w:style w:type="paragraph" w:customStyle="1" w:styleId="19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 w:hAnsi="仿宋" w:eastAsia="仿宋" w:cs="宋体"/>
      <w:kern w:val="0"/>
      <w:sz w:val="20"/>
      <w:szCs w:val="20"/>
    </w:rPr>
  </w:style>
  <w:style w:type="paragraph" w:customStyle="1" w:styleId="196">
    <w:name w:val="TOC 标题1"/>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197">
    <w:name w:val="修订2"/>
    <w:hidden/>
    <w:semiHidden/>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a&#39033;&#30446;\&#38902;&#20851;&#36130;&#23616;2019&#24180;&#24230;&#37325;&#28857;&#32489;&#25928;&#35780;&#20215;\&#39033;&#30446;&#25104;&#26524;\&#31185;&#25216;&#23616;\V0.1%20&#38902;&#20851;&#24066;2019&#24180;&#24230;&#20840;&#24066;&#31185;&#25216;&#21019;&#26032;&#39033;&#30446;&#35780;&#20998;&#34920;&#21450;&#39033;&#30446;&#38382;&#39064;&#21644;&#24314;&#35758;&#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a&#39033;&#30446;\&#38902;&#20851;&#36130;&#23616;2019&#24180;&#24230;&#37325;&#28857;&#32489;&#25928;&#35780;&#20215;\&#39033;&#30446;&#25104;&#26524;\&#31185;&#25216;&#23616;\V0.1%20&#38902;&#20851;&#24066;2019&#24180;&#24230;&#20840;&#24066;&#31185;&#25216;&#21019;&#26032;&#39033;&#30446;&#35780;&#20998;&#34920;&#21450;&#39033;&#30446;&#38382;&#39064;&#21644;&#24314;&#35758;&#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39033;&#30446;\&#38902;&#20851;&#36130;&#23616;2019&#24180;&#24230;&#37325;&#28857;&#32489;&#25928;&#35780;&#20215;\&#39033;&#30446;&#25104;&#26524;\&#31185;&#25216;&#23616;\V4.0%20&#38902;&#20851;&#24066;2019&#24180;&#24230;&#20840;&#24066;&#31185;&#25216;&#21019;&#26032;&#39033;&#30446;&#35780;&#20998;&#34920;&#19982;&#20998;&#26512;&#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39033;&#30446;\&#38902;&#20851;&#36130;&#23616;2019&#24180;&#24230;&#37325;&#28857;&#32489;&#25928;&#35780;&#20215;\&#39033;&#30446;&#25104;&#26524;\&#31185;&#25216;&#23616;\V4.0%20&#38902;&#20851;&#24066;2019&#24180;&#24230;&#20840;&#24066;&#31185;&#25216;&#21019;&#26032;&#39033;&#30446;&#35780;&#20998;&#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a&#39033;&#30446;\&#38902;&#20851;&#36130;&#23616;2019&#24180;&#24230;&#37325;&#28857;&#32489;&#25928;&#35780;&#20215;\&#39033;&#30446;&#25104;&#26524;\&#31185;&#25216;&#23616;\V0.1%20&#38902;&#20851;&#24066;2019&#24180;&#24230;&#20840;&#24066;&#31185;&#25216;&#21019;&#26032;&#39033;&#30446;&#35780;&#20998;&#34920;&#21450;&#39033;&#30446;&#38382;&#39064;&#21644;&#24314;&#35758;&#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ysClr val="windowText" lastClr="000000"/>
                </a:solidFill>
                <a:latin typeface="+mn-lt"/>
                <a:ea typeface="+mn-ea"/>
                <a:cs typeface="+mn-cs"/>
              </a:defRPr>
            </a:pPr>
            <a:r>
              <a:rPr lang="zh-CN" b="1">
                <a:solidFill>
                  <a:sysClr val="windowText" lastClr="000000"/>
                </a:solidFill>
              </a:rPr>
              <a:t>项目投入</a:t>
            </a:r>
            <a:r>
              <a:rPr lang="zh-CN" altLang="en-US" b="1">
                <a:solidFill>
                  <a:sysClr val="windowText" lastClr="000000"/>
                </a:solidFill>
              </a:rPr>
              <a:t>各指标得分率</a:t>
            </a:r>
            <a:endParaRPr lang="zh-CN" b="1">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strRef>
              <c:f>得分率</c:f>
              <c:strCache>
                <c:ptCount val="1"/>
                <c:pt idx="0">
                  <c:v>得分率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Sheet1!$L$3:$M$7</c:f>
              <c:multiLvlStrCache>
                <c:ptCount val="5"/>
                <c:lvl>
                  <c:pt idx="0">
                    <c:v>资金分配</c:v>
                  </c:pt>
                  <c:pt idx="1">
                    <c:v>资金到位</c:v>
                  </c:pt>
                  <c:pt idx="2">
                    <c:v>保障措施</c:v>
                  </c:pt>
                  <c:pt idx="3">
                    <c:v>目标设置</c:v>
                  </c:pt>
                  <c:pt idx="4">
                    <c:v>论证决策</c:v>
                  </c:pt>
                </c:lvl>
                <c:lvl>
                  <c:pt idx="0">
                    <c:v>资金落实</c:v>
                  </c:pt>
                  <c:pt idx="2">
                    <c:v>项目立项</c:v>
                  </c:pt>
                </c:lvl>
              </c:multiLvlStrCache>
            </c:multiLvlStrRef>
          </c:cat>
          <c:val>
            <c:numRef>
              <c:f>Sheet1!$N$3:$N$7</c:f>
              <c:numCache>
                <c:formatCode>0.00%</c:formatCode>
                <c:ptCount val="5"/>
                <c:pt idx="0">
                  <c:v>0.666666666666667</c:v>
                </c:pt>
                <c:pt idx="1">
                  <c:v>1</c:v>
                </c:pt>
                <c:pt idx="2">
                  <c:v>1</c:v>
                </c:pt>
                <c:pt idx="3">
                  <c:v>0.666666666666667</c:v>
                </c:pt>
                <c:pt idx="4">
                  <c:v>1</c:v>
                </c:pt>
              </c:numCache>
            </c:numRef>
          </c:val>
        </c:ser>
        <c:dLbls>
          <c:showLegendKey val="0"/>
          <c:showVal val="1"/>
          <c:showCatName val="0"/>
          <c:showSerName val="0"/>
          <c:showPercent val="0"/>
          <c:showBubbleSize val="0"/>
        </c:dLbls>
        <c:gapWidth val="75"/>
        <c:overlap val="-25"/>
        <c:axId val="581247344"/>
        <c:axId val="513849328"/>
      </c:barChart>
      <c:catAx>
        <c:axId val="581247344"/>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13849328"/>
        <c:crosses val="autoZero"/>
        <c:auto val="1"/>
        <c:lblAlgn val="ctr"/>
        <c:lblOffset val="100"/>
        <c:noMultiLvlLbl val="0"/>
      </c:catAx>
      <c:valAx>
        <c:axId val="513849328"/>
        <c:scaling>
          <c:orientation val="minMax"/>
          <c:max val="1"/>
        </c:scaling>
        <c:delete val="0"/>
        <c:axPos val="b"/>
        <c:numFmt formatCode="0.00%"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81247344"/>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ysClr val="windowText" lastClr="000000"/>
                </a:solidFill>
                <a:latin typeface="+mn-lt"/>
                <a:ea typeface="+mn-ea"/>
                <a:cs typeface="+mn-cs"/>
              </a:defRPr>
            </a:pPr>
            <a:r>
              <a:rPr lang="zh-CN" altLang="en-US" b="1">
                <a:solidFill>
                  <a:sysClr val="windowText" lastClr="000000"/>
                </a:solidFill>
              </a:rPr>
              <a:t>项目过程</a:t>
            </a:r>
            <a:r>
              <a:rPr lang="zh-CN" altLang="zh-CN" sz="1400" b="1" i="0" u="none" strike="noStrike" baseline="0">
                <a:effectLst/>
              </a:rPr>
              <a:t>各指标得分率</a:t>
            </a:r>
            <a:endParaRPr lang="zh-CN" altLang="en-US" b="1">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strRef>
              <c:f>得分率</c:f>
              <c:strCache>
                <c:ptCount val="1"/>
                <c:pt idx="0">
                  <c:v>得分率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Sheet1!$L$8:$M$11</c:f>
              <c:multiLvlStrCache>
                <c:ptCount val="4"/>
                <c:lvl>
                  <c:pt idx="0">
                    <c:v>管理情况</c:v>
                  </c:pt>
                  <c:pt idx="1">
                    <c:v>实施程序</c:v>
                  </c:pt>
                  <c:pt idx="2">
                    <c:v>支出规范性</c:v>
                  </c:pt>
                  <c:pt idx="3">
                    <c:v>资金支付</c:v>
                  </c:pt>
                </c:lvl>
                <c:lvl>
                  <c:pt idx="0">
                    <c:v>事项管理</c:v>
                  </c:pt>
                  <c:pt idx="2">
                    <c:v>资金管理</c:v>
                  </c:pt>
                </c:lvl>
              </c:multiLvlStrCache>
            </c:multiLvlStrRef>
          </c:cat>
          <c:val>
            <c:numRef>
              <c:f>Sheet1!$N$8:$N$11</c:f>
              <c:numCache>
                <c:formatCode>0.00%</c:formatCode>
                <c:ptCount val="4"/>
                <c:pt idx="0">
                  <c:v>0.5</c:v>
                </c:pt>
                <c:pt idx="1">
                  <c:v>1</c:v>
                </c:pt>
                <c:pt idx="2">
                  <c:v>1</c:v>
                </c:pt>
                <c:pt idx="3">
                  <c:v>0.666666666666667</c:v>
                </c:pt>
              </c:numCache>
            </c:numRef>
          </c:val>
        </c:ser>
        <c:dLbls>
          <c:showLegendKey val="0"/>
          <c:showVal val="1"/>
          <c:showCatName val="0"/>
          <c:showSerName val="0"/>
          <c:showPercent val="0"/>
          <c:showBubbleSize val="0"/>
        </c:dLbls>
        <c:gapWidth val="182"/>
        <c:axId val="580759888"/>
        <c:axId val="587078560"/>
      </c:barChart>
      <c:catAx>
        <c:axId val="58075988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87078560"/>
        <c:crosses val="autoZero"/>
        <c:auto val="1"/>
        <c:lblAlgn val="ctr"/>
        <c:lblOffset val="100"/>
        <c:noMultiLvlLbl val="0"/>
      </c:catAx>
      <c:valAx>
        <c:axId val="587078560"/>
        <c:scaling>
          <c:orientation val="minMax"/>
          <c:max val="1"/>
        </c:scaling>
        <c:delete val="0"/>
        <c:axPos val="b"/>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80759888"/>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ysClr val="windowText" lastClr="000000"/>
                </a:solidFill>
                <a:latin typeface="+mn-lt"/>
                <a:ea typeface="+mn-ea"/>
                <a:cs typeface="+mn-cs"/>
              </a:defRPr>
            </a:pPr>
            <a:r>
              <a:rPr lang="zh-CN" altLang="en-US" b="1">
                <a:solidFill>
                  <a:sysClr val="windowText" lastClr="000000"/>
                </a:solidFill>
              </a:rPr>
              <a:t>项目产出各指标得分率</a:t>
            </a:r>
            <a:endParaRPr lang="zh-CN" altLang="en-US" b="1">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strRef>
              <c:f>得分率</c:f>
              <c:strCache>
                <c:ptCount val="1"/>
                <c:pt idx="0">
                  <c:v>得分率</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multiLvlStrRef>
              <c:f>Sheet4!$M$29:$N$32</c:f>
              <c:multiLvlStrCache>
                <c:ptCount val="4"/>
                <c:lvl>
                  <c:pt idx="0">
                    <c:v>完成质量</c:v>
                  </c:pt>
                  <c:pt idx="1">
                    <c:v>完成进度</c:v>
                  </c:pt>
                  <c:pt idx="2">
                    <c:v>成本控制</c:v>
                  </c:pt>
                  <c:pt idx="3">
                    <c:v>预算控制</c:v>
                  </c:pt>
                </c:lvl>
                <c:lvl>
                  <c:pt idx="0">
                    <c:v>效率性</c:v>
                  </c:pt>
                  <c:pt idx="2">
                    <c:v>经济性</c:v>
                  </c:pt>
                </c:lvl>
              </c:multiLvlStrCache>
            </c:multiLvlStrRef>
          </c:cat>
          <c:val>
            <c:numRef>
              <c:f>Sheet4!$O$29:$O$32</c:f>
              <c:numCache>
                <c:formatCode>0%</c:formatCode>
                <c:ptCount val="4"/>
                <c:pt idx="0">
                  <c:v>1</c:v>
                </c:pt>
                <c:pt idx="1" c:formatCode="0.00%">
                  <c:v>0.9412</c:v>
                </c:pt>
                <c:pt idx="2">
                  <c:v>1</c:v>
                </c:pt>
                <c:pt idx="3">
                  <c:v>1</c:v>
                </c:pt>
              </c:numCache>
            </c:numRef>
          </c:val>
        </c:ser>
        <c:dLbls>
          <c:showLegendKey val="0"/>
          <c:showVal val="1"/>
          <c:showCatName val="0"/>
          <c:showSerName val="0"/>
          <c:showPercent val="0"/>
          <c:showBubbleSize val="0"/>
        </c:dLbls>
        <c:gapWidth val="75"/>
        <c:overlap val="-25"/>
        <c:axId val="245625088"/>
        <c:axId val="1"/>
      </c:barChart>
      <c:catAx>
        <c:axId val="245625088"/>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
        <c:crosses val="autoZero"/>
        <c:auto val="1"/>
        <c:lblAlgn val="ctr"/>
        <c:lblOffset val="100"/>
        <c:noMultiLvlLbl val="0"/>
      </c:catAx>
      <c:valAx>
        <c:axId val="1"/>
        <c:scaling>
          <c:orientation val="minMax"/>
          <c:max val="1"/>
        </c:scaling>
        <c:delete val="0"/>
        <c:axPos val="b"/>
        <c:numFmt formatCode="0%" sourceLinked="1"/>
        <c:majorTickMark val="out"/>
        <c:minorTickMark val="none"/>
        <c:tickLblPos val="nextTo"/>
        <c:spPr>
          <a:noFill/>
          <a:ln w="3175" cap="flat" cmpd="sng" algn="ctr">
            <a:solidFill>
              <a:sysClr val="windowText" lastClr="000000"/>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45625088"/>
        <c:crosses val="autoZero"/>
        <c:crossBetween val="between"/>
      </c:valAx>
      <c:spPr>
        <a:noFill/>
        <a:ln w="25400">
          <a:noFill/>
        </a:ln>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1" vertOverflow="ellipsis" vert="horz" wrap="square" anchor="ctr" anchorCtr="1"/>
        <a:lstStyle/>
        <a:p>
          <a:pPr>
            <a:defRPr lang="zh-CN" sz="1400" b="1" i="0" u="none" strike="noStrike" kern="1200" spc="0" baseline="0">
              <a:solidFill>
                <a:sysClr val="windowText" lastClr="000000"/>
              </a:solidFill>
              <a:latin typeface="+mn-lt"/>
              <a:ea typeface="+mn-ea"/>
              <a:cs typeface="+mn-cs"/>
            </a:defRPr>
          </a:pPr>
        </a:p>
      </c:txPr>
    </c:title>
    <c:autoTitleDeleted val="0"/>
    <c:plotArea>
      <c:layout/>
      <c:barChart>
        <c:barDir val="col"/>
        <c:grouping val="clustered"/>
        <c:varyColors val="0"/>
        <c:ser>
          <c:idx val="0"/>
          <c:order val="0"/>
          <c:tx>
            <c:strRef>
              <c:f>Sheet2!$A$2</c:f>
              <c:strCache>
                <c:ptCount val="1"/>
                <c:pt idx="0">
                  <c:v>R&amp;D经费支出占GDP的比重</c:v>
                </c:pt>
              </c:strCache>
            </c:strRef>
          </c:tx>
          <c:spPr>
            <a:solidFill>
              <a:srgbClr val="5B9BD5"/>
            </a:solidFill>
            <a:ln w="25400">
              <a:noFill/>
            </a:ln>
          </c:spPr>
          <c:invertIfNegative val="0"/>
          <c:dLbls>
            <c:spPr>
              <a:noFill/>
              <a:ln w="25400">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chemeClr val="accent1"/>
                </a:solidFill>
                <a:prstDash val="sysDot"/>
                <a:round/>
              </a:ln>
              <a:effectLst/>
            </c:spPr>
            <c:trendlineType val="movingAvg"/>
            <c:period val="2"/>
            <c:dispRSqr val="0"/>
            <c:dispEq val="0"/>
          </c:trendline>
          <c:cat>
            <c:strRef>
              <c:f>Sheet2!$B$1:$F$1</c:f>
              <c:strCache>
                <c:ptCount val="5"/>
                <c:pt idx="0">
                  <c:v>2015年</c:v>
                </c:pt>
                <c:pt idx="1">
                  <c:v>2016年</c:v>
                </c:pt>
                <c:pt idx="2">
                  <c:v>2017年</c:v>
                </c:pt>
                <c:pt idx="3">
                  <c:v>2018年</c:v>
                </c:pt>
                <c:pt idx="4">
                  <c:v>2019年</c:v>
                </c:pt>
              </c:strCache>
            </c:strRef>
          </c:cat>
          <c:val>
            <c:numRef>
              <c:f>Sheet2!$B$2:$F$2</c:f>
              <c:numCache>
                <c:formatCode>General</c:formatCode>
                <c:ptCount val="5"/>
                <c:pt idx="0">
                  <c:v>1.12</c:v>
                </c:pt>
                <c:pt idx="1">
                  <c:v>1.05</c:v>
                </c:pt>
                <c:pt idx="2">
                  <c:v>1.08</c:v>
                </c:pt>
                <c:pt idx="3">
                  <c:v>1.17</c:v>
                </c:pt>
                <c:pt idx="4">
                  <c:v>1.32</c:v>
                </c:pt>
              </c:numCache>
            </c:numRef>
          </c:val>
        </c:ser>
        <c:dLbls>
          <c:showLegendKey val="0"/>
          <c:showVal val="0"/>
          <c:showCatName val="0"/>
          <c:showSerName val="0"/>
          <c:showPercent val="0"/>
          <c:showBubbleSize val="0"/>
        </c:dLbls>
        <c:gapWidth val="219"/>
        <c:overlap val="-27"/>
        <c:axId val="270205472"/>
        <c:axId val="1"/>
      </c:barChart>
      <c:catAx>
        <c:axId val="2702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70205472"/>
        <c:crosses val="autoZero"/>
        <c:crossBetween val="between"/>
      </c:valAx>
      <c:spPr>
        <a:noFill/>
        <a:ln w="25400">
          <a:noFill/>
        </a:ln>
      </c:spPr>
    </c:plotArea>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solidFill>
                  <a:sysClr val="windowText" lastClr="000000"/>
                </a:solidFill>
              </a:rPr>
              <a:t>项目效益</a:t>
            </a:r>
            <a:r>
              <a:rPr lang="zh-CN" altLang="zh-CN" sz="1400" b="1" i="0" u="none" strike="noStrike" baseline="0">
                <a:effectLst/>
              </a:rPr>
              <a:t>各指标得分率</a:t>
            </a:r>
            <a:endParaRPr lang="zh-CN" altLang="en-US" b="1">
              <a:solidFill>
                <a:sysClr val="windowText" lastClr="000000"/>
              </a:solidFill>
            </a:endParaRPr>
          </a:p>
        </c:rich>
      </c:tx>
      <c:layout/>
      <c:overlay val="0"/>
      <c:spPr>
        <a:noFill/>
        <a:ln>
          <a:noFill/>
        </a:ln>
        <a:effectLst/>
      </c:spPr>
    </c:title>
    <c:autoTitleDeleted val="0"/>
    <c:plotArea>
      <c:layout/>
      <c:barChart>
        <c:barDir val="bar"/>
        <c:grouping val="clustered"/>
        <c:varyColors val="0"/>
        <c:ser>
          <c:idx val="0"/>
          <c:order val="0"/>
          <c:tx>
            <c:strRef>
              <c:f>得分率</c:f>
              <c:strCache>
                <c:ptCount val="1"/>
                <c:pt idx="0">
                  <c:v>得分率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Sheet1!$L$16:$M$20</c:f>
              <c:multiLvlStrCache>
                <c:ptCount val="5"/>
                <c:lvl>
                  <c:pt idx="0">
                    <c:v>满意度</c:v>
                  </c:pt>
                  <c:pt idx="1">
                    <c:v>可持续发展</c:v>
                  </c:pt>
                  <c:pt idx="2">
                    <c:v>生态效益</c:v>
                  </c:pt>
                  <c:pt idx="3">
                    <c:v>社会效益</c:v>
                  </c:pt>
                  <c:pt idx="4">
                    <c:v>经济效益</c:v>
                  </c:pt>
                </c:lvl>
                <c:lvl>
                  <c:pt idx="0">
                    <c:v>公平性</c:v>
                  </c:pt>
                  <c:pt idx="1">
                    <c:v>效果性</c:v>
                  </c:pt>
                </c:lvl>
              </c:multiLvlStrCache>
            </c:multiLvlStrRef>
          </c:cat>
          <c:val>
            <c:numRef>
              <c:f>Sheet1!$N$16:$N$20</c:f>
              <c:numCache>
                <c:formatCode>0.00%</c:formatCode>
                <c:ptCount val="5"/>
                <c:pt idx="0">
                  <c:v>0.8</c:v>
                </c:pt>
                <c:pt idx="1">
                  <c:v>0.8</c:v>
                </c:pt>
                <c:pt idx="2">
                  <c:v>0.8</c:v>
                </c:pt>
                <c:pt idx="3">
                  <c:v>0.8</c:v>
                </c:pt>
                <c:pt idx="4">
                  <c:v>1</c:v>
                </c:pt>
              </c:numCache>
            </c:numRef>
          </c:val>
        </c:ser>
        <c:dLbls>
          <c:showLegendKey val="0"/>
          <c:showVal val="1"/>
          <c:showCatName val="0"/>
          <c:showSerName val="0"/>
          <c:showPercent val="0"/>
          <c:showBubbleSize val="0"/>
        </c:dLbls>
        <c:gapWidth val="182"/>
        <c:axId val="568759184"/>
        <c:axId val="377045808"/>
      </c:barChart>
      <c:catAx>
        <c:axId val="568759184"/>
        <c:scaling>
          <c:orientation val="minMax"/>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77045808"/>
        <c:crosses val="autoZero"/>
        <c:auto val="1"/>
        <c:lblAlgn val="ctr"/>
        <c:lblOffset val="100"/>
        <c:noMultiLvlLbl val="0"/>
      </c:catAx>
      <c:valAx>
        <c:axId val="377045808"/>
        <c:scaling>
          <c:orientation val="minMax"/>
          <c:max val="1"/>
        </c:scaling>
        <c:delete val="0"/>
        <c:axPos val="b"/>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68759184"/>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6779D-E251-4E31-BFF5-0FBE4F86BD52}">
  <ds:schemaRefs/>
</ds:datastoreItem>
</file>

<file path=docProps/app.xml><?xml version="1.0" encoding="utf-8"?>
<Properties xmlns="http://schemas.openxmlformats.org/officeDocument/2006/extended-properties" xmlns:vt="http://schemas.openxmlformats.org/officeDocument/2006/docPropsVTypes">
  <Template>Normal</Template>
  <Company>MPGROUP</Company>
  <Pages>43</Pages>
  <Words>3937</Words>
  <Characters>22441</Characters>
  <Lines>187</Lines>
  <Paragraphs>52</Paragraphs>
  <TotalTime>27</TotalTime>
  <ScaleCrop>false</ScaleCrop>
  <LinksUpToDate>false</LinksUpToDate>
  <CharactersWithSpaces>26326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2020-11-19T10:28:00Z</dcterms:created>
  <dc:creator>周胜</dc:creator>
  <cp:lastModifiedBy>Tina申</cp:lastModifiedBy>
  <cp:lastPrinted>2019-12-04T01:25:00Z</cp:lastPrinted>
  <dcterms:modified xsi:type="dcterms:W3CDTF">2020-11-30T09:04:03Z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