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81" w:rsidRDefault="00970981">
      <w:pPr>
        <w:snapToGrid w:val="0"/>
        <w:jc w:val="center"/>
        <w:rPr>
          <w:rStyle w:val="font31"/>
          <w:rFonts w:ascii="宋体" w:eastAsia="宋体" w:hAnsi="Calibri" w:cs="宋体"/>
          <w:b/>
          <w:sz w:val="48"/>
          <w:szCs w:val="48"/>
          <w:lang/>
        </w:rPr>
      </w:pPr>
      <w:r>
        <w:rPr>
          <w:rStyle w:val="font31"/>
          <w:rFonts w:ascii="宋体" w:eastAsia="宋体" w:hAnsi="宋体" w:cs="宋体" w:hint="eastAsia"/>
          <w:b/>
          <w:sz w:val="48"/>
          <w:szCs w:val="48"/>
          <w:lang/>
        </w:rPr>
        <w:t>拍卖会参考资料</w:t>
      </w:r>
    </w:p>
    <w:p w:rsidR="00970981" w:rsidRDefault="00970981">
      <w:pPr>
        <w:snapToGrid w:val="0"/>
        <w:spacing w:line="600" w:lineRule="exact"/>
        <w:rPr>
          <w:rFonts w:ascii="宋体" w:cs="宋体"/>
          <w:b/>
          <w:bCs/>
          <w:color w:val="000000"/>
          <w:kern w:val="0"/>
          <w:sz w:val="28"/>
          <w:szCs w:val="28"/>
          <w:lang/>
        </w:rPr>
      </w:pPr>
    </w:p>
    <w:p w:rsidR="00970981" w:rsidRDefault="00970981">
      <w:pPr>
        <w:snapToGrid w:val="0"/>
        <w:spacing w:line="600" w:lineRule="exact"/>
        <w:rPr>
          <w:rStyle w:val="font11"/>
          <w:rFonts w:ascii="宋体" w:eastAsia="宋体" w:hAnsi="Calibri" w:cs="宋体"/>
          <w:b/>
          <w:bCs/>
          <w:color w:val="auto"/>
          <w:sz w:val="28"/>
          <w:szCs w:val="28"/>
          <w:lang/>
        </w:rPr>
      </w:pPr>
      <w:r>
        <w:rPr>
          <w:rFonts w:ascii="宋体" w:hAnsi="宋体" w:cs="宋体" w:hint="eastAsia"/>
          <w:b/>
          <w:bCs/>
          <w:color w:val="000000"/>
          <w:kern w:val="0"/>
          <w:sz w:val="28"/>
          <w:szCs w:val="28"/>
          <w:lang/>
        </w:rPr>
        <w:t>拍卖会时</w:t>
      </w:r>
      <w:r>
        <w:rPr>
          <w:rFonts w:ascii="宋体" w:hAnsi="宋体" w:cs="宋体" w:hint="eastAsia"/>
          <w:b/>
          <w:bCs/>
          <w:kern w:val="0"/>
          <w:sz w:val="28"/>
          <w:szCs w:val="28"/>
          <w:lang/>
        </w:rPr>
        <w:t>间：</w:t>
      </w:r>
      <w:r>
        <w:rPr>
          <w:rFonts w:ascii="宋体" w:hAnsi="宋体" w:cs="宋体"/>
          <w:b/>
          <w:bCs/>
          <w:kern w:val="0"/>
          <w:sz w:val="28"/>
          <w:szCs w:val="28"/>
          <w:lang/>
        </w:rPr>
        <w:t>2021</w:t>
      </w:r>
      <w:r>
        <w:rPr>
          <w:rFonts w:ascii="宋体" w:hAnsi="宋体" w:cs="宋体" w:hint="eastAsia"/>
          <w:b/>
          <w:bCs/>
          <w:kern w:val="0"/>
          <w:sz w:val="28"/>
          <w:szCs w:val="28"/>
          <w:lang/>
        </w:rPr>
        <w:t>年</w:t>
      </w:r>
      <w:r>
        <w:rPr>
          <w:rFonts w:ascii="宋体" w:hAnsi="宋体" w:cs="宋体"/>
          <w:b/>
          <w:bCs/>
          <w:kern w:val="0"/>
          <w:sz w:val="28"/>
          <w:szCs w:val="28"/>
          <w:lang/>
        </w:rPr>
        <w:t>1</w:t>
      </w:r>
      <w:r>
        <w:rPr>
          <w:rStyle w:val="font11"/>
          <w:rFonts w:ascii="宋体" w:eastAsia="宋体" w:hAnsi="宋体" w:cs="宋体" w:hint="eastAsia"/>
          <w:b/>
          <w:bCs/>
          <w:color w:val="auto"/>
          <w:sz w:val="28"/>
          <w:szCs w:val="28"/>
          <w:lang/>
        </w:rPr>
        <w:t>月</w:t>
      </w:r>
      <w:r>
        <w:rPr>
          <w:rStyle w:val="font11"/>
          <w:rFonts w:ascii="宋体" w:eastAsia="宋体" w:hAnsi="宋体" w:cs="宋体"/>
          <w:b/>
          <w:bCs/>
          <w:color w:val="auto"/>
          <w:sz w:val="28"/>
          <w:szCs w:val="28"/>
          <w:lang/>
        </w:rPr>
        <w:t>20</w:t>
      </w:r>
      <w:r>
        <w:rPr>
          <w:rStyle w:val="font11"/>
          <w:rFonts w:ascii="宋体" w:eastAsia="宋体" w:hAnsi="宋体" w:cs="宋体" w:hint="eastAsia"/>
          <w:b/>
          <w:bCs/>
          <w:color w:val="auto"/>
          <w:sz w:val="28"/>
          <w:szCs w:val="28"/>
          <w:lang/>
        </w:rPr>
        <w:t>日上午</w:t>
      </w:r>
      <w:r>
        <w:rPr>
          <w:rStyle w:val="font11"/>
          <w:rFonts w:ascii="宋体" w:eastAsia="宋体" w:hAnsi="宋体" w:cs="宋体"/>
          <w:b/>
          <w:bCs/>
          <w:color w:val="auto"/>
          <w:sz w:val="28"/>
          <w:szCs w:val="28"/>
          <w:lang/>
        </w:rPr>
        <w:t>10</w:t>
      </w:r>
      <w:r>
        <w:rPr>
          <w:rStyle w:val="font11"/>
          <w:rFonts w:ascii="宋体" w:eastAsia="宋体" w:hAnsi="宋体" w:cs="宋体" w:hint="eastAsia"/>
          <w:b/>
          <w:bCs/>
          <w:color w:val="auto"/>
          <w:sz w:val="28"/>
          <w:szCs w:val="28"/>
          <w:lang/>
        </w:rPr>
        <w:t>时</w:t>
      </w:r>
      <w:r>
        <w:rPr>
          <w:rStyle w:val="font11"/>
          <w:rFonts w:ascii="宋体" w:eastAsia="宋体" w:hAnsi="宋体" w:cs="宋体"/>
          <w:b/>
          <w:bCs/>
          <w:color w:val="auto"/>
          <w:sz w:val="28"/>
          <w:szCs w:val="28"/>
          <w:lang/>
        </w:rPr>
        <w:t xml:space="preserve">                  </w:t>
      </w:r>
      <w:r>
        <w:rPr>
          <w:rStyle w:val="font11"/>
          <w:rFonts w:ascii="宋体" w:eastAsia="宋体" w:hAnsi="宋体" w:cs="宋体" w:hint="eastAsia"/>
          <w:b/>
          <w:bCs/>
          <w:color w:val="auto"/>
          <w:sz w:val="28"/>
          <w:szCs w:val="28"/>
          <w:lang/>
        </w:rPr>
        <w:t>拍卖会地点：韶关市公共资源交易中心（韶关市西联镇）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2"/>
        <w:gridCol w:w="2640"/>
        <w:gridCol w:w="4170"/>
        <w:gridCol w:w="1575"/>
        <w:gridCol w:w="1785"/>
        <w:gridCol w:w="1980"/>
        <w:gridCol w:w="1156"/>
      </w:tblGrid>
      <w:tr w:rsidR="00970981" w:rsidTr="00355DFB">
        <w:trPr>
          <w:trHeight w:val="810"/>
        </w:trPr>
        <w:tc>
          <w:tcPr>
            <w:tcW w:w="1322"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序号</w:t>
            </w:r>
          </w:p>
        </w:tc>
        <w:tc>
          <w:tcPr>
            <w:tcW w:w="2640"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产权证号</w:t>
            </w:r>
          </w:p>
        </w:tc>
        <w:tc>
          <w:tcPr>
            <w:tcW w:w="4170"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标的名称</w:t>
            </w:r>
          </w:p>
        </w:tc>
        <w:tc>
          <w:tcPr>
            <w:tcW w:w="1575"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Style w:val="font01"/>
                <w:rFonts w:hint="eastAsia"/>
                <w:sz w:val="28"/>
                <w:szCs w:val="28"/>
                <w:lang/>
              </w:rPr>
              <w:t>建筑面积</w:t>
            </w:r>
            <w:r w:rsidRPr="00355DFB">
              <w:rPr>
                <w:rStyle w:val="font01"/>
                <w:rFonts w:hAnsi="Calibri"/>
                <w:sz w:val="28"/>
                <w:szCs w:val="28"/>
                <w:lang/>
              </w:rPr>
              <w:br/>
            </w:r>
            <w:r w:rsidRPr="00355DFB">
              <w:rPr>
                <w:rStyle w:val="font01"/>
                <w:rFonts w:hint="eastAsia"/>
                <w:sz w:val="28"/>
                <w:szCs w:val="28"/>
                <w:lang/>
              </w:rPr>
              <w:t>（约</w:t>
            </w:r>
            <w:r w:rsidRPr="00355DFB">
              <w:rPr>
                <w:rStyle w:val="font01"/>
                <w:sz w:val="28"/>
                <w:szCs w:val="28"/>
                <w:lang/>
              </w:rPr>
              <w:t xml:space="preserve"> </w:t>
            </w:r>
            <w:r w:rsidRPr="00355DFB">
              <w:rPr>
                <w:rFonts w:ascii="宋体" w:hAnsi="宋体" w:cs="宋体" w:hint="eastAsia"/>
                <w:color w:val="000000"/>
                <w:kern w:val="0"/>
                <w:sz w:val="28"/>
                <w:szCs w:val="28"/>
                <w:lang/>
              </w:rPr>
              <w:t>㎡</w:t>
            </w:r>
            <w:r w:rsidRPr="00355DFB">
              <w:rPr>
                <w:rStyle w:val="font01"/>
                <w:rFonts w:hint="eastAsia"/>
                <w:sz w:val="28"/>
                <w:szCs w:val="28"/>
                <w:lang/>
              </w:rPr>
              <w:t>）</w:t>
            </w:r>
          </w:p>
        </w:tc>
        <w:tc>
          <w:tcPr>
            <w:tcW w:w="1785"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竞买保证金</w:t>
            </w:r>
            <w:r w:rsidRPr="00355DFB">
              <w:rPr>
                <w:rFonts w:ascii="宋体" w:cs="宋体"/>
                <w:color w:val="000000"/>
                <w:kern w:val="0"/>
                <w:sz w:val="28"/>
                <w:szCs w:val="28"/>
                <w:lang/>
              </w:rPr>
              <w:br/>
            </w:r>
            <w:r w:rsidRPr="00355DFB">
              <w:rPr>
                <w:rFonts w:ascii="宋体" w:hAnsi="宋体" w:cs="宋体" w:hint="eastAsia"/>
                <w:color w:val="000000"/>
                <w:kern w:val="0"/>
                <w:sz w:val="28"/>
                <w:szCs w:val="28"/>
                <w:lang/>
              </w:rPr>
              <w:t>（元）</w:t>
            </w:r>
          </w:p>
        </w:tc>
        <w:tc>
          <w:tcPr>
            <w:tcW w:w="1980"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起拍价</w:t>
            </w:r>
            <w:r w:rsidRPr="00355DFB">
              <w:rPr>
                <w:rFonts w:ascii="宋体" w:cs="宋体"/>
                <w:color w:val="000000"/>
                <w:kern w:val="0"/>
                <w:sz w:val="28"/>
                <w:szCs w:val="28"/>
                <w:lang/>
              </w:rPr>
              <w:br/>
            </w:r>
            <w:r w:rsidRPr="00355DFB">
              <w:rPr>
                <w:rFonts w:ascii="宋体" w:hAnsi="宋体" w:cs="宋体" w:hint="eastAsia"/>
                <w:color w:val="000000"/>
                <w:kern w:val="0"/>
                <w:sz w:val="28"/>
                <w:szCs w:val="28"/>
                <w:lang/>
              </w:rPr>
              <w:t>（元）</w:t>
            </w:r>
          </w:p>
        </w:tc>
        <w:tc>
          <w:tcPr>
            <w:tcW w:w="1156"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现状</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0100096583</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701</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87.66</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517,500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2</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0100096582</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702</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97.45</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70,000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548,100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3</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0100096581</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703</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99.14</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70,000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602,100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4</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0100096580</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704</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81.37</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468,900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5</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0100096579</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705</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50.77</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40,000</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sz w:val="28"/>
                <w:szCs w:val="28"/>
              </w:rPr>
              <w:t>292,500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6</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0100096578</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706</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105.35</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70,000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621,900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797"/>
        </w:trPr>
        <w:tc>
          <w:tcPr>
            <w:tcW w:w="1322" w:type="dxa"/>
            <w:vAlign w:val="center"/>
          </w:tcPr>
          <w:p w:rsidR="00970981" w:rsidRPr="00355DFB" w:rsidRDefault="00970981" w:rsidP="00355DFB">
            <w:pPr>
              <w:widowControl/>
              <w:spacing w:line="320" w:lineRule="exact"/>
              <w:jc w:val="center"/>
              <w:textAlignment w:val="center"/>
              <w:rPr>
                <w:rFonts w:ascii="宋体" w:cs="宋体"/>
                <w:sz w:val="28"/>
                <w:szCs w:val="28"/>
              </w:rPr>
            </w:pPr>
            <w:r w:rsidRPr="00355DFB">
              <w:rPr>
                <w:rFonts w:ascii="宋体" w:hAnsi="宋体" w:cs="宋体" w:hint="eastAsia"/>
                <w:color w:val="000000"/>
                <w:kern w:val="0"/>
                <w:sz w:val="28"/>
                <w:szCs w:val="28"/>
                <w:lang/>
              </w:rPr>
              <w:t>序号</w:t>
            </w:r>
          </w:p>
        </w:tc>
        <w:tc>
          <w:tcPr>
            <w:tcW w:w="2640"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Fonts w:ascii="宋体" w:hAnsi="宋体" w:cs="宋体" w:hint="eastAsia"/>
                <w:color w:val="000000"/>
                <w:kern w:val="0"/>
                <w:sz w:val="28"/>
                <w:szCs w:val="28"/>
                <w:lang/>
              </w:rPr>
              <w:t>产权证号</w:t>
            </w:r>
          </w:p>
        </w:tc>
        <w:tc>
          <w:tcPr>
            <w:tcW w:w="4170"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Fonts w:ascii="宋体" w:hAnsi="宋体" w:cs="宋体" w:hint="eastAsia"/>
                <w:color w:val="000000"/>
                <w:kern w:val="0"/>
                <w:sz w:val="28"/>
                <w:szCs w:val="28"/>
                <w:lang/>
              </w:rPr>
              <w:t>标的名称</w:t>
            </w:r>
          </w:p>
        </w:tc>
        <w:tc>
          <w:tcPr>
            <w:tcW w:w="1575"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Style w:val="font01"/>
                <w:rFonts w:hint="eastAsia"/>
                <w:sz w:val="28"/>
                <w:szCs w:val="28"/>
                <w:lang/>
              </w:rPr>
              <w:t>建筑面积</w:t>
            </w:r>
            <w:r w:rsidRPr="00355DFB">
              <w:rPr>
                <w:rStyle w:val="font01"/>
                <w:rFonts w:hAnsi="Calibri"/>
                <w:sz w:val="28"/>
                <w:szCs w:val="28"/>
                <w:lang/>
              </w:rPr>
              <w:br/>
            </w:r>
            <w:r w:rsidRPr="00355DFB">
              <w:rPr>
                <w:rStyle w:val="font01"/>
                <w:rFonts w:hint="eastAsia"/>
                <w:sz w:val="28"/>
                <w:szCs w:val="28"/>
                <w:lang/>
              </w:rPr>
              <w:t>（约</w:t>
            </w:r>
            <w:r w:rsidRPr="00355DFB">
              <w:rPr>
                <w:rStyle w:val="font01"/>
                <w:sz w:val="28"/>
                <w:szCs w:val="28"/>
                <w:lang/>
              </w:rPr>
              <w:t xml:space="preserve"> </w:t>
            </w:r>
            <w:r w:rsidRPr="00355DFB">
              <w:rPr>
                <w:rFonts w:ascii="宋体" w:hAnsi="宋体" w:cs="宋体" w:hint="eastAsia"/>
                <w:color w:val="000000"/>
                <w:kern w:val="0"/>
                <w:sz w:val="28"/>
                <w:szCs w:val="28"/>
                <w:lang/>
              </w:rPr>
              <w:t>㎡</w:t>
            </w:r>
            <w:r w:rsidRPr="00355DFB">
              <w:rPr>
                <w:rStyle w:val="font01"/>
                <w:rFonts w:hint="eastAsia"/>
                <w:sz w:val="28"/>
                <w:szCs w:val="28"/>
                <w:lang/>
              </w:rPr>
              <w:t>）</w:t>
            </w:r>
          </w:p>
        </w:tc>
        <w:tc>
          <w:tcPr>
            <w:tcW w:w="1785"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Fonts w:ascii="宋体" w:hAnsi="宋体" w:cs="宋体" w:hint="eastAsia"/>
                <w:color w:val="000000"/>
                <w:kern w:val="0"/>
                <w:sz w:val="28"/>
                <w:szCs w:val="28"/>
                <w:lang/>
              </w:rPr>
              <w:t>竞买保证金</w:t>
            </w:r>
            <w:r w:rsidRPr="00355DFB">
              <w:rPr>
                <w:rFonts w:ascii="宋体" w:cs="宋体"/>
                <w:color w:val="000000"/>
                <w:kern w:val="0"/>
                <w:sz w:val="28"/>
                <w:szCs w:val="28"/>
                <w:lang/>
              </w:rPr>
              <w:br/>
            </w:r>
            <w:r w:rsidRPr="00355DFB">
              <w:rPr>
                <w:rFonts w:ascii="宋体" w:hAnsi="宋体" w:cs="宋体" w:hint="eastAsia"/>
                <w:color w:val="000000"/>
                <w:kern w:val="0"/>
                <w:sz w:val="28"/>
                <w:szCs w:val="28"/>
                <w:lang/>
              </w:rPr>
              <w:t>（元）</w:t>
            </w:r>
          </w:p>
        </w:tc>
        <w:tc>
          <w:tcPr>
            <w:tcW w:w="1980"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Fonts w:ascii="宋体" w:hAnsi="宋体" w:cs="宋体" w:hint="eastAsia"/>
                <w:color w:val="000000"/>
                <w:kern w:val="0"/>
                <w:sz w:val="28"/>
                <w:szCs w:val="28"/>
                <w:lang/>
              </w:rPr>
              <w:t>起拍价</w:t>
            </w:r>
            <w:r w:rsidRPr="00355DFB">
              <w:rPr>
                <w:rFonts w:ascii="宋体" w:cs="宋体"/>
                <w:color w:val="000000"/>
                <w:kern w:val="0"/>
                <w:sz w:val="28"/>
                <w:szCs w:val="28"/>
                <w:lang/>
              </w:rPr>
              <w:br/>
            </w:r>
            <w:r w:rsidRPr="00355DFB">
              <w:rPr>
                <w:rFonts w:ascii="宋体" w:hAnsi="宋体" w:cs="宋体" w:hint="eastAsia"/>
                <w:color w:val="000000"/>
                <w:kern w:val="0"/>
                <w:sz w:val="28"/>
                <w:szCs w:val="28"/>
                <w:lang/>
              </w:rPr>
              <w:t>（元）</w:t>
            </w:r>
          </w:p>
        </w:tc>
        <w:tc>
          <w:tcPr>
            <w:tcW w:w="1156" w:type="dxa"/>
            <w:vAlign w:val="center"/>
          </w:tcPr>
          <w:p w:rsidR="00970981" w:rsidRPr="00355DFB" w:rsidRDefault="00970981" w:rsidP="00355DFB">
            <w:pPr>
              <w:widowControl/>
              <w:spacing w:line="320" w:lineRule="exact"/>
              <w:jc w:val="center"/>
              <w:textAlignment w:val="center"/>
              <w:rPr>
                <w:rFonts w:ascii="宋体" w:cs="宋体"/>
                <w:color w:val="000000"/>
                <w:kern w:val="0"/>
                <w:sz w:val="28"/>
                <w:szCs w:val="28"/>
                <w:lang/>
              </w:rPr>
            </w:pPr>
            <w:r w:rsidRPr="00355DFB">
              <w:rPr>
                <w:rFonts w:ascii="宋体" w:hAnsi="宋体" w:cs="宋体" w:hint="eastAsia"/>
                <w:color w:val="000000"/>
                <w:kern w:val="0"/>
                <w:sz w:val="28"/>
                <w:szCs w:val="28"/>
                <w:lang/>
              </w:rPr>
              <w:t>现状</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7</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0100096577</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801</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87.66</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519,300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8</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0100096576</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802</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97.45</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70,000</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550,800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9</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0100096598</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805</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50.77</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40,000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293,400</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10</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0100096596</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901</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87.66</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521,100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11</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0100096594</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903</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99.14</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70,000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607,500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12</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0100096592</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905</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50.77</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40,000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295,200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13</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0100096590</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1001</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87.66</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523,800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1077"/>
        </w:trPr>
        <w:tc>
          <w:tcPr>
            <w:tcW w:w="1322" w:type="dxa"/>
            <w:vAlign w:val="center"/>
          </w:tcPr>
          <w:p w:rsidR="00970981" w:rsidRPr="00355DFB" w:rsidRDefault="00970981" w:rsidP="00355DFB">
            <w:pPr>
              <w:jc w:val="center"/>
              <w:rPr>
                <w:rFonts w:ascii="宋体" w:cs="宋体"/>
                <w:sz w:val="28"/>
                <w:szCs w:val="28"/>
              </w:rPr>
            </w:pPr>
            <w:r w:rsidRPr="00355DFB">
              <w:rPr>
                <w:rFonts w:ascii="宋体" w:hAnsi="宋体" w:cs="宋体"/>
                <w:sz w:val="28"/>
                <w:szCs w:val="28"/>
              </w:rPr>
              <w:t>14</w:t>
            </w:r>
          </w:p>
        </w:tc>
        <w:tc>
          <w:tcPr>
            <w:tcW w:w="264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粤房地权证韶字第</w:t>
            </w:r>
            <w:r w:rsidRPr="00355DFB">
              <w:rPr>
                <w:rFonts w:ascii="宋体" w:hAnsi="宋体" w:cs="宋体"/>
                <w:color w:val="000000"/>
                <w:kern w:val="0"/>
                <w:sz w:val="28"/>
                <w:szCs w:val="28"/>
                <w:lang/>
              </w:rPr>
              <w:t>0100096584</w:t>
            </w:r>
            <w:r w:rsidRPr="00355DFB">
              <w:rPr>
                <w:rFonts w:ascii="宋体" w:hAnsi="宋体" w:cs="宋体" w:hint="eastAsia"/>
                <w:color w:val="000000"/>
                <w:kern w:val="0"/>
                <w:sz w:val="28"/>
                <w:szCs w:val="28"/>
                <w:lang/>
              </w:rPr>
              <w:t>号</w:t>
            </w:r>
          </w:p>
        </w:tc>
        <w:tc>
          <w:tcPr>
            <w:tcW w:w="417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韶关市武江区武江北路</w:t>
            </w:r>
            <w:r w:rsidRPr="00355DFB">
              <w:rPr>
                <w:rFonts w:ascii="宋体" w:hAnsi="宋体" w:cs="宋体"/>
                <w:color w:val="000000"/>
                <w:kern w:val="0"/>
                <w:sz w:val="28"/>
                <w:szCs w:val="28"/>
                <w:lang/>
              </w:rPr>
              <w:t>154</w:t>
            </w:r>
            <w:r w:rsidRPr="00355DFB">
              <w:rPr>
                <w:rFonts w:ascii="宋体" w:hAnsi="宋体" w:cs="宋体" w:hint="eastAsia"/>
                <w:color w:val="000000"/>
                <w:kern w:val="0"/>
                <w:sz w:val="28"/>
                <w:szCs w:val="28"/>
                <w:lang/>
              </w:rPr>
              <w:t>号汇景苑商住小区</w:t>
            </w:r>
            <w:r w:rsidRPr="00355DFB">
              <w:rPr>
                <w:rFonts w:ascii="宋体" w:hAnsi="宋体" w:cs="宋体"/>
                <w:color w:val="000000"/>
                <w:kern w:val="0"/>
                <w:sz w:val="28"/>
                <w:szCs w:val="28"/>
                <w:lang/>
              </w:rPr>
              <w:t>D</w:t>
            </w:r>
            <w:r w:rsidRPr="00355DFB">
              <w:rPr>
                <w:rFonts w:ascii="宋体" w:hAnsi="宋体" w:cs="宋体" w:hint="eastAsia"/>
                <w:color w:val="000000"/>
                <w:kern w:val="0"/>
                <w:sz w:val="28"/>
                <w:szCs w:val="28"/>
                <w:lang/>
              </w:rPr>
              <w:t>幢</w:t>
            </w:r>
            <w:r w:rsidRPr="00355DFB">
              <w:rPr>
                <w:rFonts w:ascii="宋体" w:hAnsi="宋体" w:cs="宋体"/>
                <w:color w:val="000000"/>
                <w:kern w:val="0"/>
                <w:sz w:val="28"/>
                <w:szCs w:val="28"/>
                <w:lang/>
              </w:rPr>
              <w:t>1106</w:t>
            </w:r>
            <w:r w:rsidRPr="00355DFB">
              <w:rPr>
                <w:rFonts w:ascii="宋体" w:hAnsi="宋体" w:cs="宋体" w:hint="eastAsia"/>
                <w:color w:val="000000"/>
                <w:kern w:val="0"/>
                <w:sz w:val="28"/>
                <w:szCs w:val="28"/>
                <w:lang/>
              </w:rPr>
              <w:t>房</w:t>
            </w:r>
          </w:p>
        </w:tc>
        <w:tc>
          <w:tcPr>
            <w:tcW w:w="157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105.35</w:t>
            </w:r>
          </w:p>
        </w:tc>
        <w:tc>
          <w:tcPr>
            <w:tcW w:w="1785"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80,000 </w:t>
            </w:r>
          </w:p>
        </w:tc>
        <w:tc>
          <w:tcPr>
            <w:tcW w:w="1980"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color w:val="000000"/>
                <w:kern w:val="0"/>
                <w:sz w:val="28"/>
                <w:szCs w:val="28"/>
                <w:lang/>
              </w:rPr>
              <w:t xml:space="preserve">632,700 </w:t>
            </w:r>
          </w:p>
        </w:tc>
        <w:tc>
          <w:tcPr>
            <w:tcW w:w="1156" w:type="dxa"/>
            <w:vAlign w:val="center"/>
          </w:tcPr>
          <w:p w:rsidR="00970981" w:rsidRPr="00355DFB" w:rsidRDefault="00970981" w:rsidP="00355DFB">
            <w:pPr>
              <w:widowControl/>
              <w:spacing w:line="400" w:lineRule="exact"/>
              <w:jc w:val="center"/>
              <w:textAlignment w:val="center"/>
              <w:rPr>
                <w:rFonts w:ascii="宋体" w:cs="宋体"/>
                <w:sz w:val="28"/>
                <w:szCs w:val="28"/>
              </w:rPr>
            </w:pPr>
            <w:r w:rsidRPr="00355DFB">
              <w:rPr>
                <w:rFonts w:ascii="宋体" w:hAnsi="宋体" w:cs="宋体" w:hint="eastAsia"/>
                <w:color w:val="000000"/>
                <w:kern w:val="0"/>
                <w:sz w:val="28"/>
                <w:szCs w:val="28"/>
                <w:lang/>
              </w:rPr>
              <w:t>空置</w:t>
            </w:r>
          </w:p>
        </w:tc>
      </w:tr>
      <w:tr w:rsidR="00970981" w:rsidTr="00355DFB">
        <w:trPr>
          <w:trHeight w:val="8145"/>
        </w:trPr>
        <w:tc>
          <w:tcPr>
            <w:tcW w:w="14628" w:type="dxa"/>
            <w:gridSpan w:val="7"/>
            <w:vAlign w:val="center"/>
          </w:tcPr>
          <w:p w:rsidR="00970981" w:rsidRPr="00355DFB" w:rsidRDefault="00970981" w:rsidP="00355DFB">
            <w:pPr>
              <w:spacing w:line="600" w:lineRule="exact"/>
              <w:rPr>
                <w:rFonts w:ascii="宋体" w:cs="宋体"/>
                <w:b/>
                <w:sz w:val="28"/>
                <w:szCs w:val="28"/>
              </w:rPr>
            </w:pPr>
            <w:r w:rsidRPr="00355DFB">
              <w:rPr>
                <w:rFonts w:ascii="宋体" w:hAnsi="宋体" w:cs="宋体" w:hint="eastAsia"/>
                <w:b/>
                <w:sz w:val="28"/>
                <w:szCs w:val="28"/>
                <w:lang/>
              </w:rPr>
              <w:t>其他约定：</w:t>
            </w:r>
          </w:p>
          <w:p w:rsidR="00970981" w:rsidRPr="00355DFB" w:rsidRDefault="00970981" w:rsidP="00355DFB">
            <w:pPr>
              <w:numPr>
                <w:ilvl w:val="0"/>
                <w:numId w:val="1"/>
              </w:numPr>
              <w:snapToGrid w:val="0"/>
              <w:spacing w:line="600" w:lineRule="exact"/>
              <w:ind w:firstLine="560"/>
              <w:rPr>
                <w:rFonts w:ascii="宋体" w:cs="宋体"/>
                <w:b/>
                <w:spacing w:val="-3"/>
                <w:kern w:val="0"/>
                <w:sz w:val="28"/>
                <w:szCs w:val="28"/>
              </w:rPr>
            </w:pPr>
            <w:r w:rsidRPr="00355DFB">
              <w:rPr>
                <w:rFonts w:ascii="宋体" w:hAnsi="宋体" w:cs="宋体" w:hint="eastAsia"/>
                <w:b/>
                <w:spacing w:val="-3"/>
                <w:kern w:val="0"/>
                <w:sz w:val="28"/>
                <w:szCs w:val="28"/>
                <w:lang/>
              </w:rPr>
              <w:t>标的按看样时的现状、</w:t>
            </w:r>
            <w:r w:rsidRPr="00355DFB">
              <w:rPr>
                <w:rFonts w:ascii="宋体" w:hAnsi="宋体" w:cs="宋体" w:hint="eastAsia"/>
                <w:b/>
                <w:sz w:val="28"/>
                <w:szCs w:val="28"/>
                <w:lang/>
              </w:rPr>
              <w:t>现房地产规定的用途</w:t>
            </w:r>
            <w:r w:rsidRPr="00355DFB">
              <w:rPr>
                <w:rFonts w:ascii="宋体" w:hAnsi="宋体" w:cs="宋体" w:hint="eastAsia"/>
                <w:b/>
                <w:spacing w:val="-3"/>
                <w:kern w:val="0"/>
                <w:sz w:val="28"/>
                <w:szCs w:val="28"/>
                <w:lang/>
              </w:rPr>
              <w:t>拍卖，房屋建筑物、土地使用权的准确面积最终以当地主管部门的测绘面积为准，如有变动，成交价不作调整。</w:t>
            </w:r>
            <w:r w:rsidRPr="00355DFB">
              <w:rPr>
                <w:rFonts w:ascii="宋体" w:hAnsi="宋体" w:cs="宋体"/>
                <w:b/>
                <w:spacing w:val="-3"/>
                <w:kern w:val="0"/>
                <w:sz w:val="28"/>
                <w:szCs w:val="28"/>
                <w:lang/>
              </w:rPr>
              <w:t xml:space="preserve"> </w:t>
            </w:r>
          </w:p>
          <w:p w:rsidR="00970981" w:rsidRPr="00355DFB" w:rsidRDefault="00970981" w:rsidP="00355DFB">
            <w:pPr>
              <w:numPr>
                <w:ilvl w:val="0"/>
                <w:numId w:val="1"/>
              </w:numPr>
              <w:snapToGrid w:val="0"/>
              <w:spacing w:line="600" w:lineRule="exact"/>
              <w:ind w:firstLine="560"/>
              <w:rPr>
                <w:rFonts w:ascii="宋体" w:cs="宋体"/>
                <w:b/>
                <w:spacing w:val="-3"/>
                <w:kern w:val="0"/>
                <w:sz w:val="28"/>
                <w:szCs w:val="28"/>
              </w:rPr>
            </w:pPr>
            <w:r w:rsidRPr="00355DFB">
              <w:rPr>
                <w:rFonts w:ascii="宋体" w:hAnsi="宋体" w:cs="宋体" w:hint="eastAsia"/>
                <w:b/>
                <w:kern w:val="0"/>
                <w:sz w:val="28"/>
                <w:szCs w:val="28"/>
                <w:lang/>
              </w:rPr>
              <w:t>买受人</w:t>
            </w:r>
            <w:r w:rsidRPr="00355DFB">
              <w:rPr>
                <w:rFonts w:ascii="宋体" w:hAnsi="宋体" w:cs="宋体" w:hint="eastAsia"/>
                <w:b/>
                <w:sz w:val="28"/>
                <w:szCs w:val="28"/>
                <w:lang/>
              </w:rPr>
              <w:t>须自行了解交易标的产权、用途、结构、质量、面积、供水、供电、消防系统、使用现状（包括房屋内部间隔现状、装修装饰现状；建筑物和构筑物附属设施及物业管理）等。</w:t>
            </w:r>
          </w:p>
          <w:p w:rsidR="00970981" w:rsidRPr="00355DFB" w:rsidRDefault="00970981" w:rsidP="00970981">
            <w:pPr>
              <w:snapToGrid w:val="0"/>
              <w:spacing w:line="600" w:lineRule="exact"/>
              <w:ind w:firstLineChars="200" w:firstLine="31680"/>
              <w:rPr>
                <w:rFonts w:ascii="宋体" w:cs="宋体"/>
                <w:b/>
                <w:kern w:val="0"/>
                <w:sz w:val="28"/>
                <w:szCs w:val="28"/>
              </w:rPr>
            </w:pPr>
            <w:r w:rsidRPr="00355DFB">
              <w:rPr>
                <w:rFonts w:ascii="宋体" w:hAnsi="宋体" w:cs="宋体"/>
                <w:b/>
                <w:kern w:val="0"/>
                <w:sz w:val="28"/>
                <w:szCs w:val="28"/>
                <w:lang/>
              </w:rPr>
              <w:t>3</w:t>
            </w:r>
            <w:r w:rsidRPr="00355DFB">
              <w:rPr>
                <w:rFonts w:ascii="宋体" w:hAnsi="宋体" w:cs="宋体" w:hint="eastAsia"/>
                <w:b/>
                <w:kern w:val="0"/>
                <w:sz w:val="28"/>
                <w:szCs w:val="28"/>
                <w:lang/>
              </w:rPr>
              <w:t>、成交价款付款方式：</w:t>
            </w:r>
          </w:p>
          <w:p w:rsidR="00970981" w:rsidRPr="00355DFB" w:rsidRDefault="00970981" w:rsidP="00970981">
            <w:pPr>
              <w:snapToGrid w:val="0"/>
              <w:spacing w:line="600" w:lineRule="exact"/>
              <w:ind w:firstLineChars="100" w:firstLine="31680"/>
              <w:rPr>
                <w:rFonts w:ascii="宋体" w:cs="宋体"/>
                <w:b/>
                <w:kern w:val="0"/>
                <w:sz w:val="28"/>
                <w:szCs w:val="28"/>
              </w:rPr>
            </w:pPr>
            <w:r w:rsidRPr="00355DFB">
              <w:rPr>
                <w:rFonts w:ascii="宋体" w:hAnsi="宋体" w:cs="宋体" w:hint="eastAsia"/>
                <w:b/>
                <w:kern w:val="0"/>
                <w:sz w:val="28"/>
                <w:szCs w:val="28"/>
                <w:lang/>
              </w:rPr>
              <w:t>（</w:t>
            </w:r>
            <w:r w:rsidRPr="00355DFB">
              <w:rPr>
                <w:rFonts w:ascii="宋体" w:hAnsi="宋体" w:cs="宋体"/>
                <w:b/>
                <w:kern w:val="0"/>
                <w:sz w:val="28"/>
                <w:szCs w:val="28"/>
                <w:lang/>
              </w:rPr>
              <w:t>1</w:t>
            </w:r>
            <w:r w:rsidRPr="00355DFB">
              <w:rPr>
                <w:rFonts w:ascii="宋体" w:hAnsi="宋体" w:cs="宋体" w:hint="eastAsia"/>
                <w:b/>
                <w:kern w:val="0"/>
                <w:sz w:val="28"/>
                <w:szCs w:val="28"/>
                <w:lang/>
              </w:rPr>
              <w:t>）成交后，如房产拍卖成交价格在</w:t>
            </w:r>
            <w:r w:rsidRPr="00355DFB">
              <w:rPr>
                <w:rFonts w:ascii="宋体" w:hAnsi="宋体" w:cs="宋体"/>
                <w:b/>
                <w:kern w:val="0"/>
                <w:sz w:val="28"/>
                <w:szCs w:val="28"/>
                <w:lang/>
              </w:rPr>
              <w:t>100</w:t>
            </w:r>
            <w:r w:rsidRPr="00355DFB">
              <w:rPr>
                <w:rFonts w:ascii="宋体" w:hAnsi="宋体" w:cs="宋体" w:hint="eastAsia"/>
                <w:b/>
                <w:kern w:val="0"/>
                <w:sz w:val="28"/>
                <w:szCs w:val="28"/>
                <w:lang/>
              </w:rPr>
              <w:t>万元（不含</w:t>
            </w:r>
            <w:r w:rsidRPr="00355DFB">
              <w:rPr>
                <w:rFonts w:ascii="宋体" w:hAnsi="宋体" w:cs="宋体"/>
                <w:b/>
                <w:kern w:val="0"/>
                <w:sz w:val="28"/>
                <w:szCs w:val="28"/>
                <w:lang/>
              </w:rPr>
              <w:t>100</w:t>
            </w:r>
            <w:r w:rsidRPr="00355DFB">
              <w:rPr>
                <w:rFonts w:ascii="宋体" w:hAnsi="宋体" w:cs="宋体" w:hint="eastAsia"/>
                <w:b/>
                <w:kern w:val="0"/>
                <w:sz w:val="28"/>
                <w:szCs w:val="28"/>
                <w:lang/>
              </w:rPr>
              <w:t>万元）以下的，</w:t>
            </w:r>
            <w:r w:rsidRPr="00355DFB">
              <w:rPr>
                <w:rFonts w:ascii="宋体" w:hAnsi="宋体" w:cs="宋体" w:hint="eastAsia"/>
                <w:b/>
                <w:sz w:val="28"/>
                <w:szCs w:val="28"/>
                <w:lang/>
              </w:rPr>
              <w:t>买受人应在成交之日起</w:t>
            </w:r>
            <w:r w:rsidRPr="00355DFB">
              <w:rPr>
                <w:rFonts w:ascii="宋体" w:hAnsi="宋体" w:cs="宋体"/>
                <w:b/>
                <w:sz w:val="28"/>
                <w:szCs w:val="28"/>
                <w:lang/>
              </w:rPr>
              <w:t>10</w:t>
            </w:r>
            <w:r w:rsidRPr="00355DFB">
              <w:rPr>
                <w:rFonts w:ascii="宋体" w:hAnsi="宋体" w:cs="宋体" w:hint="eastAsia"/>
                <w:b/>
                <w:sz w:val="28"/>
                <w:szCs w:val="28"/>
                <w:lang/>
              </w:rPr>
              <w:t>日内向委托方</w:t>
            </w:r>
            <w:r w:rsidRPr="00355DFB">
              <w:rPr>
                <w:rFonts w:ascii="宋体" w:hAnsi="宋体" w:cs="宋体" w:hint="eastAsia"/>
                <w:b/>
                <w:kern w:val="0"/>
                <w:sz w:val="28"/>
                <w:szCs w:val="28"/>
                <w:lang/>
              </w:rPr>
              <w:t>指定账户</w:t>
            </w:r>
            <w:r w:rsidRPr="00355DFB">
              <w:rPr>
                <w:rFonts w:ascii="宋体" w:hAnsi="宋体" w:cs="宋体" w:hint="eastAsia"/>
                <w:b/>
                <w:sz w:val="28"/>
                <w:szCs w:val="28"/>
                <w:lang/>
              </w:rPr>
              <w:t>支付标的成交价款的</w:t>
            </w:r>
            <w:r w:rsidRPr="00355DFB">
              <w:rPr>
                <w:rFonts w:ascii="宋体" w:hAnsi="宋体" w:cs="宋体"/>
                <w:b/>
                <w:sz w:val="28"/>
                <w:szCs w:val="28"/>
                <w:lang/>
              </w:rPr>
              <w:t>30%</w:t>
            </w:r>
            <w:r w:rsidRPr="00355DFB">
              <w:rPr>
                <w:rFonts w:ascii="宋体" w:hAnsi="宋体" w:cs="宋体" w:hint="eastAsia"/>
                <w:b/>
                <w:sz w:val="28"/>
                <w:szCs w:val="28"/>
                <w:lang/>
              </w:rPr>
              <w:t>，剩余标的成交价款在拍卖成交之日起</w:t>
            </w:r>
            <w:r w:rsidRPr="00355DFB">
              <w:rPr>
                <w:rFonts w:ascii="宋体" w:hAnsi="宋体" w:cs="宋体"/>
                <w:b/>
                <w:sz w:val="28"/>
                <w:szCs w:val="28"/>
                <w:lang/>
              </w:rPr>
              <w:t>40</w:t>
            </w:r>
            <w:r w:rsidRPr="00355DFB">
              <w:rPr>
                <w:rFonts w:ascii="宋体" w:hAnsi="宋体" w:cs="宋体" w:hint="eastAsia"/>
                <w:b/>
                <w:sz w:val="28"/>
                <w:szCs w:val="28"/>
                <w:lang/>
              </w:rPr>
              <w:t>日内付清。</w:t>
            </w:r>
          </w:p>
          <w:p w:rsidR="00970981" w:rsidRPr="00355DFB" w:rsidRDefault="00970981" w:rsidP="00970981">
            <w:pPr>
              <w:snapToGrid w:val="0"/>
              <w:spacing w:line="600" w:lineRule="exact"/>
              <w:ind w:firstLineChars="100" w:firstLine="31680"/>
              <w:rPr>
                <w:rFonts w:ascii="宋体" w:cs="宋体"/>
                <w:b/>
                <w:kern w:val="0"/>
                <w:sz w:val="28"/>
                <w:szCs w:val="28"/>
              </w:rPr>
            </w:pPr>
            <w:r w:rsidRPr="00355DFB">
              <w:rPr>
                <w:rFonts w:ascii="宋体" w:hAnsi="宋体" w:cs="宋体" w:hint="eastAsia"/>
                <w:b/>
                <w:kern w:val="0"/>
                <w:sz w:val="28"/>
                <w:szCs w:val="28"/>
                <w:lang/>
              </w:rPr>
              <w:t>（</w:t>
            </w:r>
            <w:r w:rsidRPr="00355DFB">
              <w:rPr>
                <w:rFonts w:ascii="宋体" w:hAnsi="宋体" w:cs="宋体"/>
                <w:b/>
                <w:kern w:val="0"/>
                <w:sz w:val="28"/>
                <w:szCs w:val="28"/>
                <w:lang/>
              </w:rPr>
              <w:t>2</w:t>
            </w:r>
            <w:r w:rsidRPr="00355DFB">
              <w:rPr>
                <w:rFonts w:ascii="宋体" w:hAnsi="宋体" w:cs="宋体" w:hint="eastAsia"/>
                <w:b/>
                <w:kern w:val="0"/>
                <w:sz w:val="28"/>
                <w:szCs w:val="28"/>
                <w:lang/>
              </w:rPr>
              <w:t>）成交后，如房产拍卖成交价格在</w:t>
            </w:r>
            <w:r w:rsidRPr="00355DFB">
              <w:rPr>
                <w:rFonts w:ascii="宋体" w:hAnsi="宋体" w:cs="宋体"/>
                <w:b/>
                <w:kern w:val="0"/>
                <w:sz w:val="28"/>
                <w:szCs w:val="28"/>
                <w:lang/>
              </w:rPr>
              <w:t>100</w:t>
            </w:r>
            <w:r w:rsidRPr="00355DFB">
              <w:rPr>
                <w:rFonts w:ascii="宋体" w:hAnsi="宋体" w:cs="宋体" w:hint="eastAsia"/>
                <w:b/>
                <w:kern w:val="0"/>
                <w:sz w:val="28"/>
                <w:szCs w:val="28"/>
                <w:lang/>
              </w:rPr>
              <w:t>万元（含</w:t>
            </w:r>
            <w:r w:rsidRPr="00355DFB">
              <w:rPr>
                <w:rFonts w:ascii="宋体" w:hAnsi="宋体" w:cs="宋体"/>
                <w:b/>
                <w:kern w:val="0"/>
                <w:sz w:val="28"/>
                <w:szCs w:val="28"/>
                <w:lang/>
              </w:rPr>
              <w:t>100</w:t>
            </w:r>
            <w:r w:rsidRPr="00355DFB">
              <w:rPr>
                <w:rFonts w:ascii="宋体" w:hAnsi="宋体" w:cs="宋体" w:hint="eastAsia"/>
                <w:b/>
                <w:kern w:val="0"/>
                <w:sz w:val="28"/>
                <w:szCs w:val="28"/>
                <w:lang/>
              </w:rPr>
              <w:t>万元）以上的，</w:t>
            </w:r>
            <w:r w:rsidRPr="00355DFB">
              <w:rPr>
                <w:rFonts w:ascii="宋体" w:hAnsi="宋体" w:cs="宋体" w:hint="eastAsia"/>
                <w:b/>
                <w:sz w:val="28"/>
                <w:szCs w:val="28"/>
                <w:lang/>
              </w:rPr>
              <w:t>买受人应在成交之日起</w:t>
            </w:r>
            <w:r w:rsidRPr="00355DFB">
              <w:rPr>
                <w:rFonts w:ascii="宋体" w:hAnsi="宋体" w:cs="宋体"/>
                <w:b/>
                <w:sz w:val="28"/>
                <w:szCs w:val="28"/>
                <w:lang/>
              </w:rPr>
              <w:t>10</w:t>
            </w:r>
            <w:r w:rsidRPr="00355DFB">
              <w:rPr>
                <w:rFonts w:ascii="宋体" w:hAnsi="宋体" w:cs="宋体" w:hint="eastAsia"/>
                <w:b/>
                <w:sz w:val="28"/>
                <w:szCs w:val="28"/>
                <w:lang/>
              </w:rPr>
              <w:t>日内向委托方</w:t>
            </w:r>
            <w:r w:rsidRPr="00355DFB">
              <w:rPr>
                <w:rFonts w:ascii="宋体" w:hAnsi="宋体" w:cs="宋体" w:hint="eastAsia"/>
                <w:b/>
                <w:kern w:val="0"/>
                <w:sz w:val="28"/>
                <w:szCs w:val="28"/>
                <w:lang/>
              </w:rPr>
              <w:t>指定账户</w:t>
            </w:r>
            <w:r w:rsidRPr="00355DFB">
              <w:rPr>
                <w:rFonts w:ascii="宋体" w:hAnsi="宋体" w:cs="宋体" w:hint="eastAsia"/>
                <w:b/>
                <w:sz w:val="28"/>
                <w:szCs w:val="28"/>
                <w:lang/>
              </w:rPr>
              <w:t>支付标的成交价款的</w:t>
            </w:r>
            <w:r w:rsidRPr="00355DFB">
              <w:rPr>
                <w:rFonts w:ascii="宋体" w:hAnsi="宋体" w:cs="宋体"/>
                <w:b/>
                <w:sz w:val="28"/>
                <w:szCs w:val="28"/>
                <w:lang/>
              </w:rPr>
              <w:t>30%</w:t>
            </w:r>
            <w:r w:rsidRPr="00355DFB">
              <w:rPr>
                <w:rFonts w:ascii="宋体" w:hAnsi="宋体" w:cs="宋体" w:hint="eastAsia"/>
                <w:b/>
                <w:sz w:val="28"/>
                <w:szCs w:val="28"/>
                <w:lang/>
              </w:rPr>
              <w:t>，剩余标的成交价款在拍卖成交之日起</w:t>
            </w:r>
            <w:r w:rsidRPr="00355DFB">
              <w:rPr>
                <w:rFonts w:ascii="宋体" w:hAnsi="宋体" w:cs="宋体"/>
                <w:b/>
                <w:sz w:val="28"/>
                <w:szCs w:val="28"/>
                <w:lang/>
              </w:rPr>
              <w:t>60</w:t>
            </w:r>
            <w:r w:rsidRPr="00355DFB">
              <w:rPr>
                <w:rFonts w:ascii="宋体" w:hAnsi="宋体" w:cs="宋体" w:hint="eastAsia"/>
                <w:b/>
                <w:sz w:val="28"/>
                <w:szCs w:val="28"/>
                <w:lang/>
              </w:rPr>
              <w:t>日内付清。（注：买受人如需办理银行按揭的，应以书面形式向委托方申请延期交付成交价款，同时需提供办理银行按揭的证明材料，剩余</w:t>
            </w:r>
            <w:r w:rsidRPr="00355DFB">
              <w:rPr>
                <w:rFonts w:ascii="宋体" w:hAnsi="宋体" w:cs="宋体"/>
                <w:b/>
                <w:sz w:val="28"/>
                <w:szCs w:val="28"/>
                <w:lang/>
              </w:rPr>
              <w:t>70%</w:t>
            </w:r>
            <w:r w:rsidRPr="00355DFB">
              <w:rPr>
                <w:rFonts w:ascii="宋体" w:hAnsi="宋体" w:cs="宋体" w:hint="eastAsia"/>
                <w:b/>
                <w:sz w:val="28"/>
                <w:szCs w:val="28"/>
                <w:lang/>
              </w:rPr>
              <w:t>的成交价款须在拍卖成交之日起</w:t>
            </w:r>
            <w:r w:rsidRPr="00355DFB">
              <w:rPr>
                <w:rFonts w:ascii="宋体" w:hAnsi="宋体" w:cs="宋体"/>
                <w:b/>
                <w:sz w:val="28"/>
                <w:szCs w:val="28"/>
                <w:lang/>
              </w:rPr>
              <w:t>90</w:t>
            </w:r>
            <w:r w:rsidRPr="00355DFB">
              <w:rPr>
                <w:rFonts w:ascii="宋体" w:hAnsi="宋体" w:cs="宋体" w:hint="eastAsia"/>
                <w:b/>
                <w:sz w:val="28"/>
                <w:szCs w:val="28"/>
                <w:lang/>
              </w:rPr>
              <w:t>日前付清。）</w:t>
            </w:r>
          </w:p>
          <w:p w:rsidR="00970981" w:rsidRPr="00355DFB" w:rsidRDefault="00970981" w:rsidP="00355DFB">
            <w:pPr>
              <w:snapToGrid w:val="0"/>
              <w:spacing w:line="580" w:lineRule="exact"/>
              <w:ind w:firstLine="560"/>
              <w:rPr>
                <w:rFonts w:ascii="宋体" w:cs="宋体"/>
                <w:b/>
                <w:sz w:val="28"/>
                <w:szCs w:val="28"/>
                <w:lang/>
              </w:rPr>
            </w:pPr>
            <w:r w:rsidRPr="00355DFB">
              <w:rPr>
                <w:rFonts w:ascii="宋体" w:hAnsi="宋体" w:cs="宋体"/>
                <w:b/>
                <w:kern w:val="0"/>
                <w:sz w:val="28"/>
                <w:szCs w:val="28"/>
                <w:lang/>
              </w:rPr>
              <w:t>4</w:t>
            </w:r>
            <w:r w:rsidRPr="00355DFB">
              <w:rPr>
                <w:rFonts w:ascii="宋体" w:hAnsi="宋体" w:cs="宋体" w:hint="eastAsia"/>
                <w:b/>
                <w:kern w:val="0"/>
                <w:sz w:val="28"/>
                <w:szCs w:val="28"/>
                <w:lang/>
              </w:rPr>
              <w:t>、买受人应在成交之日起</w:t>
            </w:r>
            <w:r w:rsidRPr="00355DFB">
              <w:rPr>
                <w:rFonts w:ascii="宋体" w:hAnsi="宋体" w:cs="宋体"/>
                <w:b/>
                <w:kern w:val="0"/>
                <w:sz w:val="28"/>
                <w:szCs w:val="28"/>
                <w:lang/>
              </w:rPr>
              <w:t>10</w:t>
            </w:r>
            <w:r w:rsidRPr="00355DFB">
              <w:rPr>
                <w:rFonts w:ascii="宋体" w:hAnsi="宋体" w:cs="宋体" w:hint="eastAsia"/>
                <w:b/>
                <w:kern w:val="0"/>
                <w:sz w:val="28"/>
                <w:szCs w:val="28"/>
                <w:lang/>
              </w:rPr>
              <w:t>天内向我公司支付拍卖佣金（收费标准详见拍卖须知），缴交标的款项的同时须另行向我公司交纳按成交价</w:t>
            </w:r>
            <w:r w:rsidRPr="00355DFB">
              <w:rPr>
                <w:rFonts w:ascii="宋体" w:hAnsi="宋体" w:cs="宋体"/>
                <w:b/>
                <w:kern w:val="0"/>
                <w:sz w:val="28"/>
                <w:szCs w:val="28"/>
                <w:lang/>
              </w:rPr>
              <w:t>5%</w:t>
            </w:r>
            <w:r w:rsidRPr="00355DFB">
              <w:rPr>
                <w:rFonts w:ascii="宋体" w:hAnsi="宋体" w:cs="宋体" w:hint="eastAsia"/>
                <w:b/>
                <w:kern w:val="0"/>
                <w:sz w:val="28"/>
                <w:szCs w:val="28"/>
                <w:lang/>
              </w:rPr>
              <w:t>计算的履约保证金作为自接到我公司通知之日起三个月内配合完成标的过户手续的承诺；在规定时间内办理完过户手续后，我公司全额无息退回该履约保证金。如买受人未按规定时间内办理完过户手续的，委托方有权将标的收回，重新拍卖，买受人所缴纳的履约保证金不予退还，将履约保证金划转至委托方指定账户。过户时所涉及需要缴纳的滞纳金由买受人支付，与</w:t>
            </w:r>
            <w:r w:rsidRPr="00355DFB">
              <w:rPr>
                <w:rFonts w:ascii="宋体" w:hAnsi="宋体" w:cs="宋体" w:hint="eastAsia"/>
                <w:b/>
                <w:sz w:val="28"/>
                <w:szCs w:val="28"/>
                <w:lang/>
              </w:rPr>
              <w:t>委托方</w:t>
            </w:r>
            <w:r w:rsidRPr="00355DFB">
              <w:rPr>
                <w:rFonts w:ascii="宋体" w:hAnsi="宋体" w:cs="宋体" w:hint="eastAsia"/>
                <w:b/>
                <w:kern w:val="0"/>
                <w:sz w:val="28"/>
                <w:szCs w:val="28"/>
                <w:lang/>
              </w:rPr>
              <w:t>无关。</w:t>
            </w:r>
          </w:p>
          <w:p w:rsidR="00970981" w:rsidRPr="00355DFB" w:rsidRDefault="00970981" w:rsidP="00355DFB">
            <w:pPr>
              <w:snapToGrid w:val="0"/>
              <w:spacing w:line="580" w:lineRule="exact"/>
              <w:ind w:firstLine="560"/>
              <w:rPr>
                <w:rFonts w:ascii="宋体" w:cs="宋体"/>
                <w:b/>
                <w:kern w:val="0"/>
                <w:sz w:val="28"/>
                <w:szCs w:val="28"/>
              </w:rPr>
            </w:pPr>
            <w:r w:rsidRPr="00355DFB">
              <w:rPr>
                <w:rFonts w:ascii="宋体" w:hAnsi="宋体" w:cs="宋体"/>
                <w:b/>
                <w:sz w:val="28"/>
                <w:szCs w:val="28"/>
                <w:lang/>
              </w:rPr>
              <w:t>5</w:t>
            </w:r>
            <w:r w:rsidRPr="00355DFB">
              <w:rPr>
                <w:rFonts w:ascii="宋体" w:hAnsi="宋体" w:cs="宋体" w:hint="eastAsia"/>
                <w:b/>
                <w:sz w:val="28"/>
                <w:szCs w:val="28"/>
                <w:lang/>
              </w:rPr>
              <w:t>、标的移交：买受人在规定时间内付清标的全部款项后，委托方在</w:t>
            </w:r>
            <w:r w:rsidRPr="00355DFB">
              <w:rPr>
                <w:rFonts w:ascii="宋体" w:hAnsi="宋体" w:cs="宋体"/>
                <w:b/>
                <w:sz w:val="28"/>
                <w:szCs w:val="28"/>
                <w:lang/>
              </w:rPr>
              <w:t>15</w:t>
            </w:r>
            <w:r w:rsidRPr="00355DFB">
              <w:rPr>
                <w:rFonts w:ascii="宋体" w:hAnsi="宋体" w:cs="宋体" w:hint="eastAsia"/>
                <w:b/>
                <w:sz w:val="28"/>
                <w:szCs w:val="28"/>
                <w:lang/>
              </w:rPr>
              <w:t>天内将标的过户的相关资料移交给买受人，由买受人自行办理</w:t>
            </w:r>
            <w:r w:rsidRPr="00355DFB">
              <w:rPr>
                <w:rFonts w:ascii="宋体" w:hAnsi="宋体" w:cs="宋体" w:hint="eastAsia"/>
                <w:b/>
                <w:color w:val="000000"/>
                <w:sz w:val="28"/>
                <w:szCs w:val="28"/>
                <w:lang/>
              </w:rPr>
              <w:t>标的物过户登记</w:t>
            </w:r>
            <w:r w:rsidRPr="00355DFB">
              <w:rPr>
                <w:rFonts w:ascii="宋体" w:hAnsi="宋体" w:cs="宋体" w:hint="eastAsia"/>
                <w:b/>
                <w:sz w:val="28"/>
                <w:szCs w:val="28"/>
                <w:lang/>
              </w:rPr>
              <w:t>手续，买受人在规定时间内完成过户登记手续后</w:t>
            </w:r>
            <w:r w:rsidRPr="00355DFB">
              <w:rPr>
                <w:rFonts w:ascii="宋体" w:hAnsi="宋体" w:cs="宋体"/>
                <w:b/>
                <w:sz w:val="28"/>
                <w:szCs w:val="28"/>
                <w:lang/>
              </w:rPr>
              <w:t>7</w:t>
            </w:r>
            <w:r w:rsidRPr="00355DFB">
              <w:rPr>
                <w:rFonts w:ascii="宋体" w:hAnsi="宋体" w:cs="宋体" w:hint="eastAsia"/>
                <w:b/>
                <w:sz w:val="28"/>
                <w:szCs w:val="28"/>
                <w:lang/>
              </w:rPr>
              <w:t>天内委托方将房产按现状移交给买受人，移交前房屋可能存在的物业费、水、电等欠费均由委托方解决，移交后的物业费、水、电等欠费均由买受人支付解决。</w:t>
            </w:r>
          </w:p>
          <w:p w:rsidR="00970981" w:rsidRPr="00355DFB" w:rsidRDefault="00970981" w:rsidP="00355DFB">
            <w:pPr>
              <w:snapToGrid w:val="0"/>
              <w:spacing w:line="580" w:lineRule="exact"/>
              <w:ind w:firstLine="560"/>
              <w:rPr>
                <w:rFonts w:ascii="宋体" w:cs="宋体"/>
                <w:b/>
                <w:kern w:val="0"/>
                <w:sz w:val="28"/>
                <w:szCs w:val="28"/>
              </w:rPr>
            </w:pPr>
            <w:r w:rsidRPr="00355DFB">
              <w:rPr>
                <w:rFonts w:ascii="宋体" w:hAnsi="宋体" w:cs="宋体"/>
                <w:b/>
                <w:kern w:val="0"/>
                <w:sz w:val="28"/>
                <w:szCs w:val="28"/>
                <w:lang/>
              </w:rPr>
              <w:t>6</w:t>
            </w:r>
            <w:r w:rsidRPr="00355DFB">
              <w:rPr>
                <w:rFonts w:ascii="宋体" w:hAnsi="宋体" w:cs="宋体" w:hint="eastAsia"/>
                <w:b/>
                <w:kern w:val="0"/>
                <w:sz w:val="28"/>
                <w:szCs w:val="28"/>
                <w:lang/>
              </w:rPr>
              <w:t>、</w:t>
            </w:r>
            <w:r w:rsidRPr="00355DFB">
              <w:rPr>
                <w:rFonts w:ascii="宋体" w:hAnsi="宋体" w:cs="宋体" w:hint="eastAsia"/>
                <w:b/>
                <w:sz w:val="28"/>
                <w:szCs w:val="28"/>
                <w:lang/>
              </w:rPr>
              <w:t>委托方仅提供标的过户的相关资料，买受人自行办理</w:t>
            </w:r>
            <w:r w:rsidRPr="00355DFB">
              <w:rPr>
                <w:rFonts w:ascii="宋体" w:hAnsi="宋体" w:cs="宋体" w:hint="eastAsia"/>
                <w:b/>
                <w:color w:val="000000"/>
                <w:sz w:val="28"/>
                <w:szCs w:val="28"/>
                <w:lang/>
              </w:rPr>
              <w:t>标的物过户登记</w:t>
            </w:r>
            <w:r w:rsidRPr="00355DFB">
              <w:rPr>
                <w:rFonts w:ascii="宋体" w:hAnsi="宋体" w:cs="宋体" w:hint="eastAsia"/>
                <w:b/>
                <w:sz w:val="28"/>
                <w:szCs w:val="28"/>
                <w:lang/>
              </w:rPr>
              <w:t>手续，买受人自接到我公司通知之日起三个月内完成标的过户手续，因拍卖标的办理交易过户登记、办证等所产生的税金、费用按国家规定由买、卖双方各自承担。办理新的不动产权属证书所需的权籍调查费由买受人承担。住宅专项维修资金由买受人承担。土地出让金由委托方支付。买受人应自行办理水、电、气等户名变更手续，相关费用自理。未明确缴费义务人的费用由买受人支付。具体费用请竞买人在竞买前自行到相关职能部门咨询确认。如在</w:t>
            </w:r>
            <w:r w:rsidRPr="00355DFB">
              <w:rPr>
                <w:rFonts w:ascii="宋体" w:hAnsi="宋体" w:cs="宋体" w:hint="eastAsia"/>
                <w:b/>
                <w:kern w:val="0"/>
                <w:sz w:val="28"/>
                <w:szCs w:val="28"/>
                <w:lang/>
              </w:rPr>
              <w:t>过户过程中所涉及需要缴纳的滞纳金由买受人支付，与委托方及我公司无关。</w:t>
            </w:r>
          </w:p>
          <w:p w:rsidR="00970981" w:rsidRPr="00355DFB" w:rsidRDefault="00970981" w:rsidP="00970981">
            <w:pPr>
              <w:widowControl/>
              <w:spacing w:line="580" w:lineRule="exact"/>
              <w:ind w:firstLineChars="200" w:firstLine="31680"/>
              <w:jc w:val="left"/>
              <w:rPr>
                <w:rFonts w:ascii="宋体" w:cs="宋体"/>
                <w:sz w:val="28"/>
                <w:szCs w:val="28"/>
              </w:rPr>
            </w:pPr>
            <w:r w:rsidRPr="00355DFB">
              <w:rPr>
                <w:rFonts w:ascii="宋体" w:hAnsi="宋体" w:cs="宋体"/>
                <w:b/>
                <w:spacing w:val="-1"/>
                <w:sz w:val="28"/>
                <w:szCs w:val="28"/>
                <w:lang/>
              </w:rPr>
              <w:t>7</w:t>
            </w:r>
            <w:r w:rsidRPr="00355DFB">
              <w:rPr>
                <w:rFonts w:ascii="宋体" w:hAnsi="宋体" w:cs="宋体" w:hint="eastAsia"/>
                <w:b/>
                <w:spacing w:val="-1"/>
                <w:sz w:val="28"/>
                <w:szCs w:val="28"/>
                <w:lang/>
              </w:rPr>
              <w:t>、</w:t>
            </w:r>
            <w:r w:rsidRPr="00355DFB">
              <w:rPr>
                <w:rFonts w:ascii="宋体" w:hAnsi="宋体" w:cs="宋体" w:hint="eastAsia"/>
                <w:b/>
                <w:sz w:val="28"/>
                <w:szCs w:val="28"/>
                <w:lang/>
              </w:rPr>
              <w:t>若因法律法规、政策变化导致标的物无法办理过户手续的，仅无息退还买受人所实交标的成交价款、拍卖佣金，买受人不得向委托方、我公司和韶关市公共资源交易中心追究责任，委托方、我公司和韶关市公共资源交易中心不承担任何责任且不作任何赔（补）偿。</w:t>
            </w:r>
          </w:p>
        </w:tc>
      </w:tr>
    </w:tbl>
    <w:p w:rsidR="00970981" w:rsidRDefault="00970981">
      <w:pPr>
        <w:snapToGrid w:val="0"/>
        <w:spacing w:line="340" w:lineRule="exact"/>
        <w:jc w:val="center"/>
        <w:rPr>
          <w:rFonts w:ascii="宋体" w:cs="宋体"/>
          <w:b/>
          <w:sz w:val="28"/>
          <w:szCs w:val="28"/>
        </w:rPr>
      </w:pPr>
      <w:r>
        <w:rPr>
          <w:rFonts w:ascii="宋体" w:hAnsi="宋体" w:cs="宋体" w:hint="eastAsia"/>
          <w:b/>
          <w:snapToGrid w:val="0"/>
          <w:kern w:val="0"/>
          <w:sz w:val="28"/>
          <w:szCs w:val="28"/>
          <w:lang/>
        </w:rPr>
        <w:t>联系电话：</w:t>
      </w:r>
      <w:r>
        <w:rPr>
          <w:rFonts w:ascii="宋体" w:hAnsi="宋体" w:cs="宋体"/>
          <w:b/>
          <w:sz w:val="28"/>
          <w:szCs w:val="28"/>
          <w:lang/>
        </w:rPr>
        <w:t>0751-8989093</w:t>
      </w:r>
      <w:r>
        <w:rPr>
          <w:rFonts w:ascii="宋体" w:hAnsi="宋体" w:cs="宋体" w:hint="eastAsia"/>
          <w:b/>
          <w:sz w:val="28"/>
          <w:szCs w:val="28"/>
          <w:lang/>
        </w:rPr>
        <w:t>。</w:t>
      </w:r>
    </w:p>
    <w:p w:rsidR="00970981" w:rsidRDefault="00970981" w:rsidP="00F87EFE">
      <w:pPr>
        <w:snapToGrid w:val="0"/>
        <w:spacing w:line="340" w:lineRule="exact"/>
        <w:ind w:firstLineChars="200" w:firstLine="31680"/>
        <w:rPr>
          <w:sz w:val="28"/>
          <w:szCs w:val="28"/>
        </w:rPr>
      </w:pPr>
      <w:r>
        <w:rPr>
          <w:rFonts w:ascii="宋体" w:hAnsi="宋体" w:cs="宋体" w:hint="eastAsia"/>
          <w:b/>
          <w:snapToGrid w:val="0"/>
          <w:kern w:val="0"/>
          <w:sz w:val="28"/>
          <w:szCs w:val="28"/>
          <w:lang/>
        </w:rPr>
        <w:t>依标的现状拍卖，拍卖资料对拍卖标的名称、数量、规格、品质等方面的说明仅是简单介绍，不作任何承诺和担保，</w:t>
      </w:r>
      <w:r>
        <w:rPr>
          <w:rFonts w:ascii="宋体" w:hAnsi="宋体" w:cs="宋体" w:hint="eastAsia"/>
          <w:b/>
          <w:sz w:val="28"/>
          <w:szCs w:val="28"/>
          <w:lang/>
        </w:rPr>
        <w:t>以看样时的现状为准</w:t>
      </w:r>
      <w:r>
        <w:rPr>
          <w:rFonts w:ascii="宋体" w:hAnsi="宋体" w:cs="宋体" w:hint="eastAsia"/>
          <w:b/>
          <w:snapToGrid w:val="0"/>
          <w:kern w:val="0"/>
          <w:sz w:val="28"/>
          <w:szCs w:val="28"/>
          <w:lang/>
        </w:rPr>
        <w:t>。</w:t>
      </w:r>
      <w:bookmarkStart w:id="0" w:name="_GoBack"/>
      <w:bookmarkEnd w:id="0"/>
    </w:p>
    <w:sectPr w:rsidR="00970981" w:rsidSect="00C83919">
      <w:pgSz w:w="16838" w:h="11906" w:orient="landscape"/>
      <w:pgMar w:top="1236" w:right="1213" w:bottom="1066" w:left="121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font-weight : 700">
    <w:altName w:val="Segoe Print"/>
    <w:panose1 w:val="00000000000000000000"/>
    <w:charset w:val="00"/>
    <w:family w:val="auto"/>
    <w:notTrueType/>
    <w:pitch w:val="default"/>
    <w:sig w:usb0="00000003" w:usb1="00000000" w:usb2="00000000" w:usb3="00000000" w:csb0="00000001" w:csb1="00000000"/>
  </w:font>
  <w:font w:name="font-weight : 400">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D8662"/>
    <w:multiLevelType w:val="multilevel"/>
    <w:tmpl w:val="E89D8662"/>
    <w:lvl w:ilvl="0">
      <w:start w:val="1"/>
      <w:numFmt w:val="decimal"/>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8651FD"/>
    <w:rsid w:val="00355DFB"/>
    <w:rsid w:val="00970981"/>
    <w:rsid w:val="00C83919"/>
    <w:rsid w:val="00F6337C"/>
    <w:rsid w:val="00F87EFE"/>
    <w:rsid w:val="098651FD"/>
    <w:rsid w:val="2BBC026B"/>
    <w:rsid w:val="2BBE3250"/>
    <w:rsid w:val="2F276254"/>
    <w:rsid w:val="494D54BF"/>
    <w:rsid w:val="61891569"/>
    <w:rsid w:val="64531108"/>
    <w:rsid w:val="70BF0D66"/>
    <w:rsid w:val="7E145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C83919"/>
    <w:pPr>
      <w:widowControl w:val="0"/>
      <w:jc w:val="both"/>
    </w:pPr>
    <w:rPr>
      <w:rFonts w:cs="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C83919"/>
    <w:pPr>
      <w:widowControl/>
      <w:ind w:firstLine="420"/>
      <w:jc w:val="left"/>
    </w:pPr>
    <w:rPr>
      <w:rFonts w:ascii="Times New Roman" w:hAnsi="Times New Roman"/>
      <w:kern w:val="0"/>
      <w:szCs w:val="20"/>
    </w:rPr>
  </w:style>
  <w:style w:type="paragraph" w:styleId="BodyTextIndent">
    <w:name w:val="Body Text Indent"/>
    <w:basedOn w:val="Normal"/>
    <w:link w:val="BodyTextIndentChar"/>
    <w:uiPriority w:val="99"/>
    <w:rsid w:val="00C83919"/>
    <w:pPr>
      <w:ind w:leftChars="200" w:left="420"/>
    </w:pPr>
  </w:style>
  <w:style w:type="character" w:customStyle="1" w:styleId="BodyTextIndentChar">
    <w:name w:val="Body Text Indent Char"/>
    <w:basedOn w:val="DefaultParagraphFont"/>
    <w:link w:val="BodyTextIndent"/>
    <w:uiPriority w:val="99"/>
    <w:locked/>
    <w:rsid w:val="00C83919"/>
    <w:rPr>
      <w:rFonts w:ascii="Calibri" w:eastAsia="宋体" w:hAnsi="Calibri" w:cs="Times New Roman"/>
      <w:kern w:val="2"/>
      <w:sz w:val="24"/>
      <w:szCs w:val="24"/>
    </w:rPr>
  </w:style>
  <w:style w:type="paragraph" w:styleId="Footer">
    <w:name w:val="footer"/>
    <w:basedOn w:val="Normal"/>
    <w:link w:val="FooterChar"/>
    <w:uiPriority w:val="99"/>
    <w:rsid w:val="00C839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B597D"/>
    <w:rPr>
      <w:rFonts w:cs="Times New Roman"/>
      <w:sz w:val="18"/>
      <w:szCs w:val="18"/>
    </w:rPr>
  </w:style>
  <w:style w:type="paragraph" w:styleId="Header">
    <w:name w:val="header"/>
    <w:basedOn w:val="Normal"/>
    <w:link w:val="HeaderChar"/>
    <w:uiPriority w:val="99"/>
    <w:rsid w:val="00C839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B597D"/>
    <w:rPr>
      <w:rFonts w:cs="Times New Roman"/>
      <w:sz w:val="18"/>
      <w:szCs w:val="18"/>
    </w:rPr>
  </w:style>
  <w:style w:type="table" w:styleId="TableGrid">
    <w:name w:val="Table Grid"/>
    <w:basedOn w:val="TableNormal"/>
    <w:uiPriority w:val="99"/>
    <w:rsid w:val="00C839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01">
    <w:name w:val="font101"/>
    <w:basedOn w:val="DefaultParagraphFont"/>
    <w:uiPriority w:val="99"/>
    <w:rsid w:val="00C83919"/>
    <w:rPr>
      <w:rFonts w:ascii="font-weight : 700" w:eastAsia="Times New Roman" w:hAnsi="font-weight : 700" w:cs="font-weight : 700"/>
      <w:color w:val="FF0000"/>
      <w:sz w:val="44"/>
      <w:szCs w:val="44"/>
      <w:u w:val="none"/>
    </w:rPr>
  </w:style>
  <w:style w:type="character" w:customStyle="1" w:styleId="font31">
    <w:name w:val="font31"/>
    <w:basedOn w:val="DefaultParagraphFont"/>
    <w:uiPriority w:val="99"/>
    <w:rsid w:val="00C83919"/>
    <w:rPr>
      <w:rFonts w:ascii="font-weight : 700" w:eastAsia="Times New Roman" w:hAnsi="font-weight : 700" w:cs="font-weight : 700"/>
      <w:color w:val="000000"/>
      <w:sz w:val="44"/>
      <w:szCs w:val="44"/>
      <w:u w:val="none"/>
    </w:rPr>
  </w:style>
  <w:style w:type="character" w:customStyle="1" w:styleId="font11">
    <w:name w:val="font11"/>
    <w:basedOn w:val="DefaultParagraphFont"/>
    <w:uiPriority w:val="99"/>
    <w:rsid w:val="00C83919"/>
    <w:rPr>
      <w:rFonts w:ascii="font-weight : 400" w:eastAsia="Times New Roman" w:hAnsi="font-weight : 400" w:cs="font-weight : 400"/>
      <w:color w:val="000000"/>
      <w:sz w:val="24"/>
      <w:szCs w:val="24"/>
      <w:u w:val="none"/>
    </w:rPr>
  </w:style>
  <w:style w:type="character" w:customStyle="1" w:styleId="font01">
    <w:name w:val="font01"/>
    <w:basedOn w:val="DefaultParagraphFont"/>
    <w:uiPriority w:val="99"/>
    <w:rsid w:val="00C83919"/>
    <w:rPr>
      <w:rFonts w:ascii="宋体" w:eastAsia="宋体" w:hAnsi="宋体" w:cs="宋体"/>
      <w:color w:val="000000"/>
      <w:sz w:val="22"/>
      <w:szCs w:val="22"/>
      <w:u w:val="none"/>
    </w:rPr>
  </w:style>
  <w:style w:type="character" w:customStyle="1" w:styleId="style11">
    <w:name w:val="style11"/>
    <w:basedOn w:val="DefaultParagraphFont"/>
    <w:uiPriority w:val="99"/>
    <w:rsid w:val="00C83919"/>
    <w:rPr>
      <w:rFonts w:cs="Times New Roman"/>
      <w:b/>
      <w:color w:val="FF0000"/>
      <w:sz w:val="21"/>
      <w:szCs w:val="21"/>
    </w:rPr>
  </w:style>
  <w:style w:type="character" w:customStyle="1" w:styleId="2">
    <w:name w:val="正文文本首行缩进 2 字符"/>
    <w:basedOn w:val="BodyTextIndentChar"/>
    <w:uiPriority w:val="99"/>
    <w:rsid w:val="00C83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378</Words>
  <Characters>2160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拍卖会参考资料</dc:title>
  <dc:subject/>
  <dc:creator>limingliang</dc:creator>
  <cp:keywords/>
  <dc:description/>
  <cp:lastModifiedBy>微软用户</cp:lastModifiedBy>
  <cp:revision>2</cp:revision>
  <cp:lastPrinted>2021-01-02T07:35:00Z</cp:lastPrinted>
  <dcterms:created xsi:type="dcterms:W3CDTF">2021-01-08T09:47:00Z</dcterms:created>
  <dcterms:modified xsi:type="dcterms:W3CDTF">2021-01-08T09:47:00Z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