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750" w:lineRule="atLeast"/>
        <w:ind w:left="0" w:right="0" w:firstLine="0"/>
        <w:jc w:val="center"/>
        <w:rPr>
          <w:rFonts w:ascii="微软雅黑" w:hAnsi="微软雅黑" w:eastAsia="微软雅黑" w:cs="微软雅黑"/>
          <w:b/>
          <w:i w:val="0"/>
          <w:caps w:val="0"/>
          <w:color w:val="222222"/>
          <w:spacing w:val="0"/>
          <w:sz w:val="37"/>
          <w:szCs w:val="37"/>
        </w:rPr>
      </w:pPr>
      <w:r>
        <w:rPr>
          <w:rFonts w:hint="eastAsia" w:ascii="微软雅黑" w:hAnsi="微软雅黑" w:eastAsia="微软雅黑" w:cs="微软雅黑"/>
          <w:b/>
          <w:i w:val="0"/>
          <w:caps w:val="0"/>
          <w:color w:val="222222"/>
          <w:spacing w:val="0"/>
          <w:kern w:val="0"/>
          <w:sz w:val="37"/>
          <w:szCs w:val="37"/>
          <w:shd w:val="clear" w:fill="F7F7F7"/>
          <w:lang w:val="en-US" w:eastAsia="zh-CN" w:bidi="ar"/>
        </w:rPr>
        <w:t>南雄市辖区内国家重点监控企业污染源之韶能集团广东绿洲生态科技有限公司韶能本色分公司监督性监测信息</w:t>
      </w:r>
    </w:p>
    <w:tbl>
      <w:tblPr>
        <w:tblStyle w:val="3"/>
        <w:tblW w:w="0" w:type="dxa"/>
        <w:tblInd w:w="0" w:type="dxa"/>
        <w:shd w:val="clear" w:color="auto" w:fill="F7F7F7"/>
        <w:tblLayout w:type="autofit"/>
        <w:tblCellMar>
          <w:top w:w="0" w:type="dxa"/>
          <w:left w:w="0" w:type="dxa"/>
          <w:bottom w:w="0" w:type="dxa"/>
          <w:right w:w="0" w:type="dxa"/>
        </w:tblCellMar>
      </w:tblPr>
      <w:tblGrid>
        <w:gridCol w:w="8306"/>
      </w:tblGrid>
      <w:tr>
        <w:tblPrEx>
          <w:shd w:val="clear" w:color="auto" w:fill="F7F7F7"/>
          <w:tblCellMar>
            <w:top w:w="0" w:type="dxa"/>
            <w:left w:w="0" w:type="dxa"/>
            <w:bottom w:w="0" w:type="dxa"/>
            <w:right w:w="0" w:type="dxa"/>
          </w:tblCellMar>
        </w:tblPrEx>
        <w:tc>
          <w:tcPr>
            <w:tcW w:w="0" w:type="auto"/>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仿宋_GB2312" w:hAnsi="微软雅黑" w:eastAsia="仿宋_GB2312" w:cs="仿宋_GB2312"/>
                <w:b w:val="0"/>
                <w:i w:val="0"/>
                <w:caps w:val="0"/>
                <w:color w:val="222222"/>
                <w:spacing w:val="0"/>
                <w:sz w:val="18"/>
                <w:szCs w:val="18"/>
              </w:rPr>
              <w:t>1、企业名称：韶能集团广东绿洲生态科技有限公司韶能本色分公司</w:t>
            </w:r>
            <w:r>
              <w:rPr>
                <w:rFonts w:hint="eastAsia" w:ascii="宋体" w:hAnsi="宋体" w:eastAsia="宋体" w:cs="宋体"/>
                <w:b w:val="0"/>
                <w:i w:val="0"/>
                <w:caps w:val="0"/>
                <w:color w:val="222222"/>
                <w:spacing w:val="0"/>
                <w:sz w:val="24"/>
                <w:szCs w:val="24"/>
              </w:rPr>
              <w:br w:type="textWrapping"/>
            </w:r>
            <w:r>
              <w:rPr>
                <w:rFonts w:hint="default" w:ascii="仿宋_GB2312" w:hAnsi="微软雅黑" w:eastAsia="仿宋_GB2312" w:cs="仿宋_GB2312"/>
                <w:b w:val="0"/>
                <w:i w:val="0"/>
                <w:caps w:val="0"/>
                <w:color w:val="222222"/>
                <w:spacing w:val="0"/>
                <w:sz w:val="18"/>
                <w:szCs w:val="18"/>
              </w:rPr>
              <w:t>2、地址：广东韶关南雄市雄州街道雄南路38号</w:t>
            </w:r>
            <w:r>
              <w:rPr>
                <w:rFonts w:hint="default" w:ascii="仿宋_GB2312" w:hAnsi="微软雅黑" w:eastAsia="仿宋_GB2312" w:cs="仿宋_GB2312"/>
                <w:b w:val="0"/>
                <w:i w:val="0"/>
                <w:caps w:val="0"/>
                <w:color w:val="222222"/>
                <w:spacing w:val="0"/>
                <w:sz w:val="18"/>
                <w:szCs w:val="18"/>
              </w:rPr>
              <w:br w:type="textWrapping"/>
            </w:r>
            <w:r>
              <w:rPr>
                <w:rFonts w:hint="default" w:ascii="仿宋_GB2312" w:hAnsi="微软雅黑" w:eastAsia="仿宋_GB2312" w:cs="仿宋_GB2312"/>
                <w:b w:val="0"/>
                <w:i w:val="0"/>
                <w:caps w:val="0"/>
                <w:color w:val="222222"/>
                <w:spacing w:val="0"/>
                <w:sz w:val="18"/>
                <w:szCs w:val="18"/>
              </w:rPr>
              <w:t>3、监测点位布设、监测日期和监测项目：见表1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微软雅黑" w:eastAsia="仿宋_GB2312" w:cs="仿宋_GB2312"/>
                <w:b/>
                <w:i w:val="0"/>
                <w:caps w:val="0"/>
                <w:color w:val="222222"/>
                <w:spacing w:val="0"/>
                <w:sz w:val="18"/>
                <w:szCs w:val="18"/>
              </w:rPr>
              <w:t>表1 污染源点位布设、监测项目</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5"/>
              <w:gridCol w:w="1204"/>
              <w:gridCol w:w="1947"/>
              <w:gridCol w:w="3112"/>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1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污染源</w:t>
                  </w:r>
                  <w:r>
                    <w:rPr>
                      <w:rFonts w:hint="default" w:ascii="仿宋_GB2312" w:eastAsia="仿宋_GB2312" w:cs="仿宋_GB2312"/>
                      <w:sz w:val="18"/>
                      <w:szCs w:val="18"/>
                    </w:rPr>
                    <w:br w:type="textWrapping"/>
                  </w:r>
                  <w:r>
                    <w:rPr>
                      <w:rFonts w:hint="default" w:ascii="仿宋_GB2312" w:eastAsia="仿宋_GB2312" w:cs="仿宋_GB2312"/>
                      <w:sz w:val="18"/>
                      <w:szCs w:val="18"/>
                    </w:rPr>
                    <w:t>类型</w:t>
                  </w:r>
                </w:p>
              </w:tc>
              <w:tc>
                <w:tcPr>
                  <w:tcW w:w="1239"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排污口</w:t>
                  </w:r>
                  <w:r>
                    <w:rPr>
                      <w:rFonts w:hint="default" w:ascii="仿宋_GB2312" w:eastAsia="仿宋_GB2312" w:cs="仿宋_GB2312"/>
                      <w:sz w:val="18"/>
                      <w:szCs w:val="18"/>
                    </w:rPr>
                    <w:br w:type="textWrapping"/>
                  </w:r>
                  <w:r>
                    <w:rPr>
                      <w:rFonts w:hint="default" w:ascii="仿宋_GB2312" w:eastAsia="仿宋_GB2312" w:cs="仿宋_GB2312"/>
                      <w:sz w:val="18"/>
                      <w:szCs w:val="18"/>
                    </w:rPr>
                    <w:t>编号</w:t>
                  </w:r>
                </w:p>
              </w:tc>
              <w:tc>
                <w:tcPr>
                  <w:tcW w:w="2030"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排污口</w:t>
                  </w:r>
                  <w:r>
                    <w:rPr>
                      <w:rFonts w:hint="default" w:ascii="仿宋_GB2312" w:eastAsia="仿宋_GB2312" w:cs="仿宋_GB2312"/>
                      <w:sz w:val="18"/>
                      <w:szCs w:val="18"/>
                    </w:rPr>
                    <w:br w:type="textWrapping"/>
                  </w:r>
                  <w:r>
                    <w:rPr>
                      <w:rFonts w:hint="default" w:ascii="仿宋_GB2312" w:eastAsia="仿宋_GB2312" w:cs="仿宋_GB2312"/>
                      <w:sz w:val="18"/>
                      <w:szCs w:val="18"/>
                    </w:rPr>
                    <w:t>位置</w:t>
                  </w:r>
                </w:p>
              </w:tc>
              <w:tc>
                <w:tcPr>
                  <w:tcW w:w="3242"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监测项目</w:t>
                  </w:r>
                </w:p>
              </w:tc>
              <w:tc>
                <w:tcPr>
                  <w:tcW w:w="1120"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监测</w:t>
                  </w:r>
                  <w:r>
                    <w:rPr>
                      <w:rFonts w:hint="default" w:ascii="仿宋_GB2312" w:eastAsia="仿宋_GB2312" w:cs="仿宋_GB2312"/>
                      <w:sz w:val="18"/>
                      <w:szCs w:val="18"/>
                    </w:rPr>
                    <w:br w:type="textWrapping"/>
                  </w:r>
                  <w:r>
                    <w:rPr>
                      <w:rFonts w:hint="default" w:ascii="仿宋_GB2312" w:eastAsia="仿宋_GB2312" w:cs="仿宋_GB2312"/>
                      <w:sz w:val="18"/>
                      <w:szCs w:val="18"/>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jc w:val="center"/>
              </w:trPr>
              <w:tc>
                <w:tcPr>
                  <w:tcW w:w="1001" w:type="dxa"/>
                  <w:vMerge w:val="restart"/>
                  <w:tcBorders>
                    <w:top w:val="nil"/>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废水</w:t>
                  </w:r>
                </w:p>
              </w:tc>
              <w:tc>
                <w:tcPr>
                  <w:tcW w:w="123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FS001</w:t>
                  </w:r>
                </w:p>
              </w:tc>
              <w:tc>
                <w:tcPr>
                  <w:tcW w:w="2030"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进水口</w:t>
                  </w:r>
                </w:p>
              </w:tc>
              <w:tc>
                <w:tcPr>
                  <w:tcW w:w="324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sz w:val="18"/>
                      <w:szCs w:val="18"/>
                    </w:rPr>
                    <w:t>pH值、悬浮物、化学需氧量、五日生化需氧量、总磷、氨氮、色度、总氮、硫化物、挥发酚</w:t>
                  </w:r>
                </w:p>
              </w:tc>
              <w:tc>
                <w:tcPr>
                  <w:tcW w:w="1120" w:type="dxa"/>
                  <w:vMerge w:val="restart"/>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1次/月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 w:hRule="atLeast"/>
                <w:jc w:val="center"/>
              </w:trPr>
              <w:tc>
                <w:tcPr>
                  <w:tcW w:w="1001"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23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FS002</w:t>
                  </w:r>
                </w:p>
              </w:tc>
              <w:tc>
                <w:tcPr>
                  <w:tcW w:w="2030"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生产废水总排污口</w:t>
                  </w:r>
                </w:p>
              </w:tc>
              <w:tc>
                <w:tcPr>
                  <w:tcW w:w="324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sz w:val="18"/>
                      <w:szCs w:val="18"/>
                    </w:rPr>
                    <w:t>pH值、悬浮物、化学需氧量、五日生化需氧量、总磷、氨氮、色度、总氮、硫化物、挥发酚、流量</w:t>
                  </w:r>
                </w:p>
              </w:tc>
              <w:tc>
                <w:tcPr>
                  <w:tcW w:w="1120" w:type="dxa"/>
                  <w:vMerge w:val="continue"/>
                  <w:tcBorders>
                    <w:top w:val="nil"/>
                    <w:left w:val="nil"/>
                    <w:bottom w:val="outset" w:color="000000" w:sz="6" w:space="0"/>
                    <w:right w:val="outset" w:color="000000" w:sz="6"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01" w:type="dxa"/>
                  <w:tcBorders>
                    <w:top w:val="nil"/>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备注</w:t>
                  </w:r>
                </w:p>
              </w:tc>
              <w:tc>
                <w:tcPr>
                  <w:tcW w:w="7631" w:type="dxa"/>
                  <w:gridSpan w:val="4"/>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sz w:val="16"/>
                      <w:szCs w:val="16"/>
                    </w:rPr>
                    <w:t>硫化物是每个季度大样是监测一次；废水处理设施设计能力为10000t/d。</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微软雅黑" w:eastAsia="仿宋_GB2312" w:cs="仿宋_GB2312"/>
                <w:b w:val="0"/>
                <w:i w:val="0"/>
                <w:caps w:val="0"/>
                <w:color w:val="222222"/>
                <w:spacing w:val="0"/>
                <w:sz w:val="18"/>
                <w:szCs w:val="18"/>
              </w:rPr>
              <w:t>4、执行标准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60"/>
              <w:jc w:val="left"/>
            </w:pPr>
            <w:r>
              <w:rPr>
                <w:rFonts w:hint="default" w:ascii="仿宋_GB2312" w:hAnsi="微软雅黑" w:eastAsia="仿宋_GB2312" w:cs="仿宋_GB2312"/>
                <w:b w:val="0"/>
                <w:i w:val="0"/>
                <w:caps w:val="0"/>
                <w:color w:val="222222"/>
                <w:spacing w:val="0"/>
                <w:sz w:val="18"/>
                <w:szCs w:val="18"/>
              </w:rPr>
              <w:t>该公司废水排入浈江河水道，除挥发酚执行广东省《水污染物排放限值》（DB44/26-2001）第二时段二级标准外，其余项目执行《制浆造纸工业水污染物排放标准》（GB 3544-2008）标准（详见表2）。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微软雅黑" w:eastAsia="仿宋_GB2312" w:cs="仿宋_GB2312"/>
                <w:b/>
                <w:i w:val="0"/>
                <w:caps w:val="0"/>
                <w:color w:val="222222"/>
                <w:spacing w:val="0"/>
                <w:sz w:val="18"/>
                <w:szCs w:val="18"/>
              </w:rPr>
              <w:t>表2 废水总排污口废水执行标准</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38"/>
              <w:gridCol w:w="1698"/>
              <w:gridCol w:w="1112"/>
              <w:gridCol w:w="1368"/>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点位</w:t>
                  </w:r>
                </w:p>
              </w:tc>
              <w:tc>
                <w:tcPr>
                  <w:tcW w:w="1698"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监测因子</w:t>
                  </w:r>
                </w:p>
              </w:tc>
              <w:tc>
                <w:tcPr>
                  <w:tcW w:w="1112"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单位</w:t>
                  </w:r>
                </w:p>
              </w:tc>
              <w:tc>
                <w:tcPr>
                  <w:tcW w:w="1368"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执行标准</w:t>
                  </w:r>
                </w:p>
              </w:tc>
              <w:tc>
                <w:tcPr>
                  <w:tcW w:w="2089" w:type="dxa"/>
                  <w:tcBorders>
                    <w:top w:val="outset" w:color="000000" w:sz="6" w:space="0"/>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restart"/>
                  <w:tcBorders>
                    <w:top w:val="nil"/>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生产废水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总排污口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(FS002)</w:t>
                  </w: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pH值</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无量纲</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6～9</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悬浮物</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30</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化学需氧量</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90</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五日生化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需氧量</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20</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总磷</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0.8</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氨氮</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8</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总氮</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12</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色度</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倍</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50</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挥发酚</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0.5</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硫化物</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mg/L</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1.0</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38" w:type="dxa"/>
                  <w:vMerge w:val="continue"/>
                  <w:tcBorders>
                    <w:top w:val="nil"/>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c>
                <w:tcPr>
                  <w:tcW w:w="169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流量</w:t>
                  </w:r>
                </w:p>
              </w:tc>
              <w:tc>
                <w:tcPr>
                  <w:tcW w:w="1112"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m</w:t>
                  </w:r>
                  <w:r>
                    <w:rPr>
                      <w:rFonts w:hint="default" w:ascii="仿宋_GB2312" w:eastAsia="仿宋_GB2312" w:cs="仿宋_GB2312"/>
                      <w:sz w:val="18"/>
                      <w:szCs w:val="18"/>
                      <w:vertAlign w:val="superscript"/>
                    </w:rPr>
                    <w:t>3</w:t>
                  </w:r>
                  <w:r>
                    <w:rPr>
                      <w:rFonts w:hint="default" w:ascii="仿宋_GB2312" w:eastAsia="仿宋_GB2312" w:cs="仿宋_GB2312"/>
                      <w:sz w:val="18"/>
                      <w:szCs w:val="18"/>
                    </w:rPr>
                    <w:t>/h</w:t>
                  </w:r>
                </w:p>
              </w:tc>
              <w:tc>
                <w:tcPr>
                  <w:tcW w:w="1368"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w:t>
                  </w:r>
                </w:p>
              </w:tc>
              <w:tc>
                <w:tcPr>
                  <w:tcW w:w="2089" w:type="dxa"/>
                  <w:tcBorders>
                    <w:top w:val="nil"/>
                    <w:left w:val="nil"/>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18"/>
                      <w:szCs w:val="18"/>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微软雅黑" w:eastAsia="仿宋_GB2312" w:cs="仿宋_GB2312"/>
                <w:b w:val="0"/>
                <w:i w:val="0"/>
                <w:caps w:val="0"/>
                <w:color w:val="222222"/>
                <w:spacing w:val="0"/>
                <w:sz w:val="18"/>
                <w:szCs w:val="18"/>
              </w:rPr>
              <w:t>5、评价结论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_GB2312" w:hAnsi="微软雅黑" w:eastAsia="仿宋_GB2312" w:cs="仿宋_GB2312"/>
                <w:b w:val="0"/>
                <w:i w:val="0"/>
                <w:caps w:val="0"/>
                <w:color w:val="222222"/>
                <w:spacing w:val="0"/>
                <w:sz w:val="18"/>
                <w:szCs w:val="18"/>
                <w:lang w:val="en-US" w:eastAsia="zh-CN"/>
              </w:rPr>
              <w:t>2019</w:t>
            </w:r>
            <w:r>
              <w:rPr>
                <w:rFonts w:hint="default" w:ascii="仿宋_GB2312" w:hAnsi="微软雅黑" w:eastAsia="仿宋_GB2312" w:cs="仿宋_GB2312"/>
                <w:b w:val="0"/>
                <w:i w:val="0"/>
                <w:caps w:val="0"/>
                <w:color w:val="222222"/>
                <w:spacing w:val="0"/>
                <w:sz w:val="18"/>
                <w:szCs w:val="18"/>
              </w:rPr>
              <w:t>年度韶能集团广东绿洲生态科技有限公司韶能本色分公司生产废水总排污口所检项目排放均未超标，其排放浓度均达到广东省《水污染排放限值》（DB44/26-2001）第二时段二级标准和《制浆造纸工业水污染物排放标准》（GB 3544-2008）标准限值。</w:t>
            </w:r>
          </w:p>
        </w:tc>
      </w:tr>
    </w:tbl>
    <w:p>
      <w:bookmarkStart w:id="0" w:name="_GoBack"/>
      <w:bookmarkEnd w:id="0"/>
    </w:p>
    <w:sectPr>
      <w:pgSz w:w="11906" w:h="16838"/>
      <w:pgMar w:top="1440" w:right="1800" w:bottom="11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24D1"/>
    <w:rsid w:val="1758435E"/>
    <w:rsid w:val="40D72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2020-01-10T06:49:00Z</dcterms:created>
  <dc:creator>BAN3HEE</dc:creator>
  <cp:lastModifiedBy>加减乘除</cp:lastModifiedBy>
  <dcterms:modified xsi:type="dcterms:W3CDTF">2021-08-30T13:00:19Z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E5069CB1A10749EF94D18D311854E032</vt:lpwstr>
  </property>
</Properties>
</file>